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24411" w14:textId="77777777" w:rsidR="005C28BA" w:rsidRDefault="00000000">
      <w:pPr>
        <w:spacing w:after="200"/>
        <w:jc w:val="center"/>
      </w:pPr>
      <w:r>
        <w:rPr>
          <w:b/>
          <w:bCs/>
          <w:sz w:val="28"/>
          <w:szCs w:val="28"/>
        </w:rPr>
        <w:t>Non-Compensatory Governance Gates for Clinical AI Deployment: A Decision-Rule Gap Audit and Conjunctive Architecture</w:t>
      </w:r>
    </w:p>
    <w:p w14:paraId="6B49FC7E" w14:textId="77777777" w:rsidR="005C28BA" w:rsidRDefault="00000000">
      <w:pPr>
        <w:spacing w:after="100"/>
        <w:jc w:val="center"/>
      </w:pPr>
      <w:r>
        <w:t>Walter C. Brown, MSc, MA</w:t>
      </w:r>
    </w:p>
    <w:p w14:paraId="10685015" w14:textId="77777777" w:rsidR="005C28BA" w:rsidRDefault="00000000">
      <w:pPr>
        <w:spacing w:after="400"/>
        <w:jc w:val="center"/>
      </w:pPr>
      <w:r>
        <w:rPr>
          <w:i/>
          <w:iCs/>
          <w:sz w:val="22"/>
          <w:szCs w:val="22"/>
        </w:rPr>
        <w:t>Target Journal: JMIR Medical Informatics</w:t>
      </w:r>
    </w:p>
    <w:p w14:paraId="0CD4F519" w14:textId="77777777" w:rsidR="005C28BA" w:rsidRDefault="00000000">
      <w:pPr>
        <w:spacing w:after="120" w:line="360" w:lineRule="auto"/>
      </w:pPr>
      <w:r>
        <w:t>Non-Compensatory Governance Gates for Clinical Artificial Intelligence Deployment: From Evidence Accumulation to Institutional Decision Walter Brown, MSc, MA Ethical Alpha Audit, London, United Kingdom Email: walter.brown@ethicalalphaaudit.com │ ORCID: 0000-0002-6050-8522 Manuscript type: Viewpoint │ Target journal: JMIR Medical Informatics │ Word count: \~4,800 (excl. abstract, references, tables, figures)</w:t>
      </w:r>
    </w:p>
    <w:p w14:paraId="60CB6DC9" w14:textId="77777777" w:rsidR="005C28BA" w:rsidRDefault="00000000">
      <w:pPr>
        <w:pStyle w:val="Heading1"/>
      </w:pPr>
      <w:r>
        <w:t>Abstract</w:t>
      </w:r>
    </w:p>
    <w:p w14:paraId="773FB093" w14:textId="77777777" w:rsidR="005C28BA" w:rsidRDefault="00000000">
      <w:pPr>
        <w:spacing w:after="120" w:line="360" w:lineRule="auto"/>
      </w:pPr>
      <w:r>
        <w:t>Clinical AI governance frameworks—including the FUTURE-AI consensus guideline [26]—define what must be evaluated but leave underspecified the institutional logic for converting heterogeneous evidence into a binary deployment decision. When governance evidence is aggregated into composite scores—as in the compensatory decision models well established in health technology assessment and multi-criteria decision analysis [31,32]—a compensation risk arises: a disqualifying gap in one domain can be offset by strong performance in others. A targeted document audit of widely used governance instruments found that, among the reviewed instruments, none specifies a complete, auditable deployment decision rule combining activation thresholds, non-compensatory logic, and constrained override governance (Multimedia Appendix 5).</w:t>
      </w:r>
    </w:p>
    <w:p w14:paraId="61660192" w14:textId="77777777" w:rsidR="005C28BA" w:rsidRDefault="00000000">
      <w:pPr>
        <w:spacing w:after="120" w:line="360" w:lineRule="auto"/>
      </w:pPr>
      <w:r>
        <w:t xml:space="preserve">This Viewpoint proposes a non-compensatory (conjunctive) governance gate architecture across five domains—clinical safety, bias and equity, documentation, accountability, and lifecycle monitoring—each defining a minimum evidence floor whose failure blocks deployment regardless of aggregate performance. The paper specifies risk-tiered evidence floors, a constrained override pathway for Gates 2–4, and a shared governance service model. A companion simulation study [25] indicates that, under the tested heterogeneous evidence model, gates substantially reduce unsafe deployment rates compared with compensatory composite scoring. A retrospective historical replay evaluation provides preliminary convergent evidence, with structural caveats documented in the companion study. The safety advantage was preserved </w:t>
      </w:r>
      <w:r>
        <w:lastRenderedPageBreak/>
        <w:t>across three alternative gate decompositions in the companion simulation. A pilot research design with prespecified measurable endpoints is proposed for prospective evaluation.</w:t>
      </w:r>
    </w:p>
    <w:p w14:paraId="215715C8" w14:textId="77777777" w:rsidR="005C28BA" w:rsidRDefault="00000000">
      <w:pPr>
        <w:spacing w:after="120" w:line="360" w:lineRule="auto"/>
      </w:pPr>
      <w:r>
        <w:t>Keywords: artificial intelligence; clinical decision support; governance; patient safety; non-compensatory; deployment; risk management; health informatics; model monitoring; algorithmic bias; shared governance Introduction Hospitals and health systems face a recurring practical challenge: determining when a clinical artificial intelligence (AI) system is sufficiently safe to deploy, and identifying which specific evidence gaps should mandate a hard stop. Whilst methods for predictive model development have matured, the institutional decision rule that converts evaluation evidence into a binary deployment action frequently remains implicit. Deployment decisions are consequently vulnerable to organisational momentum, vendor assurances, or committee inertia as much as to explicit safety criteria [1,2]. The regulatory environment has sharpened this challenge.</w:t>
      </w:r>
    </w:p>
    <w:p w14:paraId="24EB6809" w14:textId="77777777" w:rsidR="005C28BA" w:rsidRDefault="00000000">
      <w:pPr>
        <w:spacing w:after="120" w:line="360" w:lineRule="auto"/>
      </w:pPr>
      <w:r>
        <w:t>Compensatory decision frameworks are well established in health and policy domains. Multi-criteria decision analysis (MCDA) combines performance across criteria using weighted aggregation to produce an overall value score, permitting trade-offs between criteria [31,32]. Health technology assessment frameworks, including NICE technology appraisal methods, rely on cost-effectiveness thresholds that encode trade-offs between clinical benefit, cost, and uncertainty [34]. Composite indicator methodologies likewise aggregate weighted indicators into a single index, with the compensatory property that strengths in one dimension can offset weaknesses in another [33]. These approaches share a compensatory (disjunctive) logic. The present Viewpoint examines the alternative: a non-compensatory (conjunctive) structure in which no domain can compensate for failure in another.</w:t>
      </w:r>
    </w:p>
    <w:p w14:paraId="7602D498" w14:textId="77777777" w:rsidR="005C28BA" w:rsidRDefault="00000000">
      <w:pPr>
        <w:spacing w:after="120" w:line="360" w:lineRule="auto"/>
      </w:pPr>
      <w:r>
        <w:t>The EU AI Act (Articles 9 and 17) imposes risk management and human oversight obligations; ISO/IEC 42001:2023 establishes auditable management requirements; and national bodies including the NHS, NICE, MHRA, and FDA have added operational expectations for software as a medical device (SaMD) [3–6].</w:t>
      </w:r>
    </w:p>
    <w:p w14:paraId="65A2B551" w14:textId="77777777" w:rsidR="005C28BA" w:rsidRDefault="00000000">
      <w:pPr>
        <w:spacing w:after="120" w:line="360" w:lineRule="auto"/>
      </w:pPr>
      <w:r>
        <w:t>The FUTURE-AI consensus guideline [26], published in 2025, defines 30 best practices spanning six principles—fairness, universality, traceability, usability, robustness, and explainability—covering the full AI lifecycle.</w:t>
      </w:r>
    </w:p>
    <w:p w14:paraId="2E12C60F" w14:textId="77777777" w:rsidR="005C28BA" w:rsidRDefault="00000000">
      <w:pPr>
        <w:spacing w:after="120" w:line="360" w:lineRule="auto"/>
      </w:pPr>
      <w:r>
        <w:lastRenderedPageBreak/>
        <w:t>The FDA's January 2025 draft guidance on AI-enabled device software functions [27] articulates a Total Product Lifecycle approach. These instruments clarify what must be governed. They do not specify how an institution should determine that accumulated evidence is sufficient to authorise activation. That activation logic—the rule converting governance evidence into a go or no-go decision—is the gap this Viewpoint addresses.</w:t>
      </w:r>
    </w:p>
    <w:p w14:paraId="2144FAED" w14:textId="77777777" w:rsidR="005C28BA" w:rsidRDefault="00000000">
      <w:pPr>
        <w:spacing w:after="120" w:line="360" w:lineRule="auto"/>
      </w:pPr>
      <w:r>
        <w:t>Contribution of this Viewpoint This Viewpoint provides the normative architecture: the decision logic, override pathway, and shared-service model. Specifically, this paper This paper advances a decision-theoretic activation rule, not a new governance framework. The five governance domains derive from existing regulatory expectations and safety-critical systems design; the novelty lies in three elements: (a) the conjunctive decision logic applied across them, (b) a concrete constrained override pathway for Gates 2–4 with structural safeguards against override accumulation, and (c) a shared-service governance model for institutions lacking capacity to satisfy Gates 4 and 5 unilaterally.</w:t>
      </w:r>
    </w:p>
    <w:p w14:paraId="6E5B28E4" w14:textId="77777777" w:rsidR="005C28BA" w:rsidRDefault="00000000">
      <w:pPr>
        <w:spacing w:after="120" w:line="360" w:lineRule="auto"/>
      </w:pPr>
      <w:r>
        <w:t>A companion simulation study [25] characterises the scope conditions under which the gate safety advantage holds or disappears; the present Viewpoint provides the institutional and normative argumentation for the architecture, while the simulation provides the empirical characterisation. Under that study's primary heterogeneous evidence model (1,000 simulated tools), and under the specified model conditions, gates achieved zero unsafe deployments while composite scoring at a moderate threshold permitted unsafe deployment in 0.9% of simulated evaluations. Each paper is designed to stand independently. What this paper is not This Viewpoint is a scholarly proposal for institutional decision logic, not a commercial standard, product specification, or implementation guide. The gate architecture described here is derived from published regulatory requirements and decision-theoretic principles available in the public domain. It does not require adoption of any proprietary methodology for implementation.</w:t>
      </w:r>
    </w:p>
    <w:p w14:paraId="3A3CA804" w14:textId="77777777" w:rsidR="005C28BA" w:rsidRDefault="00000000">
      <w:pPr>
        <w:spacing w:after="120" w:line="360" w:lineRule="auto"/>
      </w:pPr>
      <w:r>
        <w:t xml:space="preserve">Institutions may implement the conjunctive decision logic described here using existing governance infrastructure, and the framework is designed to be compatible with, not competitive against, established governance tools including FUTURE-AI [26], TEHAI [28], and translational governance frameworks. Situating the Contribution: Decision-Rule Gap Audit To move from assertion to documented evidence regarding the absence of explicit deployment decision rules in existing governance instruments, a targeted document audit was conducted. The audit assessed </w:t>
      </w:r>
      <w:r>
        <w:lastRenderedPageBreak/>
        <w:t>whether each instrument (1) specifies an explicit rule for converting multi-domain governance evidence into a binary deployment decision (go/no-go), (2) defines aggregation logic (e.g. weighted scoring or minimum floors), (3) specifies any override mechanism and constraints, and (4) explicitly assigns final deployment authority (see Multimedia Appendix 4 for the full coding frame). The audit was limited to explicit statements in the instrument text; items were coded as "present" only when decision logic was described in operational terms (e.g. threshold(s), pass/fail criteria, or a defined aggregation rule), rather than as high-level recommendations or general lifecycle principles.</w:t>
      </w:r>
    </w:p>
    <w:p w14:paraId="44067E97" w14:textId="77777777" w:rsidR="005C28BA" w:rsidRDefault="00000000">
      <w:pPr>
        <w:spacing w:after="120" w:line="360" w:lineRule="auto"/>
      </w:pPr>
      <w:r>
        <w:t xml:space="preserve">Audit findings Across the reviewed instruments, governance requirements were commonly expressed as (a) lifecycle guidance and best practices, (b) evaluation domains and evidence expectations, or (c) regulatory obligations for risk management and documentation (Table 1; Multimedia Appendix 5). FUTURE-AI [26] provides guidance for the development and deployment of trustworthy healthcare AI with 30 detailed recommendations across the AI </w:t>
      </w:r>
      <w:proofErr w:type="gramStart"/>
      <w:r>
        <w:t>lifecycle, but</w:t>
      </w:r>
      <w:proofErr w:type="gramEnd"/>
      <w:r>
        <w:t xml:space="preserve"> does not itself articulate an explicit institutional activation rule for go/no-go deployment decisions. TEHAI [28] is presented as a translational evaluation framework with components that can be applied at any stage of the development and deployment of the AI system, but it is framed as an evaluation instrument rather than an explicit activation decision rule. NICE's Evidence Standards Framework [5] describes the evidence that should be available or developed for digital health technologies and notes it can be used when evaluating a technology for a commissioning or purchasing decision, but it does not specify a single decision rule architecture for combining heterogeneous evidence into a binding deployment decision.</w:t>
      </w:r>
    </w:p>
    <w:p w14:paraId="4833383A" w14:textId="77777777" w:rsidR="005C28BA" w:rsidRDefault="00000000">
      <w:pPr>
        <w:spacing w:after="120" w:line="360" w:lineRule="auto"/>
      </w:pPr>
      <w:r>
        <w:t>Regulatory documents similarly emphasise lifecycle risk management and documentation content.</w:t>
      </w:r>
    </w:p>
    <w:p w14:paraId="7000ECF2" w14:textId="77777777" w:rsidR="005C28BA" w:rsidRDefault="00000000">
      <w:pPr>
        <w:spacing w:after="120" w:line="360" w:lineRule="auto"/>
      </w:pPr>
      <w:r>
        <w:t>The FDA's draft guidance on AI-enabled device software functions [27] provides recommendations regarding the contents of marketing submissions and frames recommendations within total product lifecycle risk management, rather than specifying institutional deployment activation logic.</w:t>
      </w:r>
    </w:p>
    <w:p w14:paraId="6E8F04FC" w14:textId="77777777" w:rsidR="005C28BA" w:rsidRDefault="00000000">
      <w:pPr>
        <w:spacing w:after="120" w:line="360" w:lineRule="auto"/>
      </w:pPr>
      <w:r>
        <w:t xml:space="preserve">The EU AI Act [3] sets a harmonised legal framework for AI systems including placing on the market and putting into service, but it is structured as a regulatory regime and does not function as an institutional decision rule specification for local deployment committees. ISO/IEC 42001 </w:t>
      </w:r>
      <w:r>
        <w:lastRenderedPageBreak/>
        <w:t>[4] specifies requirements for establishing and continually improving an AI management system, again without specifying a particular deployment decision-rule architecture. Table 1 summarises the audit findings. The full evidence table with verbatim excerpts supporting each coding decision is provided in Multimedia Appendix 5.</w:t>
      </w:r>
    </w:p>
    <w:p w14:paraId="7FBF2829" w14:textId="77777777" w:rsidR="005C28BA" w:rsidRDefault="00000000">
      <w:pPr>
        <w:spacing w:after="120" w:line="360" w:lineRule="auto"/>
      </w:pPr>
      <w:r>
        <w:t xml:space="preserve">*Table 1. Decision-rule elements explicitly stated in selected clinical AI governance instruments (targeted document audit). \"Explicit deployment decision rule\" indicates a specified mechanism linking governance evidence to a binary go/no-go deployment </w:t>
      </w:r>
      <w:proofErr w:type="gramStart"/>
      <w:r>
        <w:t>decision.*</w:t>
      </w:r>
      <w:proofErr w:type="gramEnd"/>
    </w:p>
    <w:p w14:paraId="6374AD65" w14:textId="77777777" w:rsidR="005C28BA" w:rsidRDefault="00000000">
      <w:pPr>
        <w:spacing w:after="120" w:line="360" w:lineRule="auto"/>
      </w:pPr>
      <w:r>
        <w:t xml:space="preserve">———————————————————————————— </w:t>
      </w:r>
      <w:r>
        <w:rPr>
          <w:b/>
          <w:bCs/>
        </w:rPr>
        <w:t>Framework</w:t>
      </w:r>
      <w:r>
        <w:t xml:space="preserve">   </w:t>
      </w:r>
      <w:r>
        <w:rPr>
          <w:b/>
          <w:bCs/>
        </w:rPr>
        <w:t xml:space="preserve">Explicit      </w:t>
      </w:r>
      <w:r>
        <w:t xml:space="preserve">Aggregation   </w:t>
      </w:r>
      <w:r>
        <w:rPr>
          <w:b/>
          <w:bCs/>
        </w:rPr>
        <w:t xml:space="preserve">Override      </w:t>
      </w:r>
      <w:r>
        <w:t xml:space="preserve">Final deployment </w:t>
      </w:r>
      <w:proofErr w:type="spellStart"/>
      <w:r>
        <w:t>deployment</w:t>
      </w:r>
      <w:proofErr w:type="spellEnd"/>
      <w:r>
        <w:t xml:space="preserve">      logic           pathway         authority assigned</w:t>
      </w:r>
      <w:r>
        <w:rPr>
          <w:b/>
          <w:bCs/>
        </w:rPr>
        <w:t xml:space="preserve"> decision rule</w:t>
      </w:r>
      <w:r>
        <w:t xml:space="preserve"> specified</w:t>
      </w:r>
      <w:r>
        <w:rPr>
          <w:b/>
          <w:bCs/>
        </w:rPr>
        <w:t xml:space="preserve">     </w:t>
      </w:r>
      <w:proofErr w:type="spellStart"/>
      <w:r>
        <w:rPr>
          <w:b/>
          <w:bCs/>
        </w:rPr>
        <w:t>specified</w:t>
      </w:r>
      <w:proofErr w:type="spellEnd"/>
      <w:r>
        <w:t xml:space="preserve"> ————— ————— ————— ————— ——————– FUTURE-AI       Not specified   Not specified   Not specified   Partial (process [26]                                                          ownership)</w:t>
      </w:r>
    </w:p>
    <w:p w14:paraId="0E2CE951" w14:textId="77777777" w:rsidR="005C28BA" w:rsidRDefault="00000000">
      <w:pPr>
        <w:spacing w:after="120" w:line="360" w:lineRule="auto"/>
      </w:pPr>
      <w:r>
        <w:t>TEHAI [28]    Not specified   Not specified   Not specified   Not specified</w:t>
      </w:r>
    </w:p>
    <w:p w14:paraId="6BFF71EF" w14:textId="77777777" w:rsidR="005C28BA" w:rsidRDefault="00000000">
      <w:pPr>
        <w:spacing w:after="120" w:line="360" w:lineRule="auto"/>
      </w:pPr>
      <w:r>
        <w:t>NICE ESF [5</w:t>
      </w:r>
      <w:proofErr w:type="gramStart"/>
      <w:r>
        <w:t>]  Not</w:t>
      </w:r>
      <w:proofErr w:type="gramEnd"/>
      <w:r>
        <w:t xml:space="preserve"> specified   Not specified   Not specified   Partial</w:t>
      </w:r>
    </w:p>
    <w:p w14:paraId="41C2CFCA" w14:textId="77777777" w:rsidR="005C28BA" w:rsidRDefault="00000000">
      <w:pPr>
        <w:spacing w:after="120" w:line="360" w:lineRule="auto"/>
      </w:pPr>
      <w:r>
        <w:t xml:space="preserve">FDA AI-DSF      Not </w:t>
      </w:r>
      <w:proofErr w:type="gramStart"/>
      <w:r>
        <w:t>applicable  Not</w:t>
      </w:r>
      <w:proofErr w:type="gramEnd"/>
      <w:r>
        <w:t xml:space="preserve"> specified   Not specified   Partial [27]       </w:t>
      </w:r>
      <w:proofErr w:type="gramStart"/>
      <w:r>
        <w:t xml:space="preserve">   (</w:t>
      </w:r>
      <w:proofErr w:type="gramEnd"/>
      <w:r>
        <w:t>regulatory submission)</w:t>
      </w:r>
    </w:p>
    <w:p w14:paraId="69AA5CDC" w14:textId="77777777" w:rsidR="005C28BA" w:rsidRDefault="00000000">
      <w:pPr>
        <w:spacing w:after="120" w:line="360" w:lineRule="auto"/>
      </w:pPr>
      <w:r>
        <w:t xml:space="preserve">EU AI Act [3] Not specified   Not specified   Not specified   Yes as                                           </w:t>
      </w:r>
      <w:proofErr w:type="gramStart"/>
      <w:r>
        <w:t xml:space="preserve">   (</w:t>
      </w:r>
      <w:proofErr w:type="gramEnd"/>
      <w:r>
        <w:t>provider/deployer institutional                                   obligations) decision rule</w:t>
      </w:r>
    </w:p>
    <w:p w14:paraId="47B95404" w14:textId="77777777" w:rsidR="005C28BA" w:rsidRDefault="00000000">
      <w:pPr>
        <w:spacing w:after="120" w:line="360" w:lineRule="auto"/>
      </w:pPr>
      <w:r>
        <w:t>ISO/IEC 42001   Not specified   Not specified   Not specified   Yes (management [4]                                                           system owner)</w:t>
      </w:r>
    </w:p>
    <w:p w14:paraId="2BD8ED1A" w14:textId="77777777" w:rsidR="005C28BA" w:rsidRDefault="00000000">
      <w:pPr>
        <w:spacing w:after="120" w:line="360" w:lineRule="auto"/>
      </w:pPr>
      <w:r>
        <w:t xml:space="preserve">This </w:t>
      </w:r>
      <w:proofErr w:type="gramStart"/>
      <w:r>
        <w:t>Viewpoint  Specified</w:t>
      </w:r>
      <w:proofErr w:type="gramEnd"/>
      <w:r>
        <w:t xml:space="preserve">       </w:t>
      </w:r>
      <w:proofErr w:type="spellStart"/>
      <w:r>
        <w:t>Specified</w:t>
      </w:r>
      <w:proofErr w:type="spellEnd"/>
      <w:r>
        <w:t xml:space="preserve">       </w:t>
      </w:r>
      <w:proofErr w:type="spellStart"/>
      <w:r>
        <w:t>Specified</w:t>
      </w:r>
      <w:proofErr w:type="spellEnd"/>
      <w:r>
        <w:t xml:space="preserve">       </w:t>
      </w:r>
      <w:proofErr w:type="spellStart"/>
      <w:r>
        <w:t>Specified</w:t>
      </w:r>
      <w:proofErr w:type="spellEnd"/>
      <w:r>
        <w:t xml:space="preserve"> (minimum     </w:t>
      </w:r>
      <w:proofErr w:type="gramStart"/>
      <w:r>
        <w:t xml:space="preserve">   (</w:t>
      </w:r>
      <w:proofErr w:type="gramEnd"/>
      <w:r>
        <w:t>constrained) floors) ————————————————————————————</w:t>
      </w:r>
    </w:p>
    <w:p w14:paraId="3C0CDB82" w14:textId="77777777" w:rsidR="005C28BA" w:rsidRDefault="00000000">
      <w:pPr>
        <w:spacing w:after="120" w:line="360" w:lineRule="auto"/>
      </w:pPr>
      <w:r>
        <w:t xml:space="preserve">All characterisations are the author's interpretive assessment. Taken together, the audit supports a narrow but practically important inference: within the reviewed instruments, the dominant pattern is specification of what to evaluate and what lifecycle controls to maintain, with comparatively limited specification of how heterogeneous evidence should be operationally combined into a binding deployment decision—the gap addressed by the explicit non-compensatory gate decision logic proposed in this Viewpoint. Among the reviewed instruments, no framework combined explicit activation thresholds, non-compensatory logic, and constrained </w:t>
      </w:r>
      <w:r>
        <w:lastRenderedPageBreak/>
        <w:t>override governance within a single auditable deployment decision structure (Table 1; Multimedia Appendix 5). Decision-Theoretic Rationale This Viewpoint implements a conjunctive, non-compensatory decision rule. In decision theory, conjunctive rules are appropriate when failure in any single dimension can produce irreversible harm and when accountability must remain clearly attributable [8]. As an illustrative analogy, the surgical safety checklist applies a similar logic in clinical practice: the absence of sterile technique cannot be compensated by superior surgical skill [7].</w:t>
      </w:r>
    </w:p>
    <w:p w14:paraId="544DD4A1" w14:textId="77777777" w:rsidR="005C28BA" w:rsidRDefault="00000000">
      <w:pPr>
        <w:spacing w:after="120" w:line="360" w:lineRule="auto"/>
      </w:pPr>
      <w:r>
        <w:t>The same asymmetry applies when a developer cannot substitute high training accuracy for an absent monitoring infrastructure. The architecture separates two analytically distinct functions. The gate structure defines five prerequisite domains; the decision rule requires that all five pass for deployment to proceed. This separation eliminates the diffuse responsibility that composite scoring can produce, in which aggregate metrics can obscure whether minimum safety conditions were met by any discrete committee decision [33]. The conjunctive rule creates an asymmetric error structure: it is calibrated to minimise false positives (deployment of unsafe tools) at the acknowledged cost of more false negatives (blocking tools that may have provided benefit despite a correctable evidence gap). The companion simulation study [25] quantifies this trade-off under a range of evidence distribution assumptions; the override pathway and the shared-service model are the architectural responses to the false-negative risk. The Five Governance Gates Each domain constitutes a prerequisite checkpoint requiring a minimum evidence floor. Figure 1 provides a visual overview of the decision pathway.</w:t>
      </w:r>
    </w:p>
    <w:p w14:paraId="48E30C7D" w14:textId="77777777" w:rsidR="005C28BA" w:rsidRDefault="00000000">
      <w:pPr>
        <w:spacing w:after="120" w:line="360" w:lineRule="auto"/>
      </w:pPr>
      <w:r>
        <w:t xml:space="preserve">Three pathway outcomes are distinguished: (a) gate satisfaction (the evidence floor is </w:t>
      </w:r>
      <w:proofErr w:type="gramStart"/>
      <w:r>
        <w:t>met</w:t>
      </w:r>
      <w:proofErr w:type="gramEnd"/>
      <w:r>
        <w:t xml:space="preserve"> and the system proceeds to the next gate), (b) non-overridable failure (Gates 1 and 5), and (c) overridable failure (Gates 2–4). The five-domain decomposition reflects a convergence of requirements across the regulatory instruments reviewed (EU AI Act, FDA SaMD Action Plan, MHRA guidance, ISO/IEC 42001, NICE Evidence Standards Framework, and FUTURE-AI [26]) rather than an arbitrary partitioning. Alternative decompositions were considered and rejected: a four-gate model collapsing documentation and accountability was rejected because it would obscure whether deployment failure arose from absent documentation or from undefined withdrawal authority. A six-gate model separating calibration from broader safety validation was rejected because calibration is functionally inseparable from the clinical validity assessment. Gate 1: Clinical Safety and Validation (Non-Overridable) Failure at Gate 1 is non-overridable: a </w:t>
      </w:r>
      <w:r>
        <w:lastRenderedPageBreak/>
        <w:t>system without evidence of deployment-context performance cannot be safely activated under any documented rationale.</w:t>
      </w:r>
    </w:p>
    <w:p w14:paraId="4962F5BF" w14:textId="77777777" w:rsidR="005C28BA" w:rsidRDefault="00000000">
      <w:pPr>
        <w:spacing w:after="120" w:line="360" w:lineRule="auto"/>
      </w:pPr>
      <w:r>
        <w:t xml:space="preserve">The minimum evidence floor requires: (a) external or temporal validation relevant to the deployment population [9]; (b) calibration assessment beyond discrimination [10]; and (c) a defined statement of intended use and clinical actionability. Gate 2: Bias and Equity Oversight (Overridable </w:t>
      </w:r>
      <w:proofErr w:type="gramStart"/>
      <w:r>
        <w:t>With</w:t>
      </w:r>
      <w:proofErr w:type="gramEnd"/>
      <w:r>
        <w:t xml:space="preserve"> Criteria) Gate 2 addresses the risk that a system with acceptable aggregate performance produces systematically worse outcomes for specific subpopulations. Absent subgroup evaluation constitutes a deployment-blocking failure. Gate 2 failure may be overridden under the constrained exception pathway where equity data collection is actively </w:t>
      </w:r>
      <w:proofErr w:type="gramStart"/>
      <w:r>
        <w:t>underway</w:t>
      </w:r>
      <w:proofErr w:type="gramEnd"/>
      <w:r>
        <w:t xml:space="preserve"> and a prospective monitoring plan is in place. The minimum evidence floor requires: (a) subgroup performance evaluation across socially salient characteristics [12]; (b) explicit statements about training-data representativeness [13]; and (c) a defined governance response for detected inequities. Gate 3: Documentation and Transparency (Overridable </w:t>
      </w:r>
      <w:proofErr w:type="gramStart"/>
      <w:r>
        <w:t>With</w:t>
      </w:r>
      <w:proofErr w:type="gramEnd"/>
      <w:r>
        <w:t xml:space="preserve"> Criteria) Documentation fulfils both operational and transparency functions.</w:t>
      </w:r>
    </w:p>
    <w:p w14:paraId="747A6E29" w14:textId="77777777" w:rsidR="005C28BA" w:rsidRDefault="00000000">
      <w:pPr>
        <w:spacing w:after="120" w:line="360" w:lineRule="auto"/>
      </w:pPr>
      <w:r>
        <w:t xml:space="preserve">Gate 3 requires a model card or model facts label describing data provenance, exclusion criteria, and known risks [15,16], together with rigorous version control. Gate 3 failure is overridable where an interim documentation record is accepted by the accountable lead and a complete model card is committed to within a fixed period (proposed provisional default of 60 days, requiring empirical calibration). Gate 4: Accountability and Decision Rights (Overridable </w:t>
      </w:r>
      <w:proofErr w:type="gramStart"/>
      <w:r>
        <w:t>With</w:t>
      </w:r>
      <w:proofErr w:type="gramEnd"/>
      <w:r>
        <w:t xml:space="preserve"> Criteria) Undefined accountability creates moral hazard. Gate 4 requires a named accountable owner with explicit suspension authority, and separation between procurement incentives and deployment authorisation [18]. Gate 4 failure is overridable where an interim named lead is designated with board approval, and a formal accountability structure is committed to within a provisional 90-day period (requiring empirical calibration). The shared governance service model may satisfy this gate for institutions without an established AI clinical lead role. Gate 5: Lifecycle Monitoring and Drift Management (Non-Overridable) Gate 5 failure is non-overridable: a deployed system that cannot be monitored cannot be safely recalled when performance deteriorates.</w:t>
      </w:r>
    </w:p>
    <w:p w14:paraId="17E10991" w14:textId="77777777" w:rsidR="005C28BA" w:rsidRDefault="00000000">
      <w:pPr>
        <w:spacing w:after="120" w:line="360" w:lineRule="auto"/>
      </w:pPr>
      <w:r>
        <w:t xml:space="preserve">The minimum floor requires predefined metrics covering performance, calibration, and alert fatigue, together with prespecified thresholds triggering formal review, pause, or withdrawal. </w:t>
      </w:r>
      <w:r>
        <w:lastRenderedPageBreak/>
        <w:t>These capabilities may be provided through shared infrastructure or external audit services where local technical capacity is limited; the shared monitoring arrangement must be contracted and operational before deployment. Operationalising the Gates: Risk-Tiered Thresholds To prevent evidence requirements from imposing disproportionate burdens on lower-risk applications, risk-tiered thresholds are proposed. The structure of the gates remains constant; the height of the minimum floor varies by risk class. Table 2 presents the risk-tiered thresholds. Domain Standard Risk (Minimum Floor) Higher Risk (Enhanced Floor) Safety (G1) — Non-overridable Intended-use statement; representative internal validation. Prospective external validation; CONSORT-AI alignment [20]. Equity (G2) — Overridable Subgroup reporting across protected characteristics. Intersectional analysis; documented mitigation plan; parity monitoring.</w:t>
      </w:r>
    </w:p>
    <w:p w14:paraId="2F38BE18" w14:textId="77777777" w:rsidR="005C28BA" w:rsidRDefault="00000000">
      <w:pPr>
        <w:spacing w:after="120" w:line="360" w:lineRule="auto"/>
      </w:pPr>
      <w:r>
        <w:t xml:space="preserve">Documentation (G3) — Overridable Model card with data provenance and exclusion criteria. Full technical file; version-controlled traceability log. Accountability (G4) — Overridable Named withdrawal </w:t>
      </w:r>
      <w:proofErr w:type="gramStart"/>
      <w:r>
        <w:t>authority;</w:t>
      </w:r>
      <w:proofErr w:type="gramEnd"/>
      <w:r>
        <w:t xml:space="preserve"> escalation pathway. Board sign-off; AI Clinical Lead with protected time. Monitoring (G5) — Non-overridable Monthly performance audits with documented review; or contracted shared-service equivalent. Real-time drift detection; automated alert thresholds; independent audit. Table 2. Risk-tiered minimum evidence thresholds by governance domain.</w:t>
      </w:r>
    </w:p>
    <w:p w14:paraId="2EE15DF6" w14:textId="77777777" w:rsidR="005C28BA" w:rsidRDefault="00000000">
      <w:pPr>
        <w:spacing w:after="120" w:line="360" w:lineRule="auto"/>
      </w:pPr>
      <w:r>
        <w:t>Constrained Override Pathway: Criteria and Safeguards Gates 2, 3, and 4 failures may be subject to a constrained exception pathway, recognising that some evidence gaps are correctable administrative deficits rather than fundamental safety failures. Gates 1 and 5 remain non-overridable. The override pathway is not a weakening of the conjunctive rule but a structured mechanism for distinguishing safety-critical failures from governance-administrative deficits resolvable within a bounded period. Four operative criteria must be simultaneously satisfied: (1) Documented rationale from the accountable clinical lead; (2) a maximum validity period of 90 days (proposed as a provisional pilot default requiring empirical calibration rather than a quasi-canonical value); (3) a prospective monitoring plan specific to the gap; and (4) board or governance committee approval producing a documented record. Figure 2 provides a structured override request form template. Preventing Override Accumulation Three structural safeguards are proposed to prevent override creep.</w:t>
      </w:r>
    </w:p>
    <w:p w14:paraId="16DE6589" w14:textId="77777777" w:rsidR="005C28BA" w:rsidRDefault="00000000">
      <w:pPr>
        <w:spacing w:after="120" w:line="360" w:lineRule="auto"/>
      </w:pPr>
      <w:r>
        <w:lastRenderedPageBreak/>
        <w:t>First, concurrent override limits: a single AI system may not operate under more than one active override simultaneously (proposed as a provisional default; institutions may calibrate based on portfolio size and risk tolerance). Second, institutional override registers: all active overrides maintained in a single, auditable register visible to the governance committee. Third, escalation triggers: if more than two AI systems are operating under active overrides, or if any single gate generates overrides across more than 30% of deployed systems (a proposed starting point requiring local calibration), the governance committee must convene a structural review. All three parameters are proposed as provisional design defaults for pilot testing, not as empirically validated values. Their optimal calibration is an explicit priority for the pilot evaluation agenda.</w:t>
      </w:r>
    </w:p>
    <w:p w14:paraId="6CE9F0F7" w14:textId="77777777" w:rsidR="005C28BA" w:rsidRDefault="00000000">
      <w:pPr>
        <w:spacing w:after="120" w:line="360" w:lineRule="auto"/>
      </w:pPr>
      <w:r>
        <w:t>Shared Governance Service Model Resource-constrained institutions may implement gate governance through shared service arrangements: (1) pooled audit capacity across institutions for independent Gate 1 safety validation; (2) governance-as-a-service for documentation and accountability infrastructure (Gates 3–4); and (3) consortium-based evidence pooling. The deploying institution retains ultimate liability regardless of external service provision.</w:t>
      </w:r>
    </w:p>
    <w:p w14:paraId="65CE1669" w14:textId="77777777" w:rsidR="005C28BA" w:rsidRDefault="00000000">
      <w:pPr>
        <w:spacing w:after="120" w:line="360" w:lineRule="auto"/>
      </w:pPr>
      <w:r>
        <w:t>Illustrative Application: Epic Sepsis Model External validation of a widely deployed sepsis prediction model identified materially lower performance than vendor claims [21]. Under a gate-based architecture, an institution applying gate logic to the published evidence would have identified deployment-blocking failures in Gate 1 (Safety: lack of local calibration), Gate 3 (Documentation: proprietary constraints), and Gate 5 (Monitoring: absent alert-burden thresholds). A historical replay evaluation is consistent with this: the case failed the safety, calibration, and traceability gates under moderate governance stringency. This case does not demonstrate that gate logic would have produced a categorically better patient outcome — that claim is not empirically testable retrospectively. Stress-Testing the Framework: Where Gates May Misclassify The most plausible false-negative scenario is a technically safe system delayed because governance documentation and monitoring infrastructure have not kept pace with technical readiness. Both failures are addressable without further technical validation: Gate 3 through a documentation override; Gate 5 by contracting a regional monitoring hub before deployment. The companion simulation study [25] characterises the frequency with which this type of scenario arises under different institutional evidence distributions; detailed results are reported in that study. Discussion Situating the Contribution This Viewpoint advances a decision-theoretic activation rule to the existing governance literature.</w:t>
      </w:r>
    </w:p>
    <w:p w14:paraId="2E3E9C87" w14:textId="77777777" w:rsidR="005C28BA" w:rsidRDefault="00000000">
      <w:pPr>
        <w:spacing w:after="120" w:line="360" w:lineRule="auto"/>
      </w:pPr>
      <w:r>
        <w:lastRenderedPageBreak/>
        <w:t>Whilst Reddy et al [1], Freeman et al [23], and the FUTURE-AI consensus [26] provide frameworks specifying what to govern, the present proposal specifies how accumulated evidence should crystallise into a binary institutional decision. The decision-rule gap audit (Table 1) provides documented empirical support for the claim that this activation logic is not specified in current governance instruments. The companion simulation study [25] provides the empirical scope-condition analysis: within the tested simulation architecture, the gate safety advantage is strongest when unsafe tools exhibit heterogeneous evidence profiles, and this advantage diminishes to zero when they fail uniformly across all domains.</w:t>
      </w:r>
    </w:p>
    <w:p w14:paraId="3307AD7A" w14:textId="77777777" w:rsidR="005C28BA" w:rsidRDefault="00000000">
      <w:pPr>
        <w:spacing w:after="120" w:line="360" w:lineRule="auto"/>
      </w:pPr>
      <w:r>
        <w:t>Preliminary Validation Using PhysioNet Clinical Benchmark Data</w:t>
      </w:r>
    </w:p>
    <w:p w14:paraId="4896F145" w14:textId="77777777" w:rsidR="005C28BA" w:rsidRDefault="00000000">
      <w:pPr>
        <w:spacing w:after="120" w:line="360" w:lineRule="auto"/>
      </w:pPr>
      <w:r>
        <w:t xml:space="preserve">Preliminary validation using PhysioNet 2019 clinical benchmark data (detailed in Supplementary Appendix C) provides early empirical support consistent with the gate architecture's practical applicability. Two candidate sepsis prediction models — a </w:t>
      </w:r>
      <w:proofErr w:type="spellStart"/>
      <w:r>
        <w:t>GradientBoosting</w:t>
      </w:r>
      <w:proofErr w:type="spellEnd"/>
      <w:r>
        <w:t xml:space="preserve"> ensemble and a </w:t>
      </w:r>
      <w:proofErr w:type="spellStart"/>
      <w:r>
        <w:t>RandomForest</w:t>
      </w:r>
      <w:proofErr w:type="spellEnd"/>
      <w:r>
        <w:t xml:space="preserve"> classifier — were processed through the identical five-gate governance engine used in the companion simulation and historical replay studies, evaluating 5,000 patients (188,453 patient-hours). The framework meaningfully discriminated between the two architecturally distinct models: the bias gate differentiated them (</w:t>
      </w:r>
      <w:proofErr w:type="spellStart"/>
      <w:r>
        <w:t>GradientBoosting</w:t>
      </w:r>
      <w:proofErr w:type="spellEnd"/>
      <w:r>
        <w:t xml:space="preserve"> </w:t>
      </w:r>
      <w:proofErr w:type="spellStart"/>
      <w:r>
        <w:t>bias_harm_index</w:t>
      </w:r>
      <w:proofErr w:type="spellEnd"/>
      <w:r>
        <w:t xml:space="preserve"> 0.088 vs </w:t>
      </w:r>
      <w:proofErr w:type="spellStart"/>
      <w:r>
        <w:t>RandomForest</w:t>
      </w:r>
      <w:proofErr w:type="spellEnd"/>
      <w:r>
        <w:t xml:space="preserve"> 0.211), while the calibration gate showed the reverse pattern (0.651 vs 0.886). Under the moderate governance profile, both models were rejected due to the safety gate (</w:t>
      </w:r>
      <w:proofErr w:type="spellStart"/>
      <w:r>
        <w:t>intrinsic_safety</w:t>
      </w:r>
      <w:proofErr w:type="spellEnd"/>
      <w:r>
        <w:t xml:space="preserve"> 0.438 and 0.418 respectively, below the 0.50 threshold), consistent with the known challenges of sepsis prediction in external validation settings. Under the permissive profile, both models passed all five gates. This graduated response across governance profiles is consistent with the gate architecture operating as theoretically predicted on real clinical AI systems: it surfaces different governance risk dimensions and tightens proportionally with increasing stringency.</w:t>
      </w:r>
    </w:p>
    <w:p w14:paraId="61B2B6A3" w14:textId="77777777" w:rsidR="005C28BA" w:rsidRDefault="00000000">
      <w:pPr>
        <w:spacing w:after="120" w:line="360" w:lineRule="auto"/>
      </w:pPr>
      <w:r>
        <w:t>An expanded benchmark evaluation (91 cases across three encoding quality tiers) is described in Supplementary Appendix C. Under the moderate governance profile, 60 of 61 failure cases were rejected and all 30 controls approved (Supplementary Appendix C). This result is derived from structured retrospective evaluation datasets and does not constitute prospective real-world validation.</w:t>
      </w:r>
    </w:p>
    <w:p w14:paraId="20156B80" w14:textId="77777777" w:rsidR="005C28BA" w:rsidRDefault="00000000">
      <w:pPr>
        <w:spacing w:after="120" w:line="360" w:lineRule="auto"/>
      </w:pPr>
      <w:r>
        <w:t>Enriched triangulation evidence details are provided in Supplementary Appendix A.</w:t>
      </w:r>
    </w:p>
    <w:p w14:paraId="70C9D0A2" w14:textId="77777777" w:rsidR="005C28BA" w:rsidRDefault="00000000">
      <w:pPr>
        <w:spacing w:after="120" w:line="360" w:lineRule="auto"/>
      </w:pPr>
      <w:r>
        <w:lastRenderedPageBreak/>
        <w:t xml:space="preserve">Encoding Robustness An adversarial encoding perturbation analysis tested governance verdict sensitivity across the 12 canonical cases by shifting each of the five gate features independently by up to ±0.10 (240 non-baseline perturbation evaluations). Verdicts were stable in 239 of 240 evaluations (99.6%); the sole verdict change occurred for the boundary case (Google DR, safety margin 0.05) when </w:t>
      </w:r>
      <w:proofErr w:type="spellStart"/>
      <w:r>
        <w:t>intrinsic_safety</w:t>
      </w:r>
      <w:proofErr w:type="spellEnd"/>
      <w:r>
        <w:t xml:space="preserve"> was reduced by 0.10. This computational robustness check does not substitute for independent inter-rater reliability, which remains a priority for follow-on work, but it demonstrates that governance outcomes are insensitive to single-feature perturbation within a ±0.10 stress-test envelope for all clearly rejected cases.</w:t>
      </w:r>
    </w:p>
    <w:p w14:paraId="0955CD77" w14:textId="77777777" w:rsidR="005C28BA" w:rsidRDefault="00000000">
      <w:pPr>
        <w:spacing w:after="120" w:line="360" w:lineRule="auto"/>
      </w:pPr>
      <w:r>
        <w:t>Decomposition Robustness To test whether the safety advantage depends on the specific five-gate decomposition, three alternative structures were evaluated alongside the five-gate baseline through the companion simulation engine using the identical portfolio (n=1,000, seed 20260304): a three-gate merged model (</w:t>
      </w:r>
      <w:proofErr w:type="spellStart"/>
      <w:r>
        <w:t>safety+monitoring</w:t>
      </w:r>
      <w:proofErr w:type="spellEnd"/>
      <w:r>
        <w:t xml:space="preserve">, </w:t>
      </w:r>
      <w:proofErr w:type="spellStart"/>
      <w:r>
        <w:t>equity+accountability</w:t>
      </w:r>
      <w:proofErr w:type="spellEnd"/>
      <w:r>
        <w:t>, documentation), a four-gate model collapsing documentation and accountability, and a six-gate model splitting safety into discrimination and calibration sub-gates. A pre-specified seven-gate model was excluded because the simulation does not generate robustness and gaming as observable features. Under all four decomposition configurations, the non-compensatory architecture achieved zero unsafe deployments, while compensatory scoring at a fixed 0.50 threshold permitted 4.0%–7.1% unsafe deployment rates. This indicates that the conjunctive mechanism—not the specific domain partitioning—drives the safety differential, though the comparison does not establish that the five-gate decomposition is uniquely optimal.</w:t>
      </w:r>
    </w:p>
    <w:p w14:paraId="3BB81663" w14:textId="77777777" w:rsidR="005C28BA" w:rsidRDefault="00000000">
      <w:pPr>
        <w:spacing w:after="120" w:line="360" w:lineRule="auto"/>
      </w:pPr>
      <w:r>
        <w:t xml:space="preserve">Relationship to FUTURE-AI and Recent Governance Literature The gate architecture is compatible with and complementary to the FUTURE-AI consensus guideline [26]. In this paper's mapping, FUTURE-AI's 30 best practices align with the five governance domains: fairness aligns with Gate 2 (equity); traceability and explainability with Gate 3 (documentation); usability with Gates 1 and 4 (safety and accountability); and robustness with Gate 5 (monitoring). The gate architecture does not compete with FUTURE-AI; it provides the decision-theoretic layer that converts FUTURE-AI evidence into an institutional deployment decision. Recent work on post-market surveillance [27,29] further reinforces the non-overridable status of Gate 5: the evidence that existing adverse event reporting systems are insufficient for AI/ML devices strengthens the case for requiring monitoring infrastructure as a deployment prerequisite. Scope </w:t>
      </w:r>
      <w:r>
        <w:lastRenderedPageBreak/>
        <w:t>and Boundaries: What This Architecture Does Not Do The gate architecture is a necessary but not sufficient condition for safe clinical AI deployment.</w:t>
      </w:r>
    </w:p>
    <w:p w14:paraId="203FAABC" w14:textId="77777777" w:rsidR="005C28BA" w:rsidRDefault="00000000">
      <w:pPr>
        <w:spacing w:after="120" w:line="360" w:lineRule="auto"/>
      </w:pPr>
      <w:r>
        <w:t>Passing all five gates indicates that minimum governance evidence exists; it does not guarantee that the system will perform safely in clinical practice. Three categories of deployment risk fall explicitly outside the architecture's scope: sociotechnical integration failures [17,23], procurement governance, and the replacement of clinical trial evidence where required by regulation.</w:t>
      </w:r>
    </w:p>
    <w:p w14:paraId="4585AECF" w14:textId="77777777" w:rsidR="005C28BA" w:rsidRDefault="00000000">
      <w:pPr>
        <w:spacing w:after="120" w:line="360" w:lineRule="auto"/>
      </w:pPr>
      <w:r>
        <w:t xml:space="preserve">From Theory to Empirical Testing: Pilot Design and Measurable Endpoints The transition from theoretical proposal to evidence-based policy requires a prospective pilot. The companion simulation study [25] specifies this design: a cohort of candidate AI tools undergoing institutional evaluation, with evaluators recording whether the minimum evidence floor for each gate was satisfied at the time of the deployment decision. This pilot is embeddable within existing NHS AI oversight committee structures. The primary measurable endpoint for the proposed pilot is the distribution of evidence heterogeneity across gates (i.e. whether institutional evidence profiles resemble the heterogeneous model in which the gate safety advantage is strongest). Secondary endpoints </w:t>
      </w:r>
      <w:proofErr w:type="gramStart"/>
      <w:r>
        <w:t>include:</w:t>
      </w:r>
      <w:proofErr w:type="gramEnd"/>
      <w:r>
        <w:t xml:space="preserve"> override invocation frequency and duration, median time from first gate failure to remediation completion, gate failure concentration patterns (which gates fail most frequently and for which tool risk classes), and committee decision concordance with gate recommendations.</w:t>
      </w:r>
    </w:p>
    <w:p w14:paraId="3490241A" w14:textId="77777777" w:rsidR="005C28BA" w:rsidRDefault="00000000">
      <w:pPr>
        <w:spacing w:after="120" w:line="360" w:lineRule="auto"/>
      </w:pPr>
      <w:r>
        <w:t>This work represents a conceptual synthesis and decision-rule gap audit</w:t>
      </w:r>
    </w:p>
    <w:p w14:paraId="18C5B850" w14:textId="77777777" w:rsidR="005C28BA" w:rsidRDefault="00000000">
      <w:pPr>
        <w:spacing w:after="120" w:line="360" w:lineRule="auto"/>
      </w:pPr>
      <w:r>
        <w:t xml:space="preserve">These endpoints are prespecified to enable both confirmatory evaluation of the gate architecture's safety properties and exploratory analysis of its operational feasibility in practice. The pilot design requires no change to clinical care pathways and can be conducted as a parallel evaluation alongside existing governance processes. The companion empirical study [25] provides a unified dataset of 20 core-equivalent failure cases and 12 FDA-cleared control devices, all encoded under a single canonical schema with per-feature triangulation and gate traceability. This result is derived from structured retrospective evaluation datasets and does not constitute prospective real-world validation. This provides preliminary evidence consistent with the proposed decision rule being </w:t>
      </w:r>
      <w:proofErr w:type="spellStart"/>
      <w:r>
        <w:t>operationalisable</w:t>
      </w:r>
      <w:proofErr w:type="spellEnd"/>
      <w:r>
        <w:t xml:space="preserve"> and measurable, though device-specific independent evaluations and second-encoder validation remain outstanding.</w:t>
      </w:r>
    </w:p>
    <w:p w14:paraId="743C97BF" w14:textId="77777777" w:rsidR="005C28BA" w:rsidRDefault="00000000">
      <w:pPr>
        <w:spacing w:after="120" w:line="360" w:lineRule="auto"/>
      </w:pPr>
      <w:r>
        <w:lastRenderedPageBreak/>
        <w:t>Two formal research axes — parameter sensitivity and evidence sensitivity — are identified as the empirical programme following this normative contribution. Details are provided in Supplementary Appendix E.</w:t>
      </w:r>
    </w:p>
    <w:p w14:paraId="53966D8D" w14:textId="77777777" w:rsidR="005C28BA" w:rsidRDefault="00000000">
      <w:pPr>
        <w:pStyle w:val="Heading1"/>
      </w:pPr>
      <w:r>
        <w:t>Limitations</w:t>
      </w:r>
    </w:p>
    <w:p w14:paraId="4CF59B1B" w14:textId="77777777" w:rsidR="005C28BA" w:rsidRDefault="00000000">
      <w:pPr>
        <w:spacing w:after="120" w:line="360" w:lineRule="auto"/>
      </w:pPr>
      <w:r>
        <w:t>This framework has not been prospectively evaluated in a live clinical setting. The threshold parameters provided are templates requiring local calibration. The 90-day override validity period, the concurrent override limit, and the 30% escalation trigger are proposed as provisional pilot defaults on practical grounds rather than empirical evidence; their optimal values are an explicit priority for empirical testing. The interaction among gate failure modes is not fully addressed; this limitation is partially mitigated by the sensitivity analyses in the companion study [25]. The decision-rule gap audit was conducted by a single author; whether other analysts would derive the same coding is an empirical question.</w:t>
      </w:r>
    </w:p>
    <w:p w14:paraId="054C2F55" w14:textId="77777777" w:rsidR="005C28BA" w:rsidRDefault="00000000">
      <w:pPr>
        <w:spacing w:after="120" w:line="360" w:lineRule="auto"/>
      </w:pPr>
      <w:r>
        <w:t>The audit applied a conservative coding frame (items coded as "present" only when operational decision logic was explicitly stated); this conservatism may overestimate the gap if decision rules exist in sections not audited. The full evidence table (Multimedia Appendix 5) provides transparency for readers to assess the coding decisions independently. The framework addresses governance evidence gaps within five specified domains; it does not address deployment risks arising from domains outside the gate structure, such as workflow integration failures or clinician trust calibration. Validation Hierarchy The evidence supporting the non-compensatory gate architecture currently spans two validation tiers: Tier 4 (computational simulation, characterising theoretical properties under modelled conditions) and Tier 3 (structured retrospective replay, testing the architecture against documented historical failures with triangulated evidence). Tier 2 (real-world observational evaluation using institutional AI portfolio data) and Tier 1 (prospective controlled evaluation within live governance processes) remain outstanding and constitute the necessary next steps before deployment recommendations can be made. No finding in the present study should be interpreted as evidence from Tier 1 or Tier 2.</w:t>
      </w:r>
    </w:p>
    <w:p w14:paraId="56C07F28" w14:textId="77777777" w:rsidR="005C28BA" w:rsidRDefault="00000000">
      <w:pPr>
        <w:spacing w:after="120" w:line="360" w:lineRule="auto"/>
      </w:pPr>
      <w:r>
        <w:t xml:space="preserve">Patient-Level Consequence Pathway The governance decision modelled here—whether to deploy or block a clinical AI system—has direct patient-level consequences. Deploying an unsafe system exposes patients to misdiagnosis, delayed treatment, or inequitable care. Blocking </w:t>
      </w:r>
      <w:r>
        <w:lastRenderedPageBreak/>
        <w:t>a safe system denies patients access to improved detection, faster triage, or reduced clinician burden. The gate architecture evaluated in this Viewpoint addresses the first risk by enforcing minimum evidence floors; the constrained override pathway and the shared-service model are the architectural responses to the second.</w:t>
      </w:r>
    </w:p>
    <w:p w14:paraId="31DB12F9" w14:textId="77777777" w:rsidR="005C28BA" w:rsidRDefault="00000000">
      <w:pPr>
        <w:spacing w:after="120" w:line="360" w:lineRule="auto"/>
      </w:pPr>
      <w:r>
        <w:t>Scope Boundaries The gate architecture addresses governance evidence assessment within five specified domains. It does not address deployment risks arising from sociotechnical integration failures, procurement governance, clinical trial substitution where required by regulation, workflow integration, clinician trust calibration, or real-time human factors. These domains fall outside the architecture's scope and require complementary assessment processes.</w:t>
      </w:r>
    </w:p>
    <w:p w14:paraId="3C73B472" w14:textId="77777777" w:rsidR="005C28BA" w:rsidRDefault="00000000">
      <w:pPr>
        <w:pStyle w:val="Heading1"/>
      </w:pPr>
      <w:r>
        <w:t>Conclusions</w:t>
      </w:r>
    </w:p>
    <w:p w14:paraId="3DDE5906" w14:textId="77777777" w:rsidR="005C28BA" w:rsidRDefault="00000000">
      <w:pPr>
        <w:spacing w:after="120" w:line="360" w:lineRule="auto"/>
      </w:pPr>
      <w:r>
        <w:t>Non-compensatory governance gates translate regulatory obligations into explicit institutional decisions by defining mandatory evidence floors across five domains. The decision-rule gap audit documented, within the reviewed instruments, a structural absence of explicit activation logic, supporting the need for the conjunctive decision rule proposed here.</w:t>
      </w:r>
    </w:p>
    <w:p w14:paraId="160A0C54" w14:textId="77777777" w:rsidR="005C28BA" w:rsidRDefault="00000000">
      <w:pPr>
        <w:spacing w:after="120" w:line="360" w:lineRule="auto"/>
      </w:pPr>
      <w:r>
        <w:t>The architecture's principal advantage—that critical safety and equity gaps cannot be offset by aggregate performance—is also the source of its principal limitation: the risk of blocking beneficial tools with correctable evidence deficits. This limitation is addressed through the constrained override pathway for Gates 2–4 and a shared governance service model for resource-constrained institutions. The companion simulation study [25] provides the empirical scope-condition characterisation, and the prespecified pilot design with measurable endpoints provides the pathway from theoretical proposal to evidence-based clinical AI governance policy. References 1.</w:t>
      </w:r>
    </w:p>
    <w:p w14:paraId="1A87C17E" w14:textId="77777777" w:rsidR="005C28BA" w:rsidRDefault="00000000">
      <w:pPr>
        <w:spacing w:after="120" w:line="360" w:lineRule="auto"/>
      </w:pPr>
      <w:r>
        <w:t xml:space="preserve">Reddy S, Allan S, Coghlan S, et al. A governance model for implementing AI in healthcare. J Am Med Inform Assoc </w:t>
      </w:r>
      <w:proofErr w:type="gramStart"/>
      <w:r>
        <w:t>2020;27:491</w:t>
      </w:r>
      <w:proofErr w:type="gramEnd"/>
      <w:r>
        <w:t>-7. 2.</w:t>
      </w:r>
    </w:p>
    <w:p w14:paraId="6516C37B" w14:textId="77777777" w:rsidR="005C28BA" w:rsidRDefault="00000000">
      <w:pPr>
        <w:spacing w:after="120" w:line="360" w:lineRule="auto"/>
      </w:pPr>
      <w:r>
        <w:t>He J, Baxter SL, Xu J, et al. The practical implementation of artificial intelligence technologies in medicine.</w:t>
      </w:r>
    </w:p>
    <w:p w14:paraId="3556352E" w14:textId="77777777" w:rsidR="005C28BA" w:rsidRDefault="00000000">
      <w:pPr>
        <w:spacing w:after="120" w:line="360" w:lineRule="auto"/>
      </w:pPr>
      <w:r>
        <w:t xml:space="preserve">Nat Med </w:t>
      </w:r>
      <w:proofErr w:type="gramStart"/>
      <w:r>
        <w:t>2019;25:30</w:t>
      </w:r>
      <w:proofErr w:type="gramEnd"/>
      <w:r>
        <w:t>-6. 3.</w:t>
      </w:r>
    </w:p>
    <w:p w14:paraId="4742E3FA" w14:textId="77777777" w:rsidR="005C28BA" w:rsidRDefault="00000000">
      <w:pPr>
        <w:spacing w:after="120" w:line="360" w:lineRule="auto"/>
      </w:pPr>
      <w:r>
        <w:lastRenderedPageBreak/>
        <w:t>European Parliament. Regulation (EU) 2024/1689 laying down harmonised rules on artificial intelligence (Artificial Intelligence Act). OJ L, 2024/1689. 4.</w:t>
      </w:r>
    </w:p>
    <w:p w14:paraId="6C30C57C" w14:textId="77777777" w:rsidR="005C28BA" w:rsidRDefault="00000000">
      <w:pPr>
        <w:spacing w:after="120" w:line="360" w:lineRule="auto"/>
      </w:pPr>
      <w:r>
        <w:t>International Organization for Standardization. ISO/IEC 42001:2023: Information Technology—Artificial Intelligence—Management System. Geneva: ISO; 2023. 5.</w:t>
      </w:r>
    </w:p>
    <w:p w14:paraId="261513D2" w14:textId="77777777" w:rsidR="005C28BA" w:rsidRDefault="00000000">
      <w:pPr>
        <w:spacing w:after="120" w:line="360" w:lineRule="auto"/>
      </w:pPr>
      <w:r>
        <w:t>National Institute for Health and Care Excellence.</w:t>
      </w:r>
    </w:p>
    <w:p w14:paraId="11A616D0" w14:textId="77777777" w:rsidR="005C28BA" w:rsidRDefault="00000000">
      <w:pPr>
        <w:spacing w:after="120" w:line="360" w:lineRule="auto"/>
      </w:pPr>
      <w:r>
        <w:t>Evidence Standards Framework for Digital Health Technologies. London: NICE; 2022. 6. U.S. Food and Drug Administration.</w:t>
      </w:r>
    </w:p>
    <w:p w14:paraId="2BC5F3E5" w14:textId="77777777" w:rsidR="005C28BA" w:rsidRDefault="00000000">
      <w:pPr>
        <w:spacing w:after="120" w:line="360" w:lineRule="auto"/>
      </w:pPr>
      <w:r>
        <w:t>Artificial Intelligence and Machine Learning (AI/ML) Software as a Medical Device Action Plan.</w:t>
      </w:r>
    </w:p>
    <w:p w14:paraId="642A52DC" w14:textId="77777777" w:rsidR="005C28BA" w:rsidRDefault="00000000">
      <w:pPr>
        <w:spacing w:after="120" w:line="360" w:lineRule="auto"/>
      </w:pPr>
      <w:r>
        <w:t>Silver Spring: FDA; 2021. 7.</w:t>
      </w:r>
    </w:p>
    <w:p w14:paraId="46B9A461" w14:textId="77777777" w:rsidR="005C28BA" w:rsidRDefault="00000000">
      <w:pPr>
        <w:spacing w:after="120" w:line="360" w:lineRule="auto"/>
      </w:pPr>
      <w:r>
        <w:t xml:space="preserve">Haynes AB, Weiser TG, Berry WR, et al. A surgical safety checklist to reduce morbidity and mortality in a global population. N Engl J Med </w:t>
      </w:r>
      <w:proofErr w:type="gramStart"/>
      <w:r>
        <w:t>2009;360:491</w:t>
      </w:r>
      <w:proofErr w:type="gramEnd"/>
      <w:r>
        <w:t>-9. 8.</w:t>
      </w:r>
    </w:p>
    <w:p w14:paraId="5AE3EAA3" w14:textId="77777777" w:rsidR="005C28BA" w:rsidRDefault="00000000">
      <w:pPr>
        <w:spacing w:after="120" w:line="360" w:lineRule="auto"/>
      </w:pPr>
      <w:proofErr w:type="spellStart"/>
      <w:r>
        <w:t>Gigerenzer</w:t>
      </w:r>
      <w:proofErr w:type="spellEnd"/>
      <w:r>
        <w:t xml:space="preserve"> G, </w:t>
      </w:r>
      <w:proofErr w:type="spellStart"/>
      <w:r>
        <w:t>Gaissmaier</w:t>
      </w:r>
      <w:proofErr w:type="spellEnd"/>
      <w:r>
        <w:t xml:space="preserve"> W. Heuristic decision making.</w:t>
      </w:r>
    </w:p>
    <w:p w14:paraId="74AD6167" w14:textId="77777777" w:rsidR="005C28BA" w:rsidRDefault="00000000">
      <w:pPr>
        <w:spacing w:after="120" w:line="360" w:lineRule="auto"/>
      </w:pPr>
      <w:r>
        <w:t xml:space="preserve">Annu Rev </w:t>
      </w:r>
      <w:proofErr w:type="spellStart"/>
      <w:r>
        <w:t>Psychol</w:t>
      </w:r>
      <w:proofErr w:type="spellEnd"/>
      <w:r>
        <w:t xml:space="preserve"> </w:t>
      </w:r>
      <w:proofErr w:type="gramStart"/>
      <w:r>
        <w:t>2011;62:451</w:t>
      </w:r>
      <w:proofErr w:type="gramEnd"/>
      <w:r>
        <w:t>-82. 9.</w:t>
      </w:r>
    </w:p>
    <w:p w14:paraId="3A7EA5BA" w14:textId="77777777" w:rsidR="005C28BA" w:rsidRDefault="00000000">
      <w:pPr>
        <w:spacing w:after="120" w:line="360" w:lineRule="auto"/>
      </w:pPr>
      <w:proofErr w:type="spellStart"/>
      <w:r>
        <w:t>Steyerberg</w:t>
      </w:r>
      <w:proofErr w:type="spellEnd"/>
      <w:r>
        <w:t xml:space="preserve"> EW, </w:t>
      </w:r>
      <w:proofErr w:type="spellStart"/>
      <w:r>
        <w:t>Vergouwe</w:t>
      </w:r>
      <w:proofErr w:type="spellEnd"/>
      <w:r>
        <w:t xml:space="preserve"> Y. Towards better clinical prediction models: seven steps for development and an ABCD for validation.</w:t>
      </w:r>
    </w:p>
    <w:p w14:paraId="27A8AD69" w14:textId="77777777" w:rsidR="005C28BA" w:rsidRDefault="00000000">
      <w:pPr>
        <w:spacing w:after="120" w:line="360" w:lineRule="auto"/>
      </w:pPr>
      <w:proofErr w:type="spellStart"/>
      <w:r>
        <w:t>Eur</w:t>
      </w:r>
      <w:proofErr w:type="spellEnd"/>
      <w:r>
        <w:t xml:space="preserve"> Heart J </w:t>
      </w:r>
      <w:proofErr w:type="gramStart"/>
      <w:r>
        <w:t>2014;35:1925</w:t>
      </w:r>
      <w:proofErr w:type="gramEnd"/>
      <w:r>
        <w:t>-31. 10.</w:t>
      </w:r>
    </w:p>
    <w:p w14:paraId="0D114AA6" w14:textId="77777777" w:rsidR="005C28BA" w:rsidRDefault="00000000">
      <w:pPr>
        <w:spacing w:after="120" w:line="360" w:lineRule="auto"/>
      </w:pPr>
      <w:r>
        <w:t xml:space="preserve">Van </w:t>
      </w:r>
      <w:proofErr w:type="spellStart"/>
      <w:r>
        <w:t>Calster</w:t>
      </w:r>
      <w:proofErr w:type="spellEnd"/>
      <w:r>
        <w:t xml:space="preserve"> B, McLernon DJ, van Smeden M, et al. Calibration: the Achilles heel of predictive analytics. BMC Med </w:t>
      </w:r>
      <w:proofErr w:type="gramStart"/>
      <w:r>
        <w:t>2019;17:230</w:t>
      </w:r>
      <w:proofErr w:type="gramEnd"/>
      <w:r>
        <w:t>. 11.</w:t>
      </w:r>
    </w:p>
    <w:p w14:paraId="6B6969F0" w14:textId="77777777" w:rsidR="005C28BA" w:rsidRDefault="00000000">
      <w:pPr>
        <w:spacing w:after="120" w:line="360" w:lineRule="auto"/>
      </w:pPr>
      <w:r>
        <w:t>Chen IY, Pierson E, Rose S, et al. Ethical machine learning in healthcare.</w:t>
      </w:r>
    </w:p>
    <w:p w14:paraId="46121FC3" w14:textId="77777777" w:rsidR="005C28BA" w:rsidRDefault="00000000">
      <w:pPr>
        <w:spacing w:after="120" w:line="360" w:lineRule="auto"/>
      </w:pPr>
      <w:r>
        <w:t xml:space="preserve">Annu Rev Biomed Data Sci </w:t>
      </w:r>
      <w:proofErr w:type="gramStart"/>
      <w:r>
        <w:t>2021;4:123</w:t>
      </w:r>
      <w:proofErr w:type="gramEnd"/>
      <w:r>
        <w:t>-44. 12.</w:t>
      </w:r>
    </w:p>
    <w:p w14:paraId="4059542E" w14:textId="77777777" w:rsidR="005C28BA" w:rsidRDefault="00000000">
      <w:pPr>
        <w:spacing w:after="120" w:line="360" w:lineRule="auto"/>
      </w:pPr>
      <w:proofErr w:type="spellStart"/>
      <w:r>
        <w:t>Buolamwini</w:t>
      </w:r>
      <w:proofErr w:type="spellEnd"/>
      <w:r>
        <w:t xml:space="preserve"> J, Gebru T. Gender shades: intersectional accuracy disparities in commercial gender classification.</w:t>
      </w:r>
    </w:p>
    <w:p w14:paraId="3DFF4878" w14:textId="77777777" w:rsidR="005C28BA" w:rsidRDefault="00000000">
      <w:pPr>
        <w:spacing w:after="120" w:line="360" w:lineRule="auto"/>
      </w:pPr>
      <w:r>
        <w:t>Proc FAT\* 2018:77-91. 13.</w:t>
      </w:r>
    </w:p>
    <w:p w14:paraId="058C02AF" w14:textId="77777777" w:rsidR="005C28BA" w:rsidRDefault="00000000">
      <w:pPr>
        <w:spacing w:after="120" w:line="360" w:lineRule="auto"/>
      </w:pPr>
      <w:r>
        <w:t xml:space="preserve">Ibrahim H, Liu X, </w:t>
      </w:r>
      <w:proofErr w:type="spellStart"/>
      <w:r>
        <w:t>Zariffa</w:t>
      </w:r>
      <w:proofErr w:type="spellEnd"/>
      <w:r>
        <w:t xml:space="preserve"> N, et al. Health data poverty: an assailable barrier to equitable digital health care.</w:t>
      </w:r>
    </w:p>
    <w:p w14:paraId="674F93F1" w14:textId="77777777" w:rsidR="005C28BA" w:rsidRDefault="00000000">
      <w:pPr>
        <w:spacing w:after="120" w:line="360" w:lineRule="auto"/>
      </w:pPr>
      <w:r>
        <w:lastRenderedPageBreak/>
        <w:t>Lancet Digit Health 2021;</w:t>
      </w:r>
      <w:proofErr w:type="gramStart"/>
      <w:r>
        <w:t>3:e</w:t>
      </w:r>
      <w:proofErr w:type="gramEnd"/>
      <w:r>
        <w:t>260-5. 14.</w:t>
      </w:r>
    </w:p>
    <w:p w14:paraId="72EB705F" w14:textId="77777777" w:rsidR="005C28BA" w:rsidRDefault="00000000">
      <w:pPr>
        <w:spacing w:after="120" w:line="360" w:lineRule="auto"/>
      </w:pPr>
      <w:r>
        <w:t>Biddle NR. Adverse impact and the four-fifths rule. In: The Oxford Handbook of Assessment Policy and Practice in Human Resource Management. Oxford: OUP; 2015. 15.</w:t>
      </w:r>
    </w:p>
    <w:p w14:paraId="4D42D4F6" w14:textId="77777777" w:rsidR="005C28BA" w:rsidRDefault="00000000">
      <w:pPr>
        <w:spacing w:after="120" w:line="360" w:lineRule="auto"/>
      </w:pPr>
      <w:r>
        <w:t>Mitchell M, Wu S, Zaldivar A, et al. Model cards for model reporting.</w:t>
      </w:r>
    </w:p>
    <w:p w14:paraId="17F0C34D" w14:textId="77777777" w:rsidR="005C28BA" w:rsidRDefault="00000000">
      <w:pPr>
        <w:spacing w:after="120" w:line="360" w:lineRule="auto"/>
      </w:pPr>
      <w:r>
        <w:t xml:space="preserve">Proc Conf Fairness Accountability </w:t>
      </w:r>
      <w:proofErr w:type="spellStart"/>
      <w:r>
        <w:t>Transp</w:t>
      </w:r>
      <w:proofErr w:type="spellEnd"/>
      <w:r>
        <w:t xml:space="preserve"> 2019:455-64. 16.</w:t>
      </w:r>
    </w:p>
    <w:p w14:paraId="0A8123F6" w14:textId="77777777" w:rsidR="005C28BA" w:rsidRDefault="00000000">
      <w:pPr>
        <w:spacing w:after="120" w:line="360" w:lineRule="auto"/>
      </w:pPr>
      <w:r>
        <w:t xml:space="preserve">Sendak MP, Gao M, Brajer N, et al. Presenting machine learning model anticipated performance in a clinical setting with the Model Facts label. NPJ Digit Med </w:t>
      </w:r>
      <w:proofErr w:type="gramStart"/>
      <w:r>
        <w:t>2020;3:43</w:t>
      </w:r>
      <w:proofErr w:type="gramEnd"/>
      <w:r>
        <w:t>. 17.</w:t>
      </w:r>
    </w:p>
    <w:p w14:paraId="174D56AE" w14:textId="77777777" w:rsidR="005C28BA" w:rsidRDefault="00000000">
      <w:pPr>
        <w:spacing w:after="120" w:line="360" w:lineRule="auto"/>
      </w:pPr>
      <w:r>
        <w:t xml:space="preserve">Sujan M, Furniss D, Grundy K, et al. Human factors </w:t>
      </w:r>
      <w:proofErr w:type="gramStart"/>
      <w:r>
        <w:t>challenges</w:t>
      </w:r>
      <w:proofErr w:type="gramEnd"/>
      <w:r>
        <w:t xml:space="preserve"> for the safe use of artificial intelligence in patient care. BMJ Health Care Inform 2019;</w:t>
      </w:r>
      <w:proofErr w:type="gramStart"/>
      <w:r>
        <w:t>26:e</w:t>
      </w:r>
      <w:proofErr w:type="gramEnd"/>
      <w:r>
        <w:t>100081. 18.</w:t>
      </w:r>
    </w:p>
    <w:p w14:paraId="0D03218A" w14:textId="77777777" w:rsidR="005C28BA" w:rsidRDefault="00000000">
      <w:pPr>
        <w:spacing w:after="120" w:line="360" w:lineRule="auto"/>
      </w:pPr>
      <w:r>
        <w:t>Arkes HR, Blumer C. The psychology of sunk cost.</w:t>
      </w:r>
    </w:p>
    <w:p w14:paraId="4C2A53D2" w14:textId="77777777" w:rsidR="005C28BA" w:rsidRDefault="00000000">
      <w:pPr>
        <w:spacing w:after="120" w:line="360" w:lineRule="auto"/>
      </w:pPr>
      <w:r>
        <w:t xml:space="preserve">Organ </w:t>
      </w:r>
      <w:proofErr w:type="spellStart"/>
      <w:r>
        <w:t>Behav</w:t>
      </w:r>
      <w:proofErr w:type="spellEnd"/>
      <w:r>
        <w:t xml:space="preserve"> Hum </w:t>
      </w:r>
      <w:proofErr w:type="spellStart"/>
      <w:r>
        <w:t>Decis</w:t>
      </w:r>
      <w:proofErr w:type="spellEnd"/>
      <w:r>
        <w:t xml:space="preserve"> Process </w:t>
      </w:r>
      <w:proofErr w:type="gramStart"/>
      <w:r>
        <w:t>1985;35:124</w:t>
      </w:r>
      <w:proofErr w:type="gramEnd"/>
      <w:r>
        <w:t>-40. 19.</w:t>
      </w:r>
    </w:p>
    <w:p w14:paraId="0EDE6AF8" w14:textId="77777777" w:rsidR="005C28BA" w:rsidRDefault="00000000">
      <w:pPr>
        <w:spacing w:after="120" w:line="360" w:lineRule="auto"/>
      </w:pPr>
      <w:r>
        <w:t xml:space="preserve">Freeman K, </w:t>
      </w:r>
      <w:proofErr w:type="spellStart"/>
      <w:r>
        <w:t>Dinnes</w:t>
      </w:r>
      <w:proofErr w:type="spellEnd"/>
      <w:r>
        <w:t xml:space="preserve"> J, Chuchu N, et al. Algorithm transparency and accountability in health care. BMJ 2021;</w:t>
      </w:r>
      <w:proofErr w:type="gramStart"/>
      <w:r>
        <w:t>372:n</w:t>
      </w:r>
      <w:proofErr w:type="gramEnd"/>
      <w:r>
        <w:t>110. 20.</w:t>
      </w:r>
    </w:p>
    <w:p w14:paraId="05BA711B" w14:textId="77777777" w:rsidR="005C28BA" w:rsidRDefault="00000000">
      <w:pPr>
        <w:spacing w:after="120" w:line="360" w:lineRule="auto"/>
      </w:pPr>
      <w:r>
        <w:t>Liu X, Rivera SC, Moher D, et al. Reporting guidelines for clinical trial reports for interventions involving AI: the CONSORT-AI extension.</w:t>
      </w:r>
    </w:p>
    <w:p w14:paraId="5C91D772" w14:textId="77777777" w:rsidR="005C28BA" w:rsidRDefault="00000000">
      <w:pPr>
        <w:spacing w:after="120" w:line="360" w:lineRule="auto"/>
      </w:pPr>
      <w:r>
        <w:t xml:space="preserve">Nat Med </w:t>
      </w:r>
      <w:proofErr w:type="gramStart"/>
      <w:r>
        <w:t>2020;26:1364</w:t>
      </w:r>
      <w:proofErr w:type="gramEnd"/>
      <w:r>
        <w:t>-74. 21.</w:t>
      </w:r>
    </w:p>
    <w:p w14:paraId="62032AEC" w14:textId="77777777" w:rsidR="005C28BA" w:rsidRDefault="00000000">
      <w:pPr>
        <w:spacing w:after="120" w:line="360" w:lineRule="auto"/>
      </w:pPr>
      <w:r>
        <w:t xml:space="preserve">Wong A, </w:t>
      </w:r>
      <w:proofErr w:type="spellStart"/>
      <w:r>
        <w:t>Otles</w:t>
      </w:r>
      <w:proofErr w:type="spellEnd"/>
      <w:r>
        <w:t xml:space="preserve"> E, Donnelly JP, et al. External validation of a widely implemented proprietary sepsis prediction model in hospitalized patients. JAMA Intern Med </w:t>
      </w:r>
      <w:proofErr w:type="gramStart"/>
      <w:r>
        <w:t>2021;181:1065</w:t>
      </w:r>
      <w:proofErr w:type="gramEnd"/>
      <w:r>
        <w:t>-70. 22.</w:t>
      </w:r>
    </w:p>
    <w:p w14:paraId="2E9278E7" w14:textId="77777777" w:rsidR="005C28BA" w:rsidRDefault="00000000">
      <w:pPr>
        <w:spacing w:after="120" w:line="360" w:lineRule="auto"/>
      </w:pPr>
      <w:r>
        <w:t xml:space="preserve">Habibi R, Podolyak S, Giannini H, et al. Impact of a sepsis prediction model on clinician burden. J Gen Intern Med </w:t>
      </w:r>
      <w:proofErr w:type="gramStart"/>
      <w:r>
        <w:t>2022;37:1629</w:t>
      </w:r>
      <w:proofErr w:type="gramEnd"/>
      <w:r>
        <w:t>-36. 23.</w:t>
      </w:r>
    </w:p>
    <w:p w14:paraId="4434EF3D" w14:textId="77777777" w:rsidR="005C28BA" w:rsidRDefault="00000000">
      <w:pPr>
        <w:spacing w:after="120" w:line="360" w:lineRule="auto"/>
      </w:pPr>
      <w:r>
        <w:t xml:space="preserve">Freeman S, Wang A, Saraf S, et al. Co-designing an AI governance framework: protocol for a participatory approach. JMIR Res </w:t>
      </w:r>
      <w:proofErr w:type="spellStart"/>
      <w:r>
        <w:t>Protoc</w:t>
      </w:r>
      <w:proofErr w:type="spellEnd"/>
      <w:r>
        <w:t xml:space="preserve"> 2025;</w:t>
      </w:r>
      <w:proofErr w:type="gramStart"/>
      <w:r>
        <w:t>14:e</w:t>
      </w:r>
      <w:proofErr w:type="gramEnd"/>
      <w:r>
        <w:t>75702. 24.</w:t>
      </w:r>
    </w:p>
    <w:p w14:paraId="3DCACF47" w14:textId="77777777" w:rsidR="005C28BA" w:rsidRDefault="00000000">
      <w:pPr>
        <w:spacing w:after="120" w:line="360" w:lineRule="auto"/>
      </w:pPr>
      <w:proofErr w:type="spellStart"/>
      <w:r>
        <w:t>Gigerenzer</w:t>
      </w:r>
      <w:proofErr w:type="spellEnd"/>
      <w:r>
        <w:t xml:space="preserve"> G, Goldstein DG. Reasoning the fast and frugal way: models of bounded rationality.</w:t>
      </w:r>
    </w:p>
    <w:p w14:paraId="287EA1A6" w14:textId="77777777" w:rsidR="005C28BA" w:rsidRDefault="00000000">
      <w:pPr>
        <w:spacing w:after="120" w:line="360" w:lineRule="auto"/>
      </w:pPr>
      <w:proofErr w:type="spellStart"/>
      <w:r>
        <w:t>Psychol</w:t>
      </w:r>
      <w:proofErr w:type="spellEnd"/>
      <w:r>
        <w:t xml:space="preserve"> Rev </w:t>
      </w:r>
      <w:proofErr w:type="gramStart"/>
      <w:r>
        <w:t>1996;103:650</w:t>
      </w:r>
      <w:proofErr w:type="gramEnd"/>
      <w:r>
        <w:t>-69. 25.</w:t>
      </w:r>
    </w:p>
    <w:p w14:paraId="1D0C2264" w14:textId="77777777" w:rsidR="005C28BA" w:rsidRDefault="00000000">
      <w:pPr>
        <w:spacing w:after="120" w:line="360" w:lineRule="auto"/>
      </w:pPr>
      <w:r>
        <w:t>Brown W. Operationalizing non-compensatory governance gates: a theory-testing simulation study of clinical AI deployment decisions. JMIR Med Inform 2026. (Companion study; under review at time of this submission.) 26.</w:t>
      </w:r>
    </w:p>
    <w:p w14:paraId="75901BEF" w14:textId="77777777" w:rsidR="005C28BA" w:rsidRDefault="00000000">
      <w:pPr>
        <w:spacing w:after="120" w:line="360" w:lineRule="auto"/>
      </w:pPr>
      <w:proofErr w:type="spellStart"/>
      <w:r>
        <w:lastRenderedPageBreak/>
        <w:t>Lekadir</w:t>
      </w:r>
      <w:proofErr w:type="spellEnd"/>
      <w:r>
        <w:t xml:space="preserve"> K, </w:t>
      </w:r>
      <w:proofErr w:type="spellStart"/>
      <w:r>
        <w:t>Frangi</w:t>
      </w:r>
      <w:proofErr w:type="spellEnd"/>
      <w:r>
        <w:t xml:space="preserve"> AF, Porras AR, et al. FUTURE-AI: international consensus guideline for trustworthy and deployable artificial intelligence in healthcare. BMJ 2025;</w:t>
      </w:r>
      <w:proofErr w:type="gramStart"/>
      <w:r>
        <w:t>388:e</w:t>
      </w:r>
      <w:proofErr w:type="gramEnd"/>
      <w:r>
        <w:t>081554. 27. U.S. Food and Drug Administration.</w:t>
      </w:r>
    </w:p>
    <w:p w14:paraId="348C9636" w14:textId="77777777" w:rsidR="005C28BA" w:rsidRDefault="00000000">
      <w:pPr>
        <w:spacing w:after="120" w:line="360" w:lineRule="auto"/>
      </w:pPr>
      <w:r>
        <w:t>Artificial Intelligence-Enabled Device Software Functions: Lifecycle Management and Marketing Submission Recommendations.</w:t>
      </w:r>
    </w:p>
    <w:p w14:paraId="106B6F29" w14:textId="77777777" w:rsidR="005C28BA" w:rsidRDefault="00000000">
      <w:pPr>
        <w:spacing w:after="120" w:line="360" w:lineRule="auto"/>
      </w:pPr>
      <w:r>
        <w:t>Draft Guidance.</w:t>
      </w:r>
    </w:p>
    <w:p w14:paraId="04942DB2" w14:textId="77777777" w:rsidR="005C28BA" w:rsidRDefault="00000000">
      <w:pPr>
        <w:spacing w:after="120" w:line="360" w:lineRule="auto"/>
      </w:pPr>
      <w:r>
        <w:t>Silver Spring: FDA; January 2025. 28.</w:t>
      </w:r>
    </w:p>
    <w:p w14:paraId="43A9C92D" w14:textId="77777777" w:rsidR="005C28BA" w:rsidRDefault="00000000">
      <w:pPr>
        <w:spacing w:after="120" w:line="360" w:lineRule="auto"/>
      </w:pPr>
      <w:r>
        <w:t>World Health Organization. Ethics and Governance of Artificial Intelligence for Health: Guidance on Large Multi-Modal Models. Geneva: WHO; 2024. 29.</w:t>
      </w:r>
    </w:p>
    <w:p w14:paraId="63979013" w14:textId="77777777" w:rsidR="005C28BA" w:rsidRDefault="00000000">
      <w:pPr>
        <w:spacing w:after="120" w:line="360" w:lineRule="auto"/>
      </w:pPr>
      <w:r>
        <w:t xml:space="preserve">Warraich HJ, </w:t>
      </w:r>
      <w:proofErr w:type="spellStart"/>
      <w:r>
        <w:t>Tazbaz</w:t>
      </w:r>
      <w:proofErr w:type="spellEnd"/>
      <w:r>
        <w:t xml:space="preserve"> T, Califf RM. FDA perspective on the regulation of artificial intelligence in health care and biomedicine. JAMA </w:t>
      </w:r>
      <w:proofErr w:type="gramStart"/>
      <w:r>
        <w:t>2024;332:141</w:t>
      </w:r>
      <w:proofErr w:type="gramEnd"/>
      <w:r>
        <w:t>-50. 30. Medicines and Healthcare products Regulatory Agency. Software and AI as a Medical Device Change Programme. London: MHRA; 2023. Declarations Acknowledgments: None declared. AI Disclosure: Generative AI tools (Claude [Anthropic]) were used during the preparation of this manuscript for copy-editing (grammar and clarity), restructuring of headings and paragraph order, formatting of references, and code assistance in document preparation.</w:t>
      </w:r>
    </w:p>
    <w:p w14:paraId="487F02BE" w14:textId="77777777" w:rsidR="005C28BA" w:rsidRDefault="00000000">
      <w:pPr>
        <w:spacing w:after="120" w:line="360" w:lineRule="auto"/>
      </w:pPr>
      <w:r>
        <w:t xml:space="preserve">31\. </w:t>
      </w:r>
      <w:proofErr w:type="spellStart"/>
      <w:r>
        <w:t>Thokala</w:t>
      </w:r>
      <w:proofErr w:type="spellEnd"/>
      <w:r>
        <w:t xml:space="preserve"> P, Devlin N, Marsh K, et al. Multiple criteria decision analysis for health care decision making—an introduction: Report 1 of the ISPOR MCDA Emerging Good Practices Task Force. Value Health 2016;19(1):1-13.</w:t>
      </w:r>
    </w:p>
    <w:p w14:paraId="4B9904B2" w14:textId="77777777" w:rsidR="005C28BA" w:rsidRDefault="00000000">
      <w:pPr>
        <w:spacing w:after="120" w:line="360" w:lineRule="auto"/>
      </w:pPr>
      <w:r>
        <w:t xml:space="preserve">32\. Marsh K, </w:t>
      </w:r>
      <w:proofErr w:type="spellStart"/>
      <w:r>
        <w:t>IJzerman</w:t>
      </w:r>
      <w:proofErr w:type="spellEnd"/>
      <w:r>
        <w:t xml:space="preserve"> M, </w:t>
      </w:r>
      <w:proofErr w:type="spellStart"/>
      <w:r>
        <w:t>Thokala</w:t>
      </w:r>
      <w:proofErr w:type="spellEnd"/>
      <w:r>
        <w:t xml:space="preserve"> P, et al. Multiple criteria decision analysis for health care decision making—emerging good practices: Report 2 of the ISPOR MCDA Emerging Good Practices Task Force. Value Health 2016;19(2):125-137.</w:t>
      </w:r>
    </w:p>
    <w:p w14:paraId="4855FA0E" w14:textId="77777777" w:rsidR="005C28BA" w:rsidRDefault="00000000">
      <w:pPr>
        <w:spacing w:after="120" w:line="360" w:lineRule="auto"/>
      </w:pPr>
      <w:r>
        <w:t>33\. OECD/European Commission/Joint Research Centre. Handbook on constructing composite indicators: methodology and user guide. Paris: OECD Publishing; 2008.</w:t>
      </w:r>
    </w:p>
    <w:p w14:paraId="2566B950" w14:textId="77777777" w:rsidR="005C28BA" w:rsidRDefault="00000000">
      <w:pPr>
        <w:spacing w:after="120" w:line="360" w:lineRule="auto"/>
      </w:pPr>
      <w:r>
        <w:t>34\. National Institute for Health and Care Excellence. Guide to the methods of technology appraisal 2013. London: NICE; 2013. (Process and</w:t>
      </w:r>
    </w:p>
    <w:p w14:paraId="70DFFDD0" w14:textId="77777777" w:rsidR="005C28BA" w:rsidRDefault="00000000">
      <w:pPr>
        <w:pStyle w:val="Heading1"/>
      </w:pPr>
      <w:r>
        <w:t>Methods</w:t>
      </w:r>
    </w:p>
    <w:p w14:paraId="5C1906E7" w14:textId="77777777" w:rsidR="005C28BA" w:rsidRDefault="00000000">
      <w:pPr>
        <w:spacing w:after="120" w:line="360" w:lineRule="auto"/>
      </w:pPr>
      <w:r>
        <w:lastRenderedPageBreak/>
        <w:t>PMG9.)</w:t>
      </w:r>
    </w:p>
    <w:p w14:paraId="472AACF3" w14:textId="77777777" w:rsidR="005C28BA" w:rsidRDefault="00000000">
      <w:pPr>
        <w:spacing w:after="120" w:line="360" w:lineRule="auto"/>
      </w:pPr>
      <w:r>
        <w:t>No AI tool was used to generate the conceptual framework, governance domain definitions, decision-theoretic arguments, decision-rule gap audit coding, override pathway specification, shared-service model, case mapping, or conclusions. All analytical content was produced by the author. A complete prompt/response log and change-tracking summary is retained and can be supplied to editors and reviewers on request (Multimedia Appendix 6), consistent with JMIR's editorial policy on generative AI use. Transparency regarding AI-assisted preparation is provided via the retained conversation logs submitted as Multimedia Appendix material. No patient-identifiable information or confidential organisational information was entered into any external AI tool. The author reviewed and verified all content and references and takes full responsibility for the manuscript. Conflicts of Interest: WB is the founder of Ethical Alpha Audit, which develops AI governance methodology. WB is also employed as an analyst at NHS England; all views expressed are the author's own and do not represent NHS England. The decision-theoretic arguments advanced in this Viewpoint do not depend on commercial implementation of any specific product.</w:t>
      </w:r>
    </w:p>
    <w:p w14:paraId="4B39C8BC" w14:textId="77777777" w:rsidR="005C28BA" w:rsidRDefault="00000000">
      <w:pPr>
        <w:spacing w:after="120" w:line="360" w:lineRule="auto"/>
      </w:pPr>
      <w:r>
        <w:t># Funding: No external funding was received for this work.</w:t>
      </w:r>
    </w:p>
    <w:p w14:paraId="02D6A1B4" w14:textId="77777777" w:rsidR="005C28BA" w:rsidRDefault="00000000">
      <w:pPr>
        <w:spacing w:after="120" w:line="360" w:lineRule="auto"/>
      </w:pPr>
      <w:r>
        <w:t>Full reproducibility details are provided in Supplementary Appendix A.</w:t>
      </w:r>
    </w:p>
    <w:p w14:paraId="7F061BDA" w14:textId="77777777" w:rsidR="005C28BA" w:rsidRDefault="00000000">
      <w:pPr>
        <w:spacing w:after="120" w:line="360" w:lineRule="auto"/>
      </w:pPr>
      <w:r>
        <w:t>Re-execution from identical inputs produces identical outputs. The archived reference implementation is designed as a deterministic transformation of the canonical governance engine, intended to produce identical results across runs when executed from identical inputs. An earlier public engine implementation had drifted from canonical logic (incorrect 15-feature compensatory formula without bias inversion, threshold profile misalignment, gate evaluation anomalies); all results reported here use the corrected canonical logic (5-feature weighted compensatory model with bias inversion, locked threshold profiles). All results reported in the associated manuscripts were produced using the corrected engine (version-controlled, reproducibility-verified implementation; see reproducibility artefact). Alternative implementations may produce different results.</w:t>
      </w:r>
    </w:p>
    <w:p w14:paraId="28677382" w14:textId="77777777" w:rsidR="005C28BA" w:rsidRDefault="00000000">
      <w:pPr>
        <w:spacing w:after="120" w:line="360" w:lineRule="auto"/>
      </w:pPr>
      <w:r>
        <w:t># Data Availability</w:t>
      </w:r>
    </w:p>
    <w:p w14:paraId="23C70FA1" w14:textId="77777777" w:rsidR="005C28BA" w:rsidRDefault="00000000">
      <w:pPr>
        <w:spacing w:after="120" w:line="360" w:lineRule="auto"/>
      </w:pPr>
      <w:r>
        <w:lastRenderedPageBreak/>
        <w:t>No primary patient data were generated. Secondary benchmark analyses used publicly available PhysioNet data and structured retrospective evaluation datasets described in the companion study [25]. The conceptual analysis and decision-rule gap audit coding are fully described in the manuscript. The full evidence table is provided in Multimedia Appendix 5. Multimedia Appendices Multimedia Appendix 1. Governance dashboard with traffic-light gate status indicators and remediation clock.</w:t>
      </w:r>
    </w:p>
    <w:p w14:paraId="26AF5F51" w14:textId="77777777" w:rsidR="005C28BA" w:rsidRDefault="00000000">
      <w:pPr>
        <w:spacing w:after="120" w:line="360" w:lineRule="auto"/>
      </w:pPr>
      <w:r>
        <w:t># Multimedia Appendix 2.</w:t>
      </w:r>
    </w:p>
    <w:p w14:paraId="30E8795F" w14:textId="77777777" w:rsidR="005C28BA" w:rsidRDefault="00000000">
      <w:pPr>
        <w:spacing w:after="120" w:line="360" w:lineRule="auto"/>
      </w:pPr>
      <w:r>
        <w:t>Model Facts Label template.</w:t>
      </w:r>
    </w:p>
    <w:p w14:paraId="61850E45" w14:textId="77777777" w:rsidR="005C28BA" w:rsidRDefault="00000000">
      <w:pPr>
        <w:spacing w:after="120" w:line="360" w:lineRule="auto"/>
      </w:pPr>
      <w:r>
        <w:t># Multimedia Appendix 3. Structured governance override request form.</w:t>
      </w:r>
    </w:p>
    <w:p w14:paraId="48816853" w14:textId="77777777" w:rsidR="005C28BA" w:rsidRDefault="00000000">
      <w:pPr>
        <w:spacing w:after="120" w:line="360" w:lineRule="auto"/>
      </w:pPr>
      <w:r>
        <w:t># Multimedia Appendix 4. Decision-rule gap audit: coding frame and search strategy.</w:t>
      </w:r>
    </w:p>
    <w:p w14:paraId="278C0A47" w14:textId="77777777" w:rsidR="005C28BA" w:rsidRDefault="00000000">
      <w:pPr>
        <w:spacing w:after="120" w:line="360" w:lineRule="auto"/>
      </w:pPr>
      <w:r>
        <w:t># Multimedia Appendix 5. Decision-rule gap audit: full evidence table with verbatim excerpts and coding decisions.</w:t>
      </w:r>
    </w:p>
    <w:p w14:paraId="4272FC44" w14:textId="77777777" w:rsidR="005C28BA" w:rsidRDefault="00000000">
      <w:pPr>
        <w:spacing w:after="120" w:line="360" w:lineRule="auto"/>
      </w:pPr>
      <w:r>
        <w:t># Multimedia Appendix 6.</w:t>
      </w:r>
    </w:p>
    <w:p w14:paraId="50449891" w14:textId="77777777" w:rsidR="005C28BA" w:rsidRDefault="00000000">
      <w:pPr>
        <w:spacing w:after="120" w:line="360" w:lineRule="auto"/>
      </w:pPr>
      <w:r>
        <w:t>Generative AI use log: prompts, responses, and change-tracking summary. Abbreviations AI: artificial intelligence; CONSORT-AI: Consolidated Standards of Reporting Trials for Artificial Intelligence; DTAC: Digital Technology Assessment Criteria; EU: European Union; FDA: Food and Drug Administration; MHRA: Medicines and Healthcare products Regulatory Agency; NHS: National Health Service; NICE: National Institute for Health and Care Excellence; SaMD: software as a medical device; TEHAI: Translational Ethics for Health AI</w:t>
      </w:r>
    </w:p>
    <w:p w14:paraId="729DC0AC" w14:textId="77777777" w:rsidR="005C28BA" w:rsidRDefault="00000000">
      <w:pPr>
        <w:spacing w:after="120" w:line="360" w:lineRule="auto"/>
      </w:pPr>
      <w:r>
        <w:t>Additional scope conditions and limitations are detailed in Supplementary Appendix D.</w:t>
      </w:r>
    </w:p>
    <w:sectPr w:rsidR="005C28B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FF50E8"/>
    <w:multiLevelType w:val="hybridMultilevel"/>
    <w:tmpl w:val="1C9C171C"/>
    <w:lvl w:ilvl="0" w:tplc="DE364AFA">
      <w:start w:val="1"/>
      <w:numFmt w:val="bullet"/>
      <w:lvlText w:val="●"/>
      <w:lvlJc w:val="left"/>
      <w:pPr>
        <w:ind w:left="720" w:hanging="360"/>
      </w:pPr>
    </w:lvl>
    <w:lvl w:ilvl="1" w:tplc="A566E09A">
      <w:start w:val="1"/>
      <w:numFmt w:val="bullet"/>
      <w:lvlText w:val="○"/>
      <w:lvlJc w:val="left"/>
      <w:pPr>
        <w:ind w:left="1440" w:hanging="360"/>
      </w:pPr>
    </w:lvl>
    <w:lvl w:ilvl="2" w:tplc="EEB05464">
      <w:start w:val="1"/>
      <w:numFmt w:val="bullet"/>
      <w:lvlText w:val="■"/>
      <w:lvlJc w:val="left"/>
      <w:pPr>
        <w:ind w:left="2160" w:hanging="360"/>
      </w:pPr>
    </w:lvl>
    <w:lvl w:ilvl="3" w:tplc="E7928D60">
      <w:start w:val="1"/>
      <w:numFmt w:val="bullet"/>
      <w:lvlText w:val="●"/>
      <w:lvlJc w:val="left"/>
      <w:pPr>
        <w:ind w:left="2880" w:hanging="360"/>
      </w:pPr>
    </w:lvl>
    <w:lvl w:ilvl="4" w:tplc="2F94AC14">
      <w:start w:val="1"/>
      <w:numFmt w:val="bullet"/>
      <w:lvlText w:val="○"/>
      <w:lvlJc w:val="left"/>
      <w:pPr>
        <w:ind w:left="3600" w:hanging="360"/>
      </w:pPr>
    </w:lvl>
    <w:lvl w:ilvl="5" w:tplc="127C6C16">
      <w:start w:val="1"/>
      <w:numFmt w:val="bullet"/>
      <w:lvlText w:val="■"/>
      <w:lvlJc w:val="left"/>
      <w:pPr>
        <w:ind w:left="4320" w:hanging="360"/>
      </w:pPr>
    </w:lvl>
    <w:lvl w:ilvl="6" w:tplc="0ABC3D48">
      <w:start w:val="1"/>
      <w:numFmt w:val="bullet"/>
      <w:lvlText w:val="●"/>
      <w:lvlJc w:val="left"/>
      <w:pPr>
        <w:ind w:left="5040" w:hanging="360"/>
      </w:pPr>
    </w:lvl>
    <w:lvl w:ilvl="7" w:tplc="6818FE90">
      <w:start w:val="1"/>
      <w:numFmt w:val="bullet"/>
      <w:lvlText w:val="●"/>
      <w:lvlJc w:val="left"/>
      <w:pPr>
        <w:ind w:left="5760" w:hanging="360"/>
      </w:pPr>
    </w:lvl>
    <w:lvl w:ilvl="8" w:tplc="77E2827A">
      <w:start w:val="1"/>
      <w:numFmt w:val="bullet"/>
      <w:lvlText w:val="●"/>
      <w:lvlJc w:val="left"/>
      <w:pPr>
        <w:ind w:left="6480" w:hanging="360"/>
      </w:pPr>
    </w:lvl>
  </w:abstractNum>
  <w:num w:numId="1" w16cid:durableId="21290094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28BA"/>
    <w:rsid w:val="00297E51"/>
    <w:rsid w:val="005C28BA"/>
    <w:rsid w:val="00862488"/>
    <w:rsid w:val="00BA119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C7650"/>
  <w15:docId w15:val="{2244D295-1C39-44CF-A440-8101EDEB2F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26"/>
      <w:szCs w:val="26"/>
    </w:rPr>
  </w:style>
  <w:style w:type="paragraph" w:styleId="Heading2">
    <w:name w:val="heading 2"/>
    <w:uiPriority w:val="9"/>
    <w:semiHidden/>
    <w:unhideWhenUsed/>
    <w:qFormat/>
    <w:pPr>
      <w:spacing w:before="240" w:after="120"/>
      <w:outlineLvl w:val="1"/>
    </w:pPr>
    <w:rPr>
      <w:b/>
      <w:bCs/>
      <w:i/>
      <w:i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19</Pages>
  <Words>5868</Words>
  <Characters>38373</Characters>
  <Application>Microsoft Office Word</Application>
  <DocSecurity>0</DocSecurity>
  <Lines>542</Lines>
  <Paragraphs>122</Paragraphs>
  <ScaleCrop>false</ScaleCrop>
  <Company/>
  <LinksUpToDate>false</LinksUpToDate>
  <CharactersWithSpaces>44430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Walter Brown</cp:lastModifiedBy>
  <cp:revision>4</cp:revision>
  <cp:lastPrinted>2026-04-19T16:59:00Z</cp:lastPrinted>
  <dcterms:created xsi:type="dcterms:W3CDTF">2026-04-19T16:58:00Z</dcterms:created>
  <dcterms:modified xsi:type="dcterms:W3CDTF">2026-04-19T16:59:00Z</dcterms:modified>
</cp:coreProperties>
</file>