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Times New Roman" w:cs="Times New Roman" w:eastAsia="Times New Roman" w:hAnsi="Times New Roman"/>
          <w:b/>
          <w:bCs/>
          <w:sz w:val="28"/>
          <w:szCs w:val="28"/>
        </w:rPr>
        <w:t xml:space="preserve">Supplementary Materials</w:t>
      </w:r>
    </w:p>
    <w:p>
      <w:pPr>
        <w:spacing w:after="120"/>
      </w:pPr>
      <w:r>
        <w:rPr>
          <w:rFonts w:ascii="Times New Roman" w:cs="Times New Roman" w:eastAsia="Times New Roman" w:hAnsi="Times New Roman"/>
          <w:b/>
          <w:bCs/>
          <w:sz w:val="22"/>
          <w:szCs w:val="22"/>
        </w:rPr>
        <w:t xml:space="preserve">Companion to Paper 1 — JMIR Medical Informatics</w:t>
      </w:r>
    </w:p>
    <w:p>
      <w:pPr>
        <w:pStyle w:val="Heading2"/>
        <w:spacing w:before="200" w:after="100"/>
      </w:pPr>
      <w:r>
        <w:rPr>
          <w:rFonts w:ascii="Times New Roman" w:cs="Times New Roman" w:eastAsia="Times New Roman" w:hAnsi="Times New Roman"/>
          <w:b/>
          <w:bCs/>
          <w:sz w:val="24"/>
          <w:szCs w:val="24"/>
        </w:rPr>
        <w:t xml:space="preserve">Supplementary Appendix A: Reproducible Evidence Enrichment and Governance Pipeline</w:t>
      </w:r>
    </w:p>
    <w:p>
      <w:pPr>
        <w:spacing w:after="120"/>
      </w:pPr>
      <w:r>
        <w:rPr>
          <w:rFonts w:ascii="Times New Roman" w:cs="Times New Roman" w:eastAsia="Times New Roman" w:hAnsi="Times New Roman"/>
          <w:sz w:val="22"/>
          <w:szCs w:val="22"/>
        </w:rPr>
        <w:t xml:space="preserve">Multimedia Appendix: Reproducible Evidence Enrichment and Governance Pipeline The evidence base underpinning the enriched dataset was generated through a four-stage computational pipeline with cryptographic integrity verification. Stage 1 (Enrichment): The Evidence Enrichment Engine v1.2 performed multi-source evidence retrieval for 39 historical AI governance cases from peer-reviewed publications, regulatory filings, and investigative journalism (SHA-256: f9d181ca…93ce8948; parent: b77e10ec…bdcb1b98c4). Stage 2 (Triangulation): The EEE_Triangulation_Confidence_Layer_v1 computed confidence-weighted means across independent sources per feature, yielding 76 triangulated features across 37 processed cases with provenance classification (direct evidence, rule-derived, uncertain estimate) and plausible bounds. Two cases (H34, H35) were blocked due to insufficient admissible evidence. Stage 3 (Canonicalisation): Triangulated outputs were transformed into a versioned canonical dataset (v1.0.0) with deployment risk classification, evidence grading, and triangulation integrity assessment. Stage 4 (Repository Integration, v3.1.0-eee): The canonical overlay was integrated as a non-destructive sidecar onto the governance benchmark repository (91 base cases preserved verbatim), with manifest-based verification (106 files, SHA-256) and 30 automated validation checks (all PASS). The pipeline maintains a four-level hash chain from enrichment through release manifest, and the build is deterministic: re-execution from identical source data produces identical outputs.</w:t>
      </w:r>
    </w:p>
    <w:p>
      <w:pPr>
        <w:pStyle w:val="Heading2"/>
        <w:spacing w:before="200" w:after="100"/>
      </w:pPr>
      <w:r>
        <w:rPr>
          <w:rFonts w:ascii="Times New Roman" w:cs="Times New Roman" w:eastAsia="Times New Roman" w:hAnsi="Times New Roman"/>
          <w:b/>
          <w:bCs/>
          <w:sz w:val="24"/>
          <w:szCs w:val="24"/>
        </w:rPr>
        <w:t xml:space="preserve">Supplementary Appendix A (continued): Enriched Triangulation Evidence</w:t>
      </w:r>
    </w:p>
    <w:p>
      <w:pPr>
        <w:spacing w:after="120"/>
      </w:pPr>
      <w:r>
        <w:rPr>
          <w:rFonts w:ascii="Times New Roman" w:cs="Times New Roman" w:eastAsia="Times New Roman" w:hAnsi="Times New Roman"/>
          <w:sz w:val="22"/>
          <w:szCs w:val="22"/>
        </w:rPr>
        <w:t xml:space="preserve">Multimedia Appendix: Enriched Triangulation Evidence A subsequent evidence enrichment and triangulation pipeline processed 39 cases through multi-source evidence retrieval, yielding 37 fully triangulated cases and 2 blocked cases (insufficient admissible evidence). Across the 37 processed cases, triangulated confidence scores ranged from 0.73 to 0.93, with 21 cases achieving STRONG triangulation integrity and 16 classified as FRAGILE. Evidence grades were distributed as follows: 26 IDEAL, 5 ACCEPTABLE, 6 MINIMUM, and 2 INSUFFICIENT. The two blocked cases (H34: Acclarent TruDi Navigation System; H35: Sonio Detect) were retained as monitoring-only entries with no feature values assigned, consistent with the framework’s conservative treatment of insufficient evidence. All enrichment artefacts are archived in the Ethical Alpha Audit Core Scientific Record (Zenodo DOI: to be provided upon publication) with SHA-256 hash-chain verification.</w:t>
      </w:r>
    </w:p>
    <w:p>
      <w:pPr>
        <w:pStyle w:val="Heading2"/>
        <w:spacing w:before="200" w:after="100"/>
      </w:pPr>
      <w:r>
        <w:rPr>
          <w:rFonts w:ascii="Times New Roman" w:cs="Times New Roman" w:eastAsia="Times New Roman" w:hAnsi="Times New Roman"/>
          <w:b/>
          <w:bCs/>
          <w:sz w:val="24"/>
          <w:szCs w:val="24"/>
        </w:rPr>
        <w:t xml:space="preserve">Supplementary Appendix B: Reserved</w:t>
      </w:r>
    </w:p>
    <w:p>
      <w:pPr>
        <w:spacing w:after="120"/>
      </w:pPr>
      <w:r>
        <w:rPr>
          <w:rFonts w:ascii="Times New Roman" w:cs="Times New Roman" w:eastAsia="Times New Roman" w:hAnsi="Times New Roman"/>
          <w:i/>
          <w:iCs/>
          <w:sz w:val="22"/>
          <w:szCs w:val="22"/>
        </w:rPr>
        <w:t xml:space="preserve">This appendix letter is reserved to maintain sequential numbering consistency across the coordinated multi-paper submission bundle.</w:t>
      </w:r>
    </w:p>
    <w:p>
      <w:pPr>
        <w:pStyle w:val="Heading2"/>
        <w:spacing w:before="200" w:after="100"/>
      </w:pPr>
      <w:r>
        <w:rPr>
          <w:rFonts w:ascii="Times New Roman" w:cs="Times New Roman" w:eastAsia="Times New Roman" w:hAnsi="Times New Roman"/>
          <w:b/>
          <w:bCs/>
          <w:sz w:val="24"/>
          <w:szCs w:val="24"/>
        </w:rPr>
        <w:t xml:space="preserve">Supplementary Appendix C: Expanded Benchmark Evaluation</w:t>
      </w:r>
    </w:p>
    <w:p>
      <w:pPr>
        <w:spacing w:after="120"/>
      </w:pPr>
      <w:r>
        <w:rPr>
          <w:rFonts w:ascii="Times New Roman" w:cs="Times New Roman" w:eastAsia="Times New Roman" w:hAnsi="Times New Roman"/>
          <w:sz w:val="22"/>
          <w:szCs w:val="22"/>
        </w:rPr>
        <w:t xml:space="preserve">Multimedia Appendix: Expanded Benchmark Evaluation In a separate expanded benchmark evaluation, the identical governance engine processed 91 cases across the full encoding quality spectrum: 12 expert-triangulated cases (180 features; mean confidence 0.591; 27.2% direct evidence), 49 rule-derived failure cases encoded from evidence metadata (735 features; mean confidence 0.383; 1.9% direct evidence), and 30 FDA-authorised control devices encoded with conservatively favourable features (450 features; mean confidence 0.380; 0% direct evidence). Under the moderate governance profile, 60 of 61 failure cases were rejected (the single approval, Google DR, passed with the narrowest margins under expert encoding) and all 30 controls were approved. The provenance-tiered analysis explicitly distinguishes expert-triangulated from rule-derived evidence; the lower mean confidence in the broader benchmark cases suggests that those results provide convergent support at scale rather than independent validation equivalent to the primary 12-case analysis.</w:t>
      </w:r>
    </w:p>
    <w:p>
      <w:pPr>
        <w:pStyle w:val="Heading2"/>
        <w:spacing w:before="200" w:after="100"/>
      </w:pPr>
      <w:r>
        <w:rPr>
          <w:rFonts w:ascii="Times New Roman" w:cs="Times New Roman" w:eastAsia="Times New Roman" w:hAnsi="Times New Roman"/>
          <w:b/>
          <w:bCs/>
          <w:sz w:val="24"/>
          <w:szCs w:val="24"/>
        </w:rPr>
        <w:t xml:space="preserve">Supplementary Appendix D: Extended Scope Conditions and Limitations</w:t>
      </w:r>
    </w:p>
    <w:p>
      <w:pPr>
        <w:spacing w:after="120"/>
      </w:pPr>
      <w:r>
        <w:rPr>
          <w:rFonts w:ascii="Times New Roman" w:cs="Times New Roman" w:eastAsia="Times New Roman" w:hAnsi="Times New Roman"/>
          <w:sz w:val="22"/>
          <w:szCs w:val="22"/>
        </w:rPr>
        <w:t xml:space="preserve">This analysis is subject to several limitations. Retrospective evaluation relies on documented failure cases and may not capture unknown failure modes. Simulation-based findings depend on modelled assumptions. Operational feasibility estimates are not derived from prospective deployment. Accordingly, findings should be interpreted within these constraints.</w:t>
      </w:r>
    </w:p>
    <w:p>
      <w:pPr>
        <w:spacing w:after="120"/>
      </w:pPr>
      <w:r>
        <w:rPr>
          <w:rFonts w:ascii="Times New Roman" w:cs="Times New Roman" w:eastAsia="Times New Roman" w:hAnsi="Times New Roman"/>
          <w:sz w:val="22"/>
          <w:szCs w:val="22"/>
        </w:rPr>
        <w:t xml:space="preserve">Parameter and Evidence Sensitivity as Research Agenda: The gate architecture advanced in this Viewpoint defines governance thresholds as empirically calibratable decision parameters, not fixed constants. The companion simulation and replay studies characterise two distinct sensitivity axes that constitute the empirical research programme for this architecture. First, parameter sensitivity: governance outcomes are dependent on threshold values, override durations, and escalation triggers. Simulation-based threshold variation (±40% of default values) confirmed that the safety gate is the dominant contributor in this simulation to detection outcomes. Cliff-edge behaviour in the 0.40–0.45 threshold region for the safety gate underscores that threshold calibration is a substantive governance decision, not a technical detail. Second, evidence sensitivity: governance outcomes depend on evidence quality, provenance, and completeness. The canonical 12-case evaluation revealed a provenance distribution spanning direct evidence (27.2%), rule-derived (37.8%), imputed (28.3%), and uncertain estimate (6.7%), with mean confidence 0.591. Despite this heterogeneity, outcomes were stable under Monte Carlo perturbation of confidence bounds. That higher-quality evidence might alter outcomes for borderline cases is an expected property of evidence-sensitive governance—it reflects appropriate responsiveness to epistemic conditions rather than architectural fragility. These two axes—parameter sensitivity and evidence sensitivity—define the prespecified empirical agenda for prospective pilot studies: characterising the decision-boundary behaviour of the gate architecture under institutional evidence conditions.</w:t>
      </w:r>
    </w:p>
    <w:p>
      <w:pPr>
        <w:pStyle w:val="Heading2"/>
        <w:spacing w:before="200" w:after="100"/>
      </w:pPr>
      <w:r>
        <w:rPr>
          <w:rFonts w:ascii="Times New Roman" w:cs="Times New Roman" w:eastAsia="Times New Roman" w:hAnsi="Times New Roman"/>
          <w:b/>
          <w:bCs/>
          <w:sz w:val="24"/>
          <w:szCs w:val="24"/>
        </w:rPr>
        <w:t xml:space="preserve">Supplementary Appendix D (continued): Cross-Study Context</w:t>
      </w:r>
    </w:p>
    <w:p>
      <w:pPr>
        <w:spacing w:after="120"/>
      </w:pPr>
      <w:r>
        <w:rPr>
          <w:rFonts w:ascii="Times New Roman" w:cs="Times New Roman" w:eastAsia="Times New Roman" w:hAnsi="Times New Roman"/>
          <w:sz w:val="22"/>
          <w:szCs w:val="22"/>
        </w:rPr>
        <w:t xml:space="preserve">This study contributes to a coordinated set of analyses examining a non-compensatory evaluation approach across complementary domains, including formal logic, simulation behaviour, parameter specification, retrospective validation, and deployment trade-offs.</w:t>
      </w:r>
    </w:p>
    <w:p>
      <w:pPr>
        <w:pStyle w:val="Heading2"/>
        <w:spacing w:before="200" w:after="100"/>
      </w:pPr>
      <w:r>
        <w:rPr>
          <w:rFonts w:ascii="Times New Roman" w:cs="Times New Roman" w:eastAsia="Times New Roman" w:hAnsi="Times New Roman"/>
          <w:b/>
          <w:bCs/>
          <w:sz w:val="24"/>
          <w:szCs w:val="24"/>
        </w:rPr>
        <w:t xml:space="preserve">Supplementary Appendix D (continued): Feasibility Context</w:t>
      </w:r>
    </w:p>
    <w:p>
      <w:pPr>
        <w:spacing w:after="120"/>
      </w:pPr>
      <w:r>
        <w:rPr>
          <w:rFonts w:ascii="Times New Roman" w:cs="Times New Roman" w:eastAsia="Times New Roman" w:hAnsi="Times New Roman"/>
          <w:sz w:val="22"/>
          <w:szCs w:val="22"/>
        </w:rPr>
        <w:t xml:space="preserve">Estimated execution times (45–90 minutes for primary audit; 10–25 minutes for secondary validation) are consistent with existing governance activities such as multidisciplinary review processes. These estimates are derived from structured task decomposition and should be interpreted as indicative.</w:t>
      </w:r>
    </w:p>
    <w:p>
      <w:pPr>
        <w:pStyle w:val="Heading2"/>
        <w:spacing w:before="200" w:after="100"/>
      </w:pPr>
      <w:r>
        <w:rPr>
          <w:rFonts w:ascii="Times New Roman" w:cs="Times New Roman" w:eastAsia="Times New Roman" w:hAnsi="Times New Roman"/>
          <w:b/>
          <w:bCs/>
          <w:sz w:val="24"/>
          <w:szCs w:val="24"/>
        </w:rPr>
        <w:t xml:space="preserve">Supplementary Appendix D (continued): Results Interpretation</w:t>
      </w:r>
    </w:p>
    <w:p>
      <w:pPr>
        <w:spacing w:after="120"/>
      </w:pPr>
      <w:r>
        <w:rPr>
          <w:rFonts w:ascii="Times New Roman" w:cs="Times New Roman" w:eastAsia="Times New Roman" w:hAnsi="Times New Roman"/>
          <w:sz w:val="22"/>
          <w:szCs w:val="22"/>
        </w:rPr>
        <w:t xml:space="preserve">In retrospective evaluation, a subset of documented failure cases satisfied conventional performance-based criteria despite exhibiting clinically material failure modes. Under the evaluated non-compensatory approach, these cases did not meet minimum domain-specific requirements, indicating potential limitations of compensatory evaluation frameworks.</w:t>
      </w:r>
    </w:p>
    <w:p>
      <w:pPr>
        <w:pStyle w:val="Heading2"/>
        <w:spacing w:before="200" w:after="100"/>
      </w:pPr>
      <w:r>
        <w:rPr>
          <w:rFonts w:ascii="Times New Roman" w:cs="Times New Roman" w:eastAsia="Times New Roman" w:hAnsi="Times New Roman"/>
          <w:b/>
          <w:bCs/>
          <w:sz w:val="24"/>
          <w:szCs w:val="24"/>
        </w:rPr>
        <w:t xml:space="preserve">Supplementary Appendix D (continued): Methods Integration</w:t>
      </w:r>
    </w:p>
    <w:p>
      <w:pPr>
        <w:spacing w:after="120"/>
      </w:pPr>
      <w:r>
        <w:rPr>
          <w:rFonts w:ascii="Times New Roman" w:cs="Times New Roman" w:eastAsia="Times New Roman" w:hAnsi="Times New Roman"/>
          <w:sz w:val="22"/>
          <w:szCs w:val="22"/>
        </w:rPr>
        <w:t xml:space="preserve">All analyses were conducted using deterministic computational procedures with version-controlled inputs and outputs. Where applicable, artefacts were linked via cryptographic hashing to enable independent verification of result provenance. This design allows verification that outputs correspond to specific, fixed inputs without post hoc modification.</w:t>
      </w:r>
    </w:p>
    <w:p>
      <w:pPr>
        <w:pStyle w:val="Heading2"/>
        <w:spacing w:before="200" w:after="100"/>
      </w:pPr>
      <w:r>
        <w:rPr>
          <w:rFonts w:ascii="Times New Roman" w:cs="Times New Roman" w:eastAsia="Times New Roman" w:hAnsi="Times New Roman"/>
          <w:b/>
          <w:bCs/>
          <w:sz w:val="24"/>
          <w:szCs w:val="24"/>
        </w:rPr>
        <w:t xml:space="preserve">Supplementary Appendix D (continued): Scope Conditions</w:t>
      </w:r>
    </w:p>
    <w:p>
      <w:pPr>
        <w:spacing w:after="120"/>
      </w:pPr>
      <w:r>
        <w:rPr>
          <w:rFonts w:ascii="Times New Roman" w:cs="Times New Roman" w:eastAsia="Times New Roman" w:hAnsi="Times New Roman"/>
          <w:sz w:val="22"/>
          <w:szCs w:val="22"/>
        </w:rPr>
        <w:t xml:space="preserve">Under uniform or random failure distributions, non-compensatory gating may not outperform weighted models, highlighting defined boundary conditions for applicability.</w:t>
      </w:r>
    </w:p>
    <w:p>
      <w:pPr>
        <w:pStyle w:val="Heading2"/>
        <w:spacing w:before="200" w:after="100"/>
      </w:pPr>
      <w:r>
        <w:rPr>
          <w:rFonts w:ascii="Times New Roman" w:cs="Times New Roman" w:eastAsia="Times New Roman" w:hAnsi="Times New Roman"/>
          <w:b/>
          <w:bCs/>
          <w:sz w:val="24"/>
          <w:szCs w:val="24"/>
        </w:rPr>
        <w:t xml:space="preserve">Supplementary Appendix D (continued): Feasibility Estimates</w:t>
      </w:r>
    </w:p>
    <w:p>
      <w:pPr>
        <w:spacing w:after="120"/>
      </w:pPr>
      <w:r>
        <w:rPr>
          <w:rFonts w:ascii="Times New Roman" w:cs="Times New Roman" w:eastAsia="Times New Roman" w:hAnsi="Times New Roman"/>
          <w:sz w:val="22"/>
          <w:szCs w:val="22"/>
        </w:rPr>
        <w:t xml:space="preserve">Simulation-informed estimates indicate that Primary Safety Thresholds constitute a minority of total thresholds (&lt;10%), with most decisions operating under a reduced three-layer documentation requirement. Estimated completion times range from 45–90 minutes (Primary) and 10–25 minutes (Secondary).</w:t>
      </w:r>
    </w:p>
    <w:p>
      <w:pPr>
        <w:pStyle w:val="Heading2"/>
        <w:spacing w:before="200" w:after="100"/>
      </w:pPr>
      <w:r>
        <w:rPr>
          <w:rFonts w:ascii="Times New Roman" w:cs="Times New Roman" w:eastAsia="Times New Roman" w:hAnsi="Times New Roman"/>
          <w:b/>
          <w:bCs/>
          <w:sz w:val="24"/>
          <w:szCs w:val="24"/>
        </w:rPr>
        <w:t xml:space="preserve">Supplementary Appendix E: Parameter and Evidence Sensitivity Research Axes</w:t>
      </w:r>
    </w:p>
    <w:p>
      <w:pPr>
        <w:spacing w:after="120"/>
      </w:pPr>
      <w:r>
        <w:rPr>
          <w:rFonts w:ascii="Times New Roman" w:cs="Times New Roman" w:eastAsia="Times New Roman" w:hAnsi="Times New Roman"/>
          <w:sz w:val="22"/>
          <w:szCs w:val="22"/>
        </w:rPr>
        <w:t xml:space="preserve">Two formal research axes emerge from the gate architecture proposed here and merit explicit identification as the empirical programme that must follow this normative contribution. Crucially, these axes constitute a two-dimensional empirical problem rather than separate lines of inquiry. Interaction is defined operationally as non-additivity of outcome sensitivity under joint perturbation of threshold parameters and evidence confidence distributions. In this context, an interaction effect is present where the combined influence of parameter variation and evidence variation on deployment decisions differs from the sum of their independent effects. Formal characterisation of this interaction is a prespecified objective for future empirical work using factorial simulation designs and variance-based sensitivity analysis (e.g. Sobol interaction indices).</w:t>
      </w:r>
    </w:p>
    <w:p>
      <w:pPr>
        <w:spacing w:after="120"/>
      </w:pPr>
      <w:r>
        <w:rPr>
          <w:rFonts w:ascii="Times New Roman" w:cs="Times New Roman" w:eastAsia="Times New Roman" w:hAnsi="Times New Roman"/>
          <w:sz w:val="22"/>
          <w:szCs w:val="22"/>
        </w:rPr>
        <w:t xml:space="preserve">Governance behaviour is best understood as a decision surface defined jointly over parameter space and evidence space, where outcomes depend on the interaction between threshold calibration and evidence quality rather than on either dimension independently. The first is parameter sensitivity: the gate thresholds, override validity periods, concurrent override limits, and escalation triggers proposed in this Viewpoint are provisional design defaults whose optimal values are an empirical question. The companion simulation study indicates that the safety gate threshold is the dominant governance lever; small changes in this parameter produce non-linear effects on deployment outcomes, including cliff-edge behaviour where a 0.05-unit shift reverses deployment decisions. The second is evidence sensitivity: the quality, provenance, and completeness of governance evidence determine whether gates are satisfied, and these properties vary substantially across cases and institutions. A governance architecture that is insensitive to evidence quality would be undesirable—it would approve poorly documented systems as readily as well-documented ones. The sensitivity of the gate architecture to both parameter calibration and evidence quality is therefore a designed feature, not a limitation, provided that both dimensions are governed transparently. A governance architecture that is insensitive to evidence quality or threshold calibration would be normatively undesirable, as it would produce invariant decisions under epistemically distinct conditions. Sensitivity to both parameterisation and evidence quality is therefore a necessary property of a governance architecture intended to reflect underlying risk and uncertainty. The pilot design proposed above is structured to characterise both axes under institutional conditions. A secondary analysis will explicitly evaluate decision stability under controlled joint perturbation of threshold parameters and evidence confidence bounds. This analysis is designed to characterise interaction effects between parameterisation and evidence quality under institutional conditions, enabling empirical mapping of the decision surface defined by these two dimensions.</w:t>
      </w:r>
    </w:p>
    <w:p>
      <w:pPr>
        <w:spacing w:after="120"/>
      </w:pPr>
      <w:r>
        <w:rPr>
          <w:rFonts w:ascii="Times New Roman" w:cs="Times New Roman" w:eastAsia="Times New Roman" w:hAnsi="Times New Roman"/>
          <w:sz w:val="22"/>
          <w:szCs w:val="22"/>
        </w:rPr>
        <w:t xml:space="preserve">This work forms part of a coordinated multi-paper research programme examining non-compensatory governance architectures across formal, empirical, and operational domains.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2026-03-25T18:29:28.363Z</dcterms:created>
  <dcterms:modified xsi:type="dcterms:W3CDTF">2026-03-25T18:29:28.364Z</dcterms:modified>
</cp:coreProperties>
</file>

<file path=docProps/custom.xml><?xml version="1.0" encoding="utf-8"?>
<Properties xmlns="http://schemas.openxmlformats.org/officeDocument/2006/custom-properties" xmlns:vt="http://schemas.openxmlformats.org/officeDocument/2006/docPropsVTypes"/>
</file>