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Multimedia Appendix 4. Decision-Rule Gap Audit: Coding Frame and Search Strategy</w:t>
      </w:r>
    </w:p>
    <w:p>
      <w:r>
        <w:t>Institutions may implement the conjunctive decision logic described here using existing governance infrastructure, and the framework is designed to be compatible with, not competitive against, established governance tools including FUTURE-AI [26], TEHAI [28], and translational governance frameworks. Situating the Contribution: Decision-Rule Gap Audit To move from assertion to documented evidence regarding the absence of explicit deployment decision rules in existing governance instruments, a targeted document audit was conducted. The audit assessed whether each instrument (1) specifies an explicit rule for converting multi-domain governance evidence into a binary deployment decision (go/no-go), (2) defines aggregation logic (e.g. weighted scoring or minimum floors), (3) specifies any override mechanism and constraints, and (4) explicitly assigns final deployment authority. The audit was limited to explicit statements in the instrument text; items were coded as “present” only when decision logic was described in operational terms (e.g. threshold(s), pass/fail criteria, or a defined aggregation rule), rather than as high-level recommendations or general lifecycle principles.</w:t>
      </w:r>
    </w:p>
    <w:p>
      <w:r>
        <w:t>Institutions may implement the conjunctive decision logic described here using existing governance infrastructure, and the framework is designed to be compatible with, not competitive against, established governance tools including FUTURE-AI [26], TEHAI [28], and translational governance frameworks. Situating the Contribution: Decision-Rule Gap Audit To move from assertion to documented evidence regarding the absence of explicit deployment decision rules in existing governance instruments, a targeted document audit was conducted. The audit assessed whether each instrument (1) specifies an explicit rule for converting multi-domain governance evidence into a binary deployment decision (go/no-go), (2) defines aggregation logic (e.g. weighted scoring or minimum floors), (3) specifies any override mechanism and constraints, and (4) explicitly assigns final deployment authority. The audit was limited to explicit statements in the instrument text; items were coded as “present” only when decision logic was described in operational terms (e.g. threshold(s), pass/fail criteria, or a defined aggregation rule), rather than as high-level recommendations or general lifecycle principles.</w:t>
      </w:r>
    </w:p>
    <w:p>
      <w:r>
        <w:t>The audit applied a conservative coding frame (items coded as “present” only when operational decision logic was explicitly stated); this conservatism may overestimate the gap if decision rules exist in sections not audited. The full evidence table (Multimedia Appendix 5) provides transparency for readers to assess the coding decisions independently. The framework addresses governance evidence gaps within five specified domains; it does not address deployment risks arising from domains outside the gate structure, such as workflow integration failures or clinician trust calibration. Conclusions Non-compensatory governance gates translate regulatory obligations into explicit institutional decisions by defining mandatory evidence floors across five domains. The decision-rule gap audit documented a structural absence of explicit activation logic in widely used governance instruments, supporting the need for the conjunctive decision rule proposed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