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Multimedia Appendix 5. Decision-Rule Gap Audit: Full Evidence Table with Verbatim Excerpts and Coding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Framework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Explicit deployment decision rule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Aggregation logic specified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Override pathway specified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Final deployment authority assigned</w:t>
            </w:r>
          </w:p>
        </w:tc>
      </w:tr>
      <w:tr>
        <w:tc>
          <w:tcPr>
            <w:tcW w:type="dxa" w:w="1728"/>
          </w:tcPr>
          <w:p>
            <w:r>
              <w:t>FUTURE-AI [26]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Partial (process ownership)</w:t>
            </w:r>
          </w:p>
        </w:tc>
      </w:tr>
      <w:tr>
        <w:tc>
          <w:tcPr>
            <w:tcW w:type="dxa" w:w="1728"/>
          </w:tcPr>
          <w:p>
            <w:r>
              <w:t>TEHAI [28]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</w:tr>
      <w:tr>
        <w:tc>
          <w:tcPr>
            <w:tcW w:type="dxa" w:w="1728"/>
          </w:tcPr>
          <w:p>
            <w:r>
              <w:t>NICE ESF [5]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FDA AI-DSF [27]</w:t>
            </w:r>
          </w:p>
        </w:tc>
        <w:tc>
          <w:tcPr>
            <w:tcW w:type="dxa" w:w="1728"/>
          </w:tcPr>
          <w:p>
            <w:r>
              <w:t>Not applicable (regulatory submission)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EU AI Act [3]</w:t>
            </w:r>
          </w:p>
        </w:tc>
        <w:tc>
          <w:tcPr>
            <w:tcW w:type="dxa" w:w="1728"/>
          </w:tcPr>
          <w:p>
            <w:r>
              <w:t>Not specified as institutional decision rule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Yes (provider/deployer obligations)</w:t>
            </w:r>
          </w:p>
        </w:tc>
      </w:tr>
      <w:tr>
        <w:tc>
          <w:tcPr>
            <w:tcW w:type="dxa" w:w="1728"/>
          </w:tcPr>
          <w:p>
            <w:r>
              <w:t>ISO/IEC 42001 [4]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Yes (management system owner)</w:t>
            </w:r>
          </w:p>
        </w:tc>
      </w:tr>
      <w:tr>
        <w:tc>
          <w:tcPr>
            <w:tcW w:type="dxa" w:w="1728"/>
          </w:tcPr>
          <w:p>
            <w:r>
              <w:t>This Viewpoint</w:t>
            </w:r>
          </w:p>
        </w:tc>
        <w:tc>
          <w:tcPr>
            <w:tcW w:type="dxa" w:w="1728"/>
          </w:tcPr>
          <w:p>
            <w:r>
              <w:t>Specified</w:t>
            </w:r>
          </w:p>
        </w:tc>
        <w:tc>
          <w:tcPr>
            <w:tcW w:type="dxa" w:w="1728"/>
          </w:tcPr>
          <w:p>
            <w:r>
              <w:t>Specified (minimum floors)</w:t>
            </w:r>
          </w:p>
        </w:tc>
        <w:tc>
          <w:tcPr>
            <w:tcW w:type="dxa" w:w="1728"/>
          </w:tcPr>
          <w:p>
            <w:r>
              <w:t>Specified (constrained)</w:t>
            </w:r>
          </w:p>
        </w:tc>
        <w:tc>
          <w:tcPr>
            <w:tcW w:type="dxa" w:w="1728"/>
          </w:tcPr>
          <w:p>
            <w:r>
              <w:t>Specified</w:t>
            </w:r>
          </w:p>
        </w:tc>
      </w:tr>
    </w:tbl>
    <w:p>
      <w:r>
        <w:t>Table: Decision-rule elements explicitly stated in selected clinical AI governance instruments (targeted document audit). "Explicit deployment decision rule" indicates a specified mechanism linking governance evidence to a binary go/no-go deployment decision. All characterisations are the author's interpretive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