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Multimedia Appendix 6. Generative AI Use Log</w:t>
      </w:r>
    </w:p>
    <w:p>
      <w:r>
        <w:t>No AI tool was used to generate the conceptual framework, governance domain definitions, decision-theoretic arguments, decision-rule gap audit coding, override pathway specification, shared-service model, case mapping, or conclusions. All analytical content was produced by the author. A complete prompt/response log and change-tracking summary is retained and can be supplied to editors and reviewers on request (Multimedia Appendix 6), consistent with JMIR’s editorial policy on generative AI use. Transparency regarding AI-assisted preparation is provided via the retained conversation logs submitted as Multimedia Appendix material. No patient-identifiable information or confidential organisational information was entered into any external AI tool. The author reviewed and verified all content and references and takes full responsibility for the manuscript. Conflicts of Interest: WB is the founder of Ethical Alpha Audit, which develops AI governance methodology. WB is also employed as an analyst at NHS England; all views expressed are the author’s own and do not represent NHS England. The decision-theoretic arguments advanced in this Viewpoint do not depend on commercial implementation of any specific product.</w:t>
      </w:r>
    </w:p>
    <w:p>
      <w:r>
        <w:t>Generative AI use log: prompts, responses, and change-tracking summary. Abbreviations AI: artificial intelligence; CONSORT-AI: Consolidated Standards of Reporting Trials for Artificial Intelligence; DTAC: Digital Technology Assessment Criteria; EU: European Union; FDA: Food and Drug Administration; MHRA: Medicines and Healthcare products Regulatory Agency; NHS: National Health Service; NICE: National Institute for Health and Care Excellence; SaMD: software as a medical device; TEHAI: Translational Ethics for Health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