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Threshold</w:t>
      </w:r>
      <w:r>
        <w:t xml:space="preserve"> </w:t>
      </w:r>
      <w:r>
        <w:t xml:space="preserve">Justification</w:t>
      </w:r>
      <w:r>
        <w:t xml:space="preserve"> </w:t>
      </w:r>
      <w:r>
        <w:t xml:space="preserve">Stack</w:t>
      </w:r>
      <w:r>
        <w:t xml:space="preserve"> </w:t>
      </w:r>
      <w:r>
        <w:t xml:space="preserve">for</w:t>
      </w:r>
      <w:r>
        <w:t xml:space="preserve"> </w:t>
      </w:r>
      <w:r>
        <w:t xml:space="preserve">Clinical</w:t>
      </w:r>
      <w:r>
        <w:t xml:space="preserve"> </w:t>
      </w:r>
      <w:r>
        <w:t xml:space="preserve">AI</w:t>
      </w:r>
      <w:r>
        <w:t xml:space="preserve"> </w:t>
      </w:r>
      <w:r>
        <w:t xml:space="preserve">Governance:</w:t>
      </w:r>
      <w:r>
        <w:t xml:space="preserve"> </w:t>
      </w:r>
      <w:r>
        <w:t xml:space="preserve">Method</w:t>
      </w:r>
      <w:r>
        <w:t xml:space="preserve"> </w:t>
      </w:r>
      <w:r>
        <w:t xml:space="preserve">Specification</w:t>
      </w:r>
      <w:r>
        <w:t xml:space="preserve"> </w:t>
      </w:r>
      <w:r>
        <w:t xml:space="preserve">and</w:t>
      </w:r>
      <w:r>
        <w:t xml:space="preserve"> </w:t>
      </w:r>
      <w:r>
        <w:t xml:space="preserve">Computational</w:t>
      </w:r>
      <w:r>
        <w:t xml:space="preserve"> </w:t>
      </w:r>
      <w:r>
        <w:t xml:space="preserve">Sensitivity</w:t>
      </w:r>
      <w:r>
        <w:t xml:space="preserve"> </w:t>
      </w:r>
      <w:r>
        <w:t xml:space="preserve">Analysis</w:t>
      </w:r>
    </w:p>
    <w:p>
      <w:pPr>
        <w:pStyle w:val="FirstParagraph"/>
      </w:pPr>
      <w:r>
        <w:rPr>
          <w:bCs/>
          <w:b/>
        </w:rPr>
        <w:t xml:space="preserve">A Threshold Justification Stack for Clinical AI Governance: Method Specification and Computational Sensitivity Analysis</w:t>
      </w:r>
    </w:p>
    <w:p>
      <w:pPr>
        <w:pStyle w:val="BodyText"/>
      </w:pPr>
      <w:r>
        <w:t xml:space="preserve">Walter Brown, MSc, MA</w:t>
      </w:r>
    </w:p>
    <w:p>
      <w:pPr>
        <w:pStyle w:val="BodyText"/>
      </w:pPr>
      <w:r>
        <w:t xml:space="preserve">ORCID: 0000-0002-6050-8522</w:t>
      </w:r>
    </w:p>
    <w:p>
      <w:pPr>
        <w:pStyle w:val="BodyText"/>
      </w:pPr>
      <w:r>
        <w:t xml:space="preserve">Ethical Alpha Audit, London, United Kingdom</w:t>
      </w:r>
    </w:p>
    <w:p>
      <w:pPr>
        <w:pStyle w:val="BodyText"/>
      </w:pPr>
      <w:r>
        <w:t xml:space="preserve">walter.brown@ethicalalphaaudit.com</w:t>
      </w:r>
    </w:p>
    <w:p>
      <w:pPr>
        <w:pStyle w:val="BodyText"/>
      </w:pPr>
      <w:r>
        <w:rPr>
          <w:iCs/>
          <w:i/>
        </w:rPr>
        <w:t xml:space="preserve">Article type: Research article | Target journal: BMJ Health &amp; Care Informatics</w:t>
      </w:r>
    </w:p>
    <w:bookmarkStart w:id="20" w:name="what-is-already-known-on-this-topic"/>
    <w:p>
      <w:pPr>
        <w:pStyle w:val="Heading1"/>
      </w:pPr>
      <w:r>
        <w:t xml:space="preserve">What is already known on this topic</w:t>
      </w:r>
    </w:p>
    <w:p>
      <w:pPr>
        <w:pStyle w:val="FirstParagraph"/>
      </w:pPr>
      <w:r>
        <w:t xml:space="preserve">Clinical AI governance frameworks operationalise safety through quantitative thresholds, but the methodological rationale behind specific numeric values is rarely documented, producing</w:t>
      </w:r>
      <w:r>
        <w:t xml:space="preserve"> </w:t>
      </w:r>
      <w:r>
        <w:t xml:space="preserve">“</w:t>
      </w:r>
      <w:r>
        <w:t xml:space="preserve">magic numbers</w:t>
      </w:r>
      <w:r>
        <w:t xml:space="preserve">”</w:t>
      </w:r>
      <w:r>
        <w:t xml:space="preserve"> </w:t>
      </w:r>
      <w:r>
        <w:t xml:space="preserve">whose governance authority derives from convention rather than evidence. The structural concerns that motivate threshold-level accountability — proxy-metric failure, context sensitivity, multi-metric interaction, gaming of bounded performance criteria, the crowding-out of qualitative risks by quantifiable ones, and lifecycle drift — are well established in the safety-engineering and algorithmic-audit literatures.</w:t>
      </w:r>
    </w:p>
    <w:bookmarkEnd w:id="20"/>
    <w:bookmarkStart w:id="21" w:name="what-this-study-adds"/>
    <w:p>
      <w:pPr>
        <w:pStyle w:val="Heading1"/>
      </w:pPr>
      <w:r>
        <w:t xml:space="preserve">What this study adds</w:t>
      </w:r>
    </w:p>
    <w:p>
      <w:pPr>
        <w:pStyle w:val="FirstParagraph"/>
      </w:pPr>
      <w:r>
        <w:t xml:space="preserve">The contribution is the threshold-documentation method — the six-layer / three-layer tiered architecture and the operational tier-classification rule (the Negative Harm Test with default-to-Primary on uncertainty) — not the underlying structural concerns it addresses, each of which is attributed to prior literature. The TJS consolidates six well-established concerns from the safety-engineering, algorithmic-audit, and regulatory-science literatures; Primary Safety Thresholds require all six documentation layers, Secondary Operational Thresholds require three. Worked examples for both tiers are provided. The TJS augments — not replaces — existing hazard-log and clinical risk-management processes under DCB0129/0160. A computational sensitivity analysis quantifies, under stated modelling assumptions, how variation in inter-rater agreement on the Negative Harm Test would propagate to tier-classification outcomes; the analysis supports a normative κ tolerance regime and does not substitute for empirical validation.</w:t>
      </w:r>
    </w:p>
    <w:bookmarkEnd w:id="21"/>
    <w:bookmarkStart w:id="22" w:name="Xbcbd9276d998952c65ab7d2d793048d3497f632"/>
    <w:p>
      <w:pPr>
        <w:pStyle w:val="Heading1"/>
      </w:pPr>
      <w:r>
        <w:t xml:space="preserve">How this study might affect research, practice or policy</w:t>
      </w:r>
    </w:p>
    <w:p>
      <w:pPr>
        <w:pStyle w:val="FirstParagraph"/>
      </w:pPr>
      <w:r>
        <w:t xml:space="preserve">Auditors and governance committees gain a proportionate documentation architecture for threshold justification, designed for integration into existing clinical safety case processes, audit software, EHR governance modules, and clinical AI oversight committee workflows. A pilot protocol with prespecified feasibility endpoints — including median completion time per threshold record and inter-rater agreement (Cohen’s κ) for tier classification — is provided in the supplement; that protocol is the necessary next step before claims of scalable applicability can be made.</w:t>
      </w:r>
    </w:p>
    <w:bookmarkEnd w:id="22"/>
    <w:bookmarkStart w:id="23" w:name="abstract"/>
    <w:p>
      <w:pPr>
        <w:pStyle w:val="Heading1"/>
      </w:pPr>
      <w:r>
        <w:t xml:space="preserve">Abstract</w:t>
      </w:r>
    </w:p>
    <w:p>
      <w:pPr>
        <w:pStyle w:val="FirstParagraph"/>
      </w:pPr>
      <w:r>
        <w:t xml:space="preserve">I develop the Threshold Justification Stack (TJS), a tiered documentation method for justifying numeric thresholds in clinical AI governance, with six layers for Primary Safety thresholds and three for Secondary Operational thresholds.</w:t>
      </w:r>
    </w:p>
    <w:p>
      <w:pPr>
        <w:pStyle w:val="BodyText"/>
      </w:pPr>
      <w:r>
        <w:rPr>
          <w:bCs/>
          <w:b/>
        </w:rPr>
        <w:t xml:space="preserve">Objectives.</w:t>
      </w:r>
      <w:r>
        <w:t xml:space="preserve"> </w:t>
      </w:r>
      <w:r>
        <w:t xml:space="preserve">To address the absence of a structured method for justifying numeric thresholds in clinical AI governance, I specify the tiered TJS — a documentation method operationalising six established structural concerns into a tier-stratified architecture proportionate to threshold-failure risk.</w:t>
      </w:r>
    </w:p>
    <w:p>
      <w:pPr>
        <w:pStyle w:val="BodyText"/>
      </w:pPr>
      <w:r>
        <w:rPr>
          <w:bCs/>
          <w:b/>
        </w:rPr>
        <w:t xml:space="preserve">Methods.</w:t>
      </w:r>
      <w:r>
        <w:t xml:space="preserve"> </w:t>
      </w:r>
      <w:r>
        <w:t xml:space="preserve">Method specification via purposive targeted conceptual synthesis (PubMed, Web of Science; 2018–2025) and clause-level regulatory analysis against the EU AI Act, FDA PCCP guidance, FUTURE-AI, WHO AI ethics guidance, and ISO/IEC 42001; analytical evaluation via a computational sensitivity analysis modelling how variation in inter-rater agreement (κ) on the Negative Harm Test would propagate to tier-classification outcomes under stated modelling assumptions.</w:t>
      </w:r>
    </w:p>
    <w:p>
      <w:pPr>
        <w:pStyle w:val="BodyText"/>
      </w:pPr>
      <w:r>
        <w:rPr>
          <w:bCs/>
          <w:b/>
        </w:rPr>
        <w:t xml:space="preserve">Results.</w:t>
      </w:r>
      <w:r>
        <w:t xml:space="preserve"> </w:t>
      </w:r>
      <w:r>
        <w:t xml:space="preserve">Six structural failure mechanisms are consolidated: proxy thresholding, context collapse, threshold coupling, boundary gaming, epistemic asymmetry, and audit–lifecycle disconnect. The tiered TJS requires all six documentation layers for Primary Safety Thresholds (failure can lead to clinical intervention or omission) and three for Secondary Operational Thresholds; tier classification follows an explicit Negative Harm Test with default-to-Primary on uncertainty. As an analytical property of the method under stated modelling assumptions, the sensitivity analysis identifies three κ regimes: falsification (κ &lt; 0.40), caution (0.40 ≤ κ &lt; 0.60), and operational (κ ≥ 0.60).</w:t>
      </w:r>
    </w:p>
    <w:p>
      <w:pPr>
        <w:pStyle w:val="BodyText"/>
      </w:pPr>
      <w:r>
        <w:rPr>
          <w:bCs/>
          <w:b/>
        </w:rPr>
        <w:t xml:space="preserve">Conclusions.</w:t>
      </w:r>
      <w:r>
        <w:t xml:space="preserve"> </w:t>
      </w:r>
      <w:r>
        <w:t xml:space="preserve">The tiered TJS specifies a proportionate documentation method that augments — not replaces — existing governance frameworks; specific threshold values remain a local clinical-governance responsibility. The method is hypothesised — not demonstrated — to reduce the structural failure mechanisms it documents. The computational sensitivity analysis specifies analytical reliability conditions; the supplementary pilot protocol with prespecified endpoints and falsification conditions remains the necessary empirical step. The simulation does not substitute for human inter-rater validation.</w:t>
      </w:r>
    </w:p>
    <w:p>
      <w:pPr>
        <w:pStyle w:val="BodyText"/>
      </w:pPr>
      <w:r>
        <w:t xml:space="preserve">Keywords: artificial intelligence; clinical governance; algorithmic auditing; threshold justification; medical informatics; patient safety; audit software integration.</w:t>
      </w:r>
    </w:p>
    <w:bookmarkEnd w:id="23"/>
    <w:bookmarkStart w:id="24" w:name="introduction"/>
    <w:p>
      <w:pPr>
        <w:pStyle w:val="Heading1"/>
      </w:pPr>
      <w:r>
        <w:t xml:space="preserve">Introduction</w:t>
      </w:r>
    </w:p>
    <w:p>
      <w:pPr>
        <w:pStyle w:val="FirstParagraph"/>
      </w:pPr>
      <w:r>
        <w:t xml:space="preserve">Clinical AI systems are increasingly deployed across the care continuum [1–3]. Governance frameworks operationalise safety and fairness through quantitative thresholds [4, 5]. These values function as deployment decision criteria: cross the threshold and a system may be rejected, remediated, or flagged for re-audit.</w:t>
      </w:r>
    </w:p>
    <w:p>
      <w:pPr>
        <w:pStyle w:val="BodyText"/>
      </w:pPr>
      <w:r>
        <w:t xml:space="preserve">Numeric cutoffs frequently appear in audit checklists and governance documents without documented justification, as though their appropriateness were self-evident — what commentators have described as</w:t>
      </w:r>
      <w:r>
        <w:t xml:space="preserve"> </w:t>
      </w:r>
      <w:r>
        <w:t xml:space="preserve">“</w:t>
      </w:r>
      <w:r>
        <w:t xml:space="preserve">magic numbers</w:t>
      </w:r>
      <w:r>
        <w:t xml:space="preserve">”</w:t>
      </w:r>
      <w:r>
        <w:t xml:space="preserve"> </w:t>
      </w:r>
      <w:r>
        <w:t xml:space="preserve">[12]: values whose governance authority rests on convention rather than evidence linking them to the harms they are intended to prevent. This is the gap the present paper addresses.</w:t>
      </w:r>
    </w:p>
    <w:p>
      <w:pPr>
        <w:pStyle w:val="BodyText"/>
      </w:pPr>
      <w:r>
        <w:t xml:space="preserve">I develop a tiered documentation method — the Threshold Justification Stack (TJS) — for justifying numeric thresholds in clinical AI governance, with full six-layer documentation required for Primary Safety thresholds and an abbreviated three-layer form for Secondary Operational thresholds.</w:t>
      </w:r>
    </w:p>
    <w:p>
      <w:pPr>
        <w:pStyle w:val="BodyText"/>
      </w:pPr>
      <w:r>
        <w:t xml:space="preserve">The FUTURE-AI consensus guideline [21], while defining 30 best practices for trustworthy AI in healthcare, does not specify how the quantitative thresholds operationalising those practices should be justified or documented. Similarly, the FDA’s January 2025 draft guidance on AI-enabled device software functions [22] articulates total product lifecycle requirements but does not mandate a specific threshold documentation standard. When the basis for a threshold is opaque, audit credibility erodes regardless of how carefully other framework elements have been designed.</w:t>
      </w:r>
    </w:p>
    <w:p>
      <w:pPr>
        <w:pStyle w:val="BodyText"/>
      </w:pPr>
      <w:r>
        <w:t xml:space="preserve">A further challenge is proportionality. Requiring the same documentation depth for a calibration floor on a treatment-recommendation algorithm and for an alert-volume cap on an administrative tool imposes costs disproportionate to risk. This paper addresses both the quality gap (undocumented thresholds) and the proportionality gap (uniform requirements regardless of risk level) through a tiered framework.</w:t>
      </w:r>
    </w:p>
    <w:p>
      <w:pPr>
        <w:pStyle w:val="BodyText"/>
      </w:pPr>
      <w:r>
        <w:t xml:space="preserve">A documentation architecture proposing tier-stratified documentation depth depends on tier-classification reliability for the proportionality argument to hold: if tier classification is unreliable, neither the burden reduction at the Secondary tier nor the safety guarantee at the Primary tier obtains in practice. Reliability of any new tier-classification rule is empirically unknown until pilot data are collected. The present paper therefore complements the framework specification with a computational sensitivity analysis characterising how reliability variation would propagate to governance outcomes, under stated modelling assumptions, without claiming any empirical reliability value. The empirical pilot remains the validation step.</w:t>
      </w:r>
    </w:p>
    <w:p>
      <w:pPr>
        <w:pStyle w:val="BodyText"/>
      </w:pPr>
      <w:r>
        <w:t xml:space="preserve">The contribution is the threshold-documentation method — the six-layer / three-layer tiered architecture and the operational tier-classification rule (the Negative Harm Test with default-to-Primary on uncertainty) — not the underlying structural concerns it addresses, each of which is attributed throughout to prior literature. The TJS is classified explicitly as a normative governance proposal; its argument sits within a broader research programme on non-compensatory governance of clinical AI [20] but does not depend on that programme’s other components.</w:t>
      </w:r>
    </w:p>
    <w:bookmarkEnd w:id="24"/>
    <w:bookmarkStart w:id="32" w:name="Xad6fb3a5fa65756147c84f921b495324962a311"/>
    <w:p>
      <w:pPr>
        <w:pStyle w:val="Heading1"/>
      </w:pPr>
      <w:r>
        <w:t xml:space="preserve">Methods: Conceptual Synthesis and Regulatory Analysis</w:t>
      </w:r>
    </w:p>
    <w:p>
      <w:pPr>
        <w:pStyle w:val="FirstParagraph"/>
      </w:pPr>
      <w:r>
        <w:t xml:space="preserve">This study uses purposive targeted conceptual synthesis to specify a normative documentation method, rather than systematic evidence synthesis. The objective is method design — identifying the structural concerns a documentation method must address — rather than evidence aggregation; PRISMA reporting standards therefore do not apply and are not invoked.</w:t>
      </w:r>
    </w:p>
    <w:bookmarkStart w:id="25" w:name="search-strategy-and-sources"/>
    <w:p>
      <w:pPr>
        <w:pStyle w:val="Heading2"/>
      </w:pPr>
      <w:r>
        <w:t xml:space="preserve">Search strategy and sources</w:t>
      </w:r>
    </w:p>
    <w:p>
      <w:pPr>
        <w:pStyle w:val="FirstParagraph"/>
      </w:pPr>
      <w:r>
        <w:t xml:space="preserve">Targeted searches were conducted in PubMed, Web of Science, and Google Scholar using combinations of the terms</w:t>
      </w:r>
      <w:r>
        <w:t xml:space="preserve"> </w:t>
      </w:r>
      <w:r>
        <w:t xml:space="preserve">“</w:t>
      </w:r>
      <w:r>
        <w:t xml:space="preserve">clinical AI threshold,</w:t>
      </w:r>
      <w:r>
        <w:t xml:space="preserve">”</w:t>
      </w:r>
      <w:r>
        <w:t xml:space="preserve"> </w:t>
      </w:r>
      <w:r>
        <w:t xml:space="preserve">“</w:t>
      </w:r>
      <w:r>
        <w:t xml:space="preserve">algorithmic audit,</w:t>
      </w:r>
      <w:r>
        <w:t xml:space="preserve">”</w:t>
      </w:r>
      <w:r>
        <w:t xml:space="preserve"> </w:t>
      </w:r>
      <w:r>
        <w:t xml:space="preserve">“</w:t>
      </w:r>
      <w:r>
        <w:t xml:space="preserve">governance metric,</w:t>
      </w:r>
      <w:r>
        <w:t xml:space="preserve">”</w:t>
      </w:r>
      <w:r>
        <w:t xml:space="preserve"> </w:t>
      </w:r>
      <w:r>
        <w:t xml:space="preserve">“</w:t>
      </w:r>
      <w:r>
        <w:t xml:space="preserve">safety boundary,</w:t>
      </w:r>
      <w:r>
        <w:t xml:space="preserve">”</w:t>
      </w:r>
      <w:r>
        <w:t xml:space="preserve"> </w:t>
      </w:r>
      <w:r>
        <w:t xml:space="preserve">“</w:t>
      </w:r>
      <w:r>
        <w:t xml:space="preserve">medical device threshold,</w:t>
      </w:r>
      <w:r>
        <w:t xml:space="preserve">”</w:t>
      </w:r>
      <w:r>
        <w:t xml:space="preserve"> </w:t>
      </w:r>
      <w:r>
        <w:t xml:space="preserve">and</w:t>
      </w:r>
      <w:r>
        <w:t xml:space="preserve"> </w:t>
      </w:r>
      <w:r>
        <w:t xml:space="preserve">“</w:t>
      </w:r>
      <w:r>
        <w:t xml:space="preserve">performance cutoff.</w:t>
      </w:r>
      <w:r>
        <w:t xml:space="preserve">”</w:t>
      </w:r>
      <w:r>
        <w:t xml:space="preserve"> </w:t>
      </w:r>
      <w:r>
        <w:t xml:space="preserve">Regulatory document repositories searched included EUR-Lex (EU AI Act), FDA.gov (SaMD and PCCP guidance), MHRA.gov.uk, WHO institutional repository, and ISO online browsing platform. Search dates: January 2018 – December 2025. Citation tracking from key references (Leveson 2011, Obermeyer et al 2019, Thomas &amp; Uminsky 2022, Lekadir et al 2025) supplemented the database searches.</w:t>
      </w:r>
    </w:p>
    <w:bookmarkEnd w:id="25"/>
    <w:bookmarkStart w:id="26" w:name="inclusion-and-exclusion-criteria"/>
    <w:p>
      <w:pPr>
        <w:pStyle w:val="Heading2"/>
      </w:pPr>
      <w:r>
        <w:t xml:space="preserve">Inclusion and exclusion criteria</w:t>
      </w:r>
    </w:p>
    <w:p>
      <w:pPr>
        <w:pStyle w:val="FirstParagraph"/>
      </w:pPr>
      <w:r>
        <w:t xml:space="preserve">A candidate structural concern must arise from how thresholds are designed or deployed, rather than from errors in any individual numeric value. Concerns arising solely from individual-value misspecification (e.g., a single miscalibrated cutoff with no structural cause) are excluded.</w:t>
      </w:r>
    </w:p>
    <w:bookmarkEnd w:id="26"/>
    <w:bookmarkStart w:id="27" w:name="grouping-and-synthesis-process"/>
    <w:p>
      <w:pPr>
        <w:pStyle w:val="Heading2"/>
      </w:pPr>
      <w:r>
        <w:t xml:space="preserve">Grouping and synthesis process</w:t>
      </w:r>
    </w:p>
    <w:p>
      <w:pPr>
        <w:pStyle w:val="FirstParagraph"/>
      </w:pPr>
      <w:r>
        <w:t xml:space="preserve">Candidate concerns identified from the literature were grouped by structural similarity. The grouping consolidates six well-established concerns: proxy thresholding [13, 14, 15, 16], context collapse [3, 4, 17, 21], threshold coupling [1, 7, 18], boundary gaming [6, 15, 16], epistemic asymmetry [9, 10, 11], and audit–lifecycle disconnect [5, 8, 19]. Two initial candidates (</w:t>
      </w:r>
      <w:r>
        <w:t xml:space="preserve">“</w:t>
      </w:r>
      <w:r>
        <w:t xml:space="preserve">proxy bias</w:t>
      </w:r>
      <w:r>
        <w:t xml:space="preserve">”</w:t>
      </w:r>
      <w:r>
        <w:t xml:space="preserve"> </w:t>
      </w:r>
      <w:r>
        <w:t xml:space="preserve">and</w:t>
      </w:r>
      <w:r>
        <w:t xml:space="preserve"> </w:t>
      </w:r>
      <w:r>
        <w:t xml:space="preserve">“</w:t>
      </w:r>
      <w:r>
        <w:t xml:space="preserve">causal opacity</w:t>
      </w:r>
      <w:r>
        <w:t xml:space="preserve">”</w:t>
      </w:r>
      <w:r>
        <w:t xml:space="preserve">) were consolidated into</w:t>
      </w:r>
      <w:r>
        <w:t xml:space="preserve"> </w:t>
      </w:r>
      <w:r>
        <w:t xml:space="preserve">“</w:t>
      </w:r>
      <w:r>
        <w:t xml:space="preserve">proxy thresholding</w:t>
      </w:r>
      <w:r>
        <w:t xml:space="preserve">”</w:t>
      </w:r>
      <w:r>
        <w:t xml:space="preserve"> </w:t>
      </w:r>
      <w:r>
        <w:t xml:space="preserve">on the grounds that both describe the same structural mechanism: a disconnect between the measured metric and the harm it purports to control.</w:t>
      </w:r>
    </w:p>
    <w:p>
      <w:pPr>
        <w:pStyle w:val="BodyText"/>
      </w:pPr>
      <w:r>
        <w:t xml:space="preserve">The grouping was performed by a single author. The six-mechanism set is presented as a candidate consolidation, not a closed taxonomy; the pilot inter-rater reliability exercise (Supplementary Appendix C) is prespecified to test whether independent analysts converge on the same partition, and non-convergence would be an empirical signal that the candidate set requires revision. The analytical claim is that these six concerns, taken together, span the major structural failure modes already identified in the cited literatures; the claim is not that they are exhaustive of all possible threshold-related concerns.</w:t>
      </w:r>
    </w:p>
    <w:bookmarkEnd w:id="27"/>
    <w:bookmarkStart w:id="28" w:name="reproducibility"/>
    <w:p>
      <w:pPr>
        <w:pStyle w:val="Heading2"/>
      </w:pPr>
      <w:r>
        <w:t xml:space="preserve">Reproducibility</w:t>
      </w:r>
    </w:p>
    <w:p>
      <w:pPr>
        <w:pStyle w:val="FirstParagraph"/>
      </w:pPr>
      <w:r>
        <w:t xml:space="preserve">Because the synthesis is purposive and conceptual rather than systematic, the literature-identification process is not fully reproducible in the systematic-review sense. The targeted search strategy, search dates, databases, and inclusion/exclusion criteria are described above; Table 1 documents the provenance of each consolidated mechanism. The pilot protocol in the supplement specifies the dual-coding procedure that an extension of this work would follow.</w:t>
      </w:r>
    </w:p>
    <w:bookmarkEnd w:id="28"/>
    <w:bookmarkStart w:id="29" w:name="regulatory-alignment"/>
    <w:p>
      <w:pPr>
        <w:pStyle w:val="Heading2"/>
      </w:pPr>
      <w:r>
        <w:t xml:space="preserve">Regulatory alignment</w:t>
      </w:r>
    </w:p>
    <w:p>
      <w:pPr>
        <w:pStyle w:val="FirstParagraph"/>
      </w:pPr>
      <w:r>
        <w:t xml:space="preserve">Regulatory alignment is assessed at clause level (article and section). All assessments are interpretive author inferences reflecting the governance intent of the cited provisions. They should not be read as statements of regulatory intent or legal requirement, and no claim is made that TJS-compliant documentation uniquely satisfies any cited instrument.</w:t>
      </w:r>
    </w:p>
    <w:bookmarkEnd w:id="29"/>
    <w:bookmarkStart w:id="30" w:name="threshold-classification"/>
    <w:p>
      <w:pPr>
        <w:pStyle w:val="Heading2"/>
      </w:pPr>
      <w:r>
        <w:t xml:space="preserve">Threshold classification</w:t>
      </w:r>
    </w:p>
    <w:p>
      <w:pPr>
        <w:pStyle w:val="FirstParagraph"/>
      </w:pPr>
      <w:r>
        <w:t xml:space="preserve">Primary Safety Thresholds are defined as those whose failure can lead to clinical intervention or omission. Secondary Operational Thresholds govern operational performance whose failure produces operational-burden harm (workflow disruption, alert fatigue, administrative cost) without leading to clinical intervention or omission.</w:t>
      </w:r>
    </w:p>
    <w:p>
      <w:pPr>
        <w:pStyle w:val="BodyText"/>
      </w:pPr>
      <w:r>
        <w:t xml:space="preserve">The classification rule is the</w:t>
      </w:r>
      <w:r>
        <w:t xml:space="preserve"> </w:t>
      </w:r>
      <w:r>
        <w:rPr>
          <w:bCs/>
          <w:b/>
        </w:rPr>
        <w:t xml:space="preserve">Negative Harm Test</w:t>
      </w:r>
      <w:r>
        <w:t xml:space="preserve">: a threshold may be classified Secondary Operational only if its failure cannot lead to clinical intervention or omission. Any answer of</w:t>
      </w:r>
      <w:r>
        <w:t xml:space="preserve"> </w:t>
      </w:r>
      <w:r>
        <w:t xml:space="preserve">“</w:t>
      </w:r>
      <w:r>
        <w:t xml:space="preserve">yes,</w:t>
      </w:r>
      <w:r>
        <w:t xml:space="preserve">”</w:t>
      </w:r>
      <w:r>
        <w:t xml:space="preserve"> </w:t>
      </w:r>
      <w:r>
        <w:t xml:space="preserve">“</w:t>
      </w:r>
      <w:r>
        <w:t xml:space="preserve">uncertain,</w:t>
      </w:r>
      <w:r>
        <w:t xml:space="preserve">”</w:t>
      </w:r>
      <w:r>
        <w:t xml:space="preserve"> </w:t>
      </w:r>
      <w:r>
        <w:t xml:space="preserve">or</w:t>
      </w:r>
      <w:r>
        <w:t xml:space="preserve"> </w:t>
      </w:r>
      <w:r>
        <w:t xml:space="preserve">“</w:t>
      </w:r>
      <w:r>
        <w:t xml:space="preserve">context-dependent</w:t>
      </w:r>
      <w:r>
        <w:t xml:space="preserve">”</w:t>
      </w:r>
      <w:r>
        <w:t xml:space="preserve"> </w:t>
      </w:r>
      <w:r>
        <w:t xml:space="preserve">places the threshold in Primary Safety. When borderline classification persists after the Negative Harm Test is applied, the default-to-Primary rule applies. The Negative Harm Test is illustrated through application to the alert-volume worked example in Supplementary Appendix J.</w:t>
      </w:r>
    </w:p>
    <w:bookmarkEnd w:id="30"/>
    <w:bookmarkStart w:id="31" w:name="X173ec914b123c7a96cf4a42957886d359b90d6e"/>
    <w:p>
      <w:pPr>
        <w:pStyle w:val="Heading2"/>
      </w:pPr>
      <w:r>
        <w:t xml:space="preserve">Computational sensitivity analysis: design</w:t>
      </w:r>
    </w:p>
    <w:p>
      <w:pPr>
        <w:pStyle w:val="FirstParagraph"/>
      </w:pPr>
      <w:r>
        <w:t xml:space="preserve">The framework’s tier-stratified documentation depth depends on tier-classification reliability for the proportionality argument to hold. Because no empirical κ for the Negative Harm Test exists at this paper’s stage, I conducted a computational sensitivity analysis to characterise — under stated modelling assumptions — how variation in inter-rater agreement (κ) propagates to four governance-relevant outcomes: misclassification rates, the net-Primary classification rate after the default-to-Primary adjudication rule, the unsafe-Secondary rate (latent-true Primary thresholds adjudicated Secondary), and the over-escalation burden (latent-true Secondary thresholds adjudicated Primary, expressed as additional documentation hours per 100 thresholds).</w:t>
      </w:r>
    </w:p>
    <w:p>
      <w:pPr>
        <w:pStyle w:val="BodyText"/>
      </w:pPr>
      <w:r>
        <w:t xml:space="preserve">The simulation models a synthetic threshold population of</w:t>
      </w:r>
      <w:r>
        <w:t xml:space="preserve"> </w:t>
      </w:r>
      <w:r>
        <w:rPr>
          <w:iCs/>
          <w:i/>
        </w:rPr>
        <w:t xml:space="preserve">n</w:t>
      </w:r>
      <w:r>
        <w:t xml:space="preserve"> </w:t>
      </w:r>
      <w:r>
        <w:t xml:space="preserve">= 1,000 thresholds per scenario. Each threshold receives a latent true tier ∈ {Primary, Secondary} drawn from a Bernoulli prior with parameter π_Primary. The base-rate prior of π_Primary = 0.10 is reported as the primary scenario, motivated by the Supplementary Appendix C statement that Primary Safety Thresholds typically constitute fewer than 10% of total thresholds; sensitivity to π_Primary ∈ {0.05, 0.10, 0.20, 0.50} is reported in Supplementary Appendix K.</w:t>
      </w:r>
    </w:p>
    <w:p>
      <w:pPr>
        <w:pStyle w:val="BodyText"/>
      </w:pPr>
      <w:r>
        <w:t xml:space="preserve">Two simulated raters classify each threshold as one of {Primary, Secondary, Uncertain}. The Uncertain output is structurally important because the Negative Harm Test specifies default-to-Primary on uncertainty. The marginal Uncertain rate is held constant at 2% across all scenarios so that κ variation is driven by classification-error variation alone. A symmetric per-rater error model is parameterised — by numerical inversion — to achieve a target Cohen’s κ on the binary collapse (Uncertain → Primary, per the default-to-Primary rule). The κ grid is {0.20, 0.30, 0.40, 0.50, 0.60, 0.70, 0.80}, with κ = 0.40 corresponding to the prespecified falsification condition and κ = 0.60 to the illustrative target benchmark stated in the Theory of Change section. Each scenario is run for</w:t>
      </w:r>
      <w:r>
        <w:t xml:space="preserve"> </w:t>
      </w:r>
      <w:r>
        <w:rPr>
          <w:iCs/>
          <w:i/>
        </w:rPr>
        <w:t xml:space="preserve">R</w:t>
      </w:r>
      <w:r>
        <w:t xml:space="preserve"> </w:t>
      </w:r>
      <w:r>
        <w:t xml:space="preserve">= 100 Monte Carlo replicates; reported quantities are means with Monte Carlo standard errors (sample SD / √R).</w:t>
      </w:r>
    </w:p>
    <w:p>
      <w:pPr>
        <w:pStyle w:val="BodyText"/>
      </w:pPr>
      <w:r>
        <w:t xml:space="preserve">The simulation is sensitivity analysis, not empirical estimation. It characterises the analytical reliability conditions under which the tier-classification rule operates; it does not estimate κ in any institutional setting, does not validate the TJS framework, and does not substitute for human inter-rater validation. The symmetric per-rater error model is a tractable baseline; asymmetric and variable-error extensions are feasible under stated modelling assumptions and would not alter the κ regime cut-points. Full source code, modelling-assumption disclosures, deterministic seed, and per-replicate logs are archived in the reproducibility artefact [27] (Supplementary Appendix A; archive identifier reported there). Cohen’s κ values reported throughout follow the Landis and Koch interpretive bands [26].</w:t>
      </w:r>
    </w:p>
    <w:bookmarkEnd w:id="31"/>
    <w:bookmarkEnd w:id="32"/>
    <w:bookmarkStart w:id="34" w:name="Xa7fb15cd896087cc37c30f66769cca36c857443"/>
    <w:p>
      <w:pPr>
        <w:pStyle w:val="Heading1"/>
      </w:pPr>
      <w:r>
        <w:t xml:space="preserve">Results: Six Structural Failure Mechanisms</w:t>
      </w:r>
    </w:p>
    <w:p>
      <w:pPr>
        <w:pStyle w:val="FirstParagraph"/>
      </w:pPr>
      <w:r>
        <w:t xml:space="preserve">The conceptual synthesis consolidated existing structural concerns from the cited literatures into six distinct mechanisms. Table 1 summarises the consolidated mechanisms, their structural description, the prior literature each draws upon, and the documentation gap each surfaces in current frameworks.</w:t>
      </w:r>
    </w:p>
    <w:p>
      <w:pPr>
        <w:pStyle w:val="BodyText"/>
      </w:pPr>
      <w:r>
        <w:rPr>
          <w:iCs/>
          <w:i/>
          <w:bCs/>
          <w:b/>
        </w:rPr>
        <w:t xml:space="preserve">Table 1.</w:t>
      </w:r>
      <w:r>
        <w:t xml:space="preserve"> </w:t>
      </w:r>
      <w:r>
        <w:rPr>
          <w:iCs/>
          <w:i/>
        </w:rPr>
        <w:t xml:space="preserve">Six structural failure mechanisms in threshold design: structural description, key sources, and governance gap. All characterisations are the author’s interpretive assessment.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 mechanism</w:t>
            </w:r>
          </w:p>
        </w:tc>
        <w:tc>
          <w:tcPr/>
          <w:p>
            <w:pPr>
              <w:pStyle w:val="Compact"/>
              <w:jc w:val="left"/>
            </w:pPr>
            <w:r>
              <w:t xml:space="preserve">Structural description</w:t>
            </w:r>
          </w:p>
        </w:tc>
        <w:tc>
          <w:tcPr/>
          <w:p>
            <w:pPr>
              <w:pStyle w:val="Compact"/>
              <w:jc w:val="left"/>
            </w:pPr>
            <w:r>
              <w:t xml:space="preserve">Key sources</w:t>
            </w:r>
          </w:p>
        </w:tc>
        <w:tc>
          <w:tcPr/>
          <w:p>
            <w:pPr>
              <w:pStyle w:val="Compact"/>
              <w:jc w:val="left"/>
            </w:pPr>
            <w:r>
              <w:t xml:space="preserve">Governance gap</w:t>
            </w:r>
          </w:p>
        </w:tc>
      </w:tr>
      <w:tr>
        <w:tc>
          <w:tcPr/>
          <w:p>
            <w:pPr>
              <w:pStyle w:val="Compact"/>
              <w:jc w:val="left"/>
            </w:pPr>
            <w:r>
              <w:t xml:space="preserve">1. Proxy thresholding</w:t>
            </w:r>
          </w:p>
        </w:tc>
        <w:tc>
          <w:tcPr/>
          <w:p>
            <w:pPr>
              <w:pStyle w:val="Compact"/>
              <w:jc w:val="left"/>
            </w:pPr>
            <w:r>
              <w:t xml:space="preserve">Metric bears only indirect causal relationship to the harm it purports to control.</w:t>
            </w:r>
          </w:p>
        </w:tc>
        <w:tc>
          <w:tcPr/>
          <w:p>
            <w:pPr>
              <w:pStyle w:val="Compact"/>
              <w:jc w:val="left"/>
            </w:pPr>
            <w:r>
              <w:t xml:space="preserve">Suresh &amp; Guttag 2021 [13]; Wiens et al 2019 [14]; Goodhart 1981 [15]; Thomas &amp; Uminsky 2022 [16]</w:t>
            </w:r>
          </w:p>
        </w:tc>
        <w:tc>
          <w:tcPr/>
          <w:p>
            <w:pPr>
              <w:pStyle w:val="Compact"/>
              <w:jc w:val="left"/>
            </w:pPr>
            <w:r>
              <w:t xml:space="preserve">Most frameworks accept metric achievement as sufficient; causal chain to harm not required.</w:t>
            </w:r>
          </w:p>
        </w:tc>
      </w:tr>
      <w:tr>
        <w:tc>
          <w:tcPr/>
          <w:p>
            <w:pPr>
              <w:pStyle w:val="Compact"/>
              <w:jc w:val="left"/>
            </w:pPr>
            <w:r>
              <w:t xml:space="preserve">2. Context collapse</w:t>
            </w:r>
          </w:p>
        </w:tc>
        <w:tc>
          <w:tcPr/>
          <w:p>
            <w:pPr>
              <w:pStyle w:val="Compact"/>
              <w:jc w:val="left"/>
            </w:pPr>
            <w:r>
              <w:t xml:space="preserve">Uniform thresholds applied across settings with materially different risk profiles.</w:t>
            </w:r>
          </w:p>
        </w:tc>
        <w:tc>
          <w:tcPr/>
          <w:p>
            <w:pPr>
              <w:pStyle w:val="Compact"/>
              <w:jc w:val="left"/>
            </w:pPr>
            <w:r>
              <w:t xml:space="preserve">Coiera 2019 [17]; Obermeyer et al 2019 [4]; Kelly et al 2019 [3]; FUTURE-AI [21]</w:t>
            </w:r>
          </w:p>
        </w:tc>
        <w:tc>
          <w:tcPr/>
          <w:p>
            <w:pPr>
              <w:pStyle w:val="Compact"/>
              <w:jc w:val="left"/>
            </w:pPr>
            <w:r>
              <w:t xml:space="preserve">EU AI Act Annex IV requires deployment context but does not mandate threshold re-specification per context.</w:t>
            </w:r>
          </w:p>
        </w:tc>
      </w:tr>
      <w:tr>
        <w:tc>
          <w:tcPr/>
          <w:p>
            <w:pPr>
              <w:pStyle w:val="Compact"/>
              <w:jc w:val="left"/>
            </w:pPr>
            <w:r>
              <w:t xml:space="preserve">3. Threshold coupling</w:t>
            </w:r>
          </w:p>
        </w:tc>
        <w:tc>
          <w:tcPr/>
          <w:p>
            <w:pPr>
              <w:pStyle w:val="Compact"/>
              <w:jc w:val="left"/>
            </w:pPr>
            <w:r>
              <w:t xml:space="preserve">Multi-metric governance systems assess thresholds independently; compound failure modes remain undetected.</w:t>
            </w:r>
          </w:p>
        </w:tc>
        <w:tc>
          <w:tcPr/>
          <w:p>
            <w:pPr>
              <w:pStyle w:val="Compact"/>
              <w:jc w:val="left"/>
            </w:pPr>
            <w:r>
              <w:t xml:space="preserve">Leveson 2011 [7]; Rajkomar et al 2019 [1]; Parasuraman &amp; Manzey 2010 [18]</w:t>
            </w:r>
          </w:p>
        </w:tc>
        <w:tc>
          <w:tcPr/>
          <w:p>
            <w:pPr>
              <w:pStyle w:val="Compact"/>
              <w:jc w:val="left"/>
            </w:pPr>
            <w:r>
              <w:t xml:space="preserve">Least addressed in current standards; ISO 42001 references risk interaction but provides no methodology.</w:t>
            </w:r>
          </w:p>
        </w:tc>
      </w:tr>
      <w:tr>
        <w:tc>
          <w:tcPr/>
          <w:p>
            <w:pPr>
              <w:pStyle w:val="Compact"/>
              <w:jc w:val="left"/>
            </w:pPr>
            <w:r>
              <w:t xml:space="preserve">4. Boundary gaming</w:t>
            </w:r>
          </w:p>
        </w:tc>
        <w:tc>
          <w:tcPr/>
          <w:p>
            <w:pPr>
              <w:pStyle w:val="Compact"/>
              <w:jc w:val="left"/>
            </w:pPr>
            <w:r>
              <w:t xml:space="preserve">Hard cutoffs create incentives to optimise the metric rather than improve underlying safety.</w:t>
            </w:r>
          </w:p>
        </w:tc>
        <w:tc>
          <w:tcPr/>
          <w:p>
            <w:pPr>
              <w:pStyle w:val="Compact"/>
              <w:jc w:val="left"/>
            </w:pPr>
            <w:r>
              <w:t xml:space="preserve">Goodhart 1981 [15]; Thomas &amp; Uminsky 2022 [16]; Raji et al 2020 [6]</w:t>
            </w:r>
          </w:p>
        </w:tc>
        <w:tc>
          <w:tcPr/>
          <w:p>
            <w:pPr>
              <w:pStyle w:val="Compact"/>
              <w:jc w:val="left"/>
            </w:pPr>
            <w:r>
              <w:t xml:space="preserve">Algorithmic audit independence principles address gaming but are not mandated.</w:t>
            </w:r>
          </w:p>
        </w:tc>
      </w:tr>
      <w:tr>
        <w:tc>
          <w:tcPr/>
          <w:p>
            <w:pPr>
              <w:pStyle w:val="Compact"/>
              <w:jc w:val="left"/>
            </w:pPr>
            <w:r>
              <w:t xml:space="preserve">5. Epistemic asymmetry</w:t>
            </w:r>
          </w:p>
        </w:tc>
        <w:tc>
          <w:tcPr/>
          <w:p>
            <w:pPr>
              <w:pStyle w:val="Compact"/>
              <w:jc w:val="left"/>
            </w:pPr>
            <w:r>
              <w:t xml:space="preserve">Quantifiable performance metrics crowd out harder-to-measure sociotechnical risks.</w:t>
            </w:r>
          </w:p>
        </w:tc>
        <w:tc>
          <w:tcPr/>
          <w:p>
            <w:pPr>
              <w:pStyle w:val="Compact"/>
              <w:jc w:val="left"/>
            </w:pPr>
            <w:r>
              <w:t xml:space="preserve">Selbst et al 2019 [11]; Metaxa et al 2021 [9]; Mokander &amp; Floridi 2021 [10]</w:t>
            </w:r>
          </w:p>
        </w:tc>
        <w:tc>
          <w:tcPr/>
          <w:p>
            <w:pPr>
              <w:pStyle w:val="Compact"/>
              <w:jc w:val="left"/>
            </w:pPr>
            <w:r>
              <w:t xml:space="preserve">Trustworthy-AI frameworks identify the risk but lack threshold documentation requirements.</w:t>
            </w:r>
          </w:p>
        </w:tc>
      </w:tr>
      <w:tr>
        <w:tc>
          <w:tcPr/>
          <w:p>
            <w:pPr>
              <w:pStyle w:val="Compact"/>
              <w:jc w:val="left"/>
            </w:pPr>
            <w:r>
              <w:t xml:space="preserve">6. Audit–lifecycle disconnect</w:t>
            </w:r>
          </w:p>
        </w:tc>
        <w:tc>
          <w:tcPr/>
          <w:p>
            <w:pPr>
              <w:pStyle w:val="Compact"/>
              <w:jc w:val="left"/>
            </w:pPr>
            <w:r>
              <w:t xml:space="preserve">Thresholds set at deployment but not re-evaluated as population, workflow, or system drift.</w:t>
            </w:r>
          </w:p>
        </w:tc>
        <w:tc>
          <w:tcPr/>
          <w:p>
            <w:pPr>
              <w:pStyle w:val="Compact"/>
              <w:jc w:val="left"/>
            </w:pPr>
            <w:r>
              <w:t xml:space="preserve">FDA PCCP [8]; Vokinger et al 2021 [19]; MHRA 2023 [5]</w:t>
            </w:r>
          </w:p>
        </w:tc>
        <w:tc>
          <w:tcPr/>
          <w:p>
            <w:pPr>
              <w:pStyle w:val="Compact"/>
              <w:jc w:val="left"/>
            </w:pPr>
            <w:r>
              <w:t xml:space="preserve">PCCP guidance addresses change control but does not require justification re-audit.</w:t>
            </w:r>
          </w:p>
        </w:tc>
      </w:tr>
    </w:tbl>
    <w:bookmarkStart w:id="33" w:name="X619be08440799220931a600f6601424844e5c93"/>
    <w:p>
      <w:pPr>
        <w:pStyle w:val="Heading2"/>
      </w:pPr>
      <w:r>
        <w:t xml:space="preserve">Sensitivity analysis: κ regimes for the Negative Harm Test</w:t>
      </w:r>
    </w:p>
    <w:p>
      <w:pPr>
        <w:pStyle w:val="FirstParagraph"/>
      </w:pPr>
      <w:r>
        <w:t xml:space="preserve">Under the modelling assumptions described in Methods, the four governance outcomes vary monotonically with target κ. Table 4 reports the simulated outcomes for κ ∈ {0.20, 0.30, 0.40, 0.50, 0.60, 0.70, 0.80} at the primary scenario base rate π_Primary = 0.10, with Monte Carlo standard errors. The full κ × π grid (4 × 7 scenarios) is reported in Supplementary Appendix K.</w:t>
      </w:r>
    </w:p>
    <w:p>
      <w:pPr>
        <w:pStyle w:val="BodyText"/>
      </w:pPr>
      <w:r>
        <w:rPr>
          <w:iCs/>
          <w:i/>
          <w:bCs/>
          <w:b/>
        </w:rPr>
        <w:t xml:space="preserve">Table 4.</w:t>
      </w:r>
      <w:r>
        <w:t xml:space="preserve"> </w:t>
      </w:r>
      <w:r>
        <w:rPr>
          <w:iCs/>
          <w:i/>
        </w:rPr>
        <w:t xml:space="preserve">Simulated governance outcomes by target κ at π_Primary = 0.10. Outcomes are reported as proportions (mean ± Monte Carlo SE across R = 100 replicates of n = 1,000 synthetic thresholds). Burden is reported as additional documentation hours per 100 thresholds, using indicative time figures (Primary 67.5 min midpoint; Secondary 17.5 min midpoint) from Supplementary Appendix C. All values are conditional on the modelling assumptions disclosed in Supplementary Appendix K and the reproducibility artefact (Supplementary Appendix 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κ</w:t>
            </w:r>
          </w:p>
        </w:tc>
        <w:tc>
          <w:tcPr/>
          <w:p>
            <w:pPr>
              <w:pStyle w:val="Compact"/>
              <w:jc w:val="left"/>
            </w:pPr>
            <w:r>
              <w:t xml:space="preserve">Realised κ</w:t>
            </w:r>
          </w:p>
        </w:tc>
        <w:tc>
          <w:tcPr/>
          <w:p>
            <w:pPr>
              <w:pStyle w:val="Compact"/>
              <w:jc w:val="left"/>
            </w:pPr>
            <w:r>
              <w:t xml:space="preserve">Unsafe-Secondary rate</w:t>
            </w:r>
          </w:p>
        </w:tc>
        <w:tc>
          <w:tcPr/>
          <w:p>
            <w:pPr>
              <w:pStyle w:val="Compact"/>
              <w:jc w:val="left"/>
            </w:pPr>
            <w:r>
              <w:t xml:space="preserve">Over-escalation rate</w:t>
            </w:r>
          </w:p>
        </w:tc>
        <w:tc>
          <w:tcPr/>
          <w:p>
            <w:pPr>
              <w:pStyle w:val="Compact"/>
              <w:jc w:val="left"/>
            </w:pPr>
            <w:r>
              <w:t xml:space="preserve">Net-Primary rate</w:t>
            </w:r>
          </w:p>
        </w:tc>
        <w:tc>
          <w:tcPr/>
          <w:p>
            <w:pPr>
              <w:pStyle w:val="Compact"/>
              <w:jc w:val="left"/>
            </w:pPr>
            <w:r>
              <w:t xml:space="preserve">Burden (h / 100)</w:t>
            </w:r>
          </w:p>
        </w:tc>
      </w:tr>
      <w:tr>
        <w:tc>
          <w:tcPr/>
          <w:p>
            <w:pPr>
              <w:pStyle w:val="Compact"/>
              <w:jc w:val="left"/>
            </w:pPr>
            <w:r>
              <w:t xml:space="preserve">0.20</w:t>
            </w:r>
          </w:p>
        </w:tc>
        <w:tc>
          <w:tcPr/>
          <w:p>
            <w:pPr>
              <w:pStyle w:val="Compact"/>
              <w:jc w:val="left"/>
            </w:pPr>
            <w:r>
              <w:t xml:space="preserve">0.201 ± 0.004</w:t>
            </w:r>
          </w:p>
        </w:tc>
        <w:tc>
          <w:tcPr/>
          <w:p>
            <w:pPr>
              <w:pStyle w:val="Compact"/>
              <w:jc w:val="left"/>
            </w:pPr>
            <w:r>
              <w:t xml:space="preserve">0.0281 ± 0.0015</w:t>
            </w:r>
          </w:p>
        </w:tc>
        <w:tc>
          <w:tcPr/>
          <w:p>
            <w:pPr>
              <w:pStyle w:val="Compact"/>
              <w:jc w:val="left"/>
            </w:pPr>
            <w:r>
              <w:t xml:space="preserve">0.337 ± 0.001</w:t>
            </w:r>
          </w:p>
        </w:tc>
        <w:tc>
          <w:tcPr/>
          <w:p>
            <w:pPr>
              <w:pStyle w:val="Compact"/>
              <w:jc w:val="left"/>
            </w:pPr>
            <w:r>
              <w:t xml:space="preserve">0.400 ± 0.001</w:t>
            </w:r>
          </w:p>
        </w:tc>
        <w:tc>
          <w:tcPr/>
          <w:p>
            <w:pPr>
              <w:pStyle w:val="Compact"/>
              <w:jc w:val="left"/>
            </w:pPr>
            <w:r>
              <w:t xml:space="preserve">25.3 ± 0.11</w:t>
            </w:r>
          </w:p>
        </w:tc>
      </w:tr>
      <w:tr>
        <w:tc>
          <w:tcPr/>
          <w:p>
            <w:pPr>
              <w:pStyle w:val="Compact"/>
              <w:jc w:val="left"/>
            </w:pPr>
            <w:r>
              <w:t xml:space="preserve">0.30</w:t>
            </w:r>
          </w:p>
        </w:tc>
        <w:tc>
          <w:tcPr/>
          <w:p>
            <w:pPr>
              <w:pStyle w:val="Compact"/>
              <w:jc w:val="left"/>
            </w:pPr>
            <w:r>
              <w:t xml:space="preserve">0.298 ± 0.003</w:t>
            </w:r>
          </w:p>
        </w:tc>
        <w:tc>
          <w:tcPr/>
          <w:p>
            <w:pPr>
              <w:pStyle w:val="Compact"/>
              <w:jc w:val="left"/>
            </w:pPr>
            <w:r>
              <w:t xml:space="preserve">0.0149 ± 0.0014</w:t>
            </w:r>
          </w:p>
        </w:tc>
        <w:tc>
          <w:tcPr/>
          <w:p>
            <w:pPr>
              <w:pStyle w:val="Compact"/>
              <w:jc w:val="left"/>
            </w:pPr>
            <w:r>
              <w:t xml:space="preserve">0.256 ± 0.001</w:t>
            </w:r>
          </w:p>
        </w:tc>
        <w:tc>
          <w:tcPr/>
          <w:p>
            <w:pPr>
              <w:pStyle w:val="Compact"/>
              <w:jc w:val="left"/>
            </w:pPr>
            <w:r>
              <w:t xml:space="preserve">0.329 ± 0.002</w:t>
            </w:r>
          </w:p>
        </w:tc>
        <w:tc>
          <w:tcPr/>
          <w:p>
            <w:pPr>
              <w:pStyle w:val="Compact"/>
              <w:jc w:val="left"/>
            </w:pPr>
            <w:r>
              <w:t xml:space="preserve">19.2 ± 0.11</w:t>
            </w:r>
          </w:p>
        </w:tc>
      </w:tr>
      <w:tr>
        <w:tc>
          <w:tcPr/>
          <w:p>
            <w:pPr>
              <w:pStyle w:val="Compact"/>
              <w:jc w:val="left"/>
            </w:pPr>
            <w:r>
              <w:t xml:space="preserve">0.40</w:t>
            </w:r>
          </w:p>
        </w:tc>
        <w:tc>
          <w:tcPr/>
          <w:p>
            <w:pPr>
              <w:pStyle w:val="Compact"/>
              <w:jc w:val="left"/>
            </w:pPr>
            <w:r>
              <w:t xml:space="preserve">0.399 ± 0.004</w:t>
            </w:r>
          </w:p>
        </w:tc>
        <w:tc>
          <w:tcPr/>
          <w:p>
            <w:pPr>
              <w:pStyle w:val="Compact"/>
              <w:jc w:val="left"/>
            </w:pPr>
            <w:r>
              <w:t xml:space="preserve">0.0062 ± 0.0008</w:t>
            </w:r>
          </w:p>
        </w:tc>
        <w:tc>
          <w:tcPr/>
          <w:p>
            <w:pPr>
              <w:pStyle w:val="Compact"/>
              <w:jc w:val="left"/>
            </w:pPr>
            <w:r>
              <w:t xml:space="preserve">0.194 ± 0.001</w:t>
            </w:r>
          </w:p>
        </w:tc>
        <w:tc>
          <w:tcPr/>
          <w:p>
            <w:pPr>
              <w:pStyle w:val="Compact"/>
              <w:jc w:val="left"/>
            </w:pPr>
            <w:r>
              <w:t xml:space="preserve">0.274 ± 0.001</w:t>
            </w:r>
          </w:p>
        </w:tc>
        <w:tc>
          <w:tcPr/>
          <w:p>
            <w:pPr>
              <w:pStyle w:val="Compact"/>
              <w:jc w:val="left"/>
            </w:pPr>
            <w:r>
              <w:t xml:space="preserve">14.6 ± 0.11</w:t>
            </w:r>
          </w:p>
        </w:tc>
      </w:tr>
      <w:tr>
        <w:tc>
          <w:tcPr/>
          <w:p>
            <w:pPr>
              <w:pStyle w:val="Compact"/>
              <w:jc w:val="left"/>
            </w:pPr>
            <w:r>
              <w:t xml:space="preserve">0.50</w:t>
            </w:r>
          </w:p>
        </w:tc>
        <w:tc>
          <w:tcPr/>
          <w:p>
            <w:pPr>
              <w:pStyle w:val="Compact"/>
              <w:jc w:val="left"/>
            </w:pPr>
            <w:r>
              <w:t xml:space="preserve">0.499 ± 0.004</w:t>
            </w:r>
          </w:p>
        </w:tc>
        <w:tc>
          <w:tcPr/>
          <w:p>
            <w:pPr>
              <w:pStyle w:val="Compact"/>
              <w:jc w:val="left"/>
            </w:pPr>
            <w:r>
              <w:t xml:space="preserve">0.0030 ± 0.0006</w:t>
            </w:r>
          </w:p>
        </w:tc>
        <w:tc>
          <w:tcPr/>
          <w:p>
            <w:pPr>
              <w:pStyle w:val="Compact"/>
              <w:jc w:val="left"/>
            </w:pPr>
            <w:r>
              <w:t xml:space="preserve">0.144 ± 0.001</w:t>
            </w:r>
          </w:p>
        </w:tc>
        <w:tc>
          <w:tcPr/>
          <w:p>
            <w:pPr>
              <w:pStyle w:val="Compact"/>
              <w:jc w:val="left"/>
            </w:pPr>
            <w:r>
              <w:t xml:space="preserve">0.229 ± 0.001</w:t>
            </w:r>
          </w:p>
        </w:tc>
        <w:tc>
          <w:tcPr/>
          <w:p>
            <w:pPr>
              <w:pStyle w:val="Compact"/>
              <w:jc w:val="left"/>
            </w:pPr>
            <w:r>
              <w:t xml:space="preserve">10.8 ± 0.09</w:t>
            </w:r>
          </w:p>
        </w:tc>
      </w:tr>
      <w:tr>
        <w:tc>
          <w:tcPr/>
          <w:p>
            <w:pPr>
              <w:pStyle w:val="Compact"/>
              <w:jc w:val="left"/>
            </w:pPr>
            <w:r>
              <w:t xml:space="preserve">0.60</w:t>
            </w:r>
          </w:p>
        </w:tc>
        <w:tc>
          <w:tcPr/>
          <w:p>
            <w:pPr>
              <w:pStyle w:val="Compact"/>
              <w:jc w:val="left"/>
            </w:pPr>
            <w:r>
              <w:t xml:space="preserve">0.598 ± 0.004</w:t>
            </w:r>
          </w:p>
        </w:tc>
        <w:tc>
          <w:tcPr/>
          <w:p>
            <w:pPr>
              <w:pStyle w:val="Compact"/>
              <w:jc w:val="left"/>
            </w:pPr>
            <w:r>
              <w:t xml:space="preserve">0.0007 ± 0.0003</w:t>
            </w:r>
          </w:p>
        </w:tc>
        <w:tc>
          <w:tcPr/>
          <w:p>
            <w:pPr>
              <w:pStyle w:val="Compact"/>
              <w:jc w:val="left"/>
            </w:pPr>
            <w:r>
              <w:t xml:space="preserve">0.107 ± 0.001</w:t>
            </w:r>
          </w:p>
        </w:tc>
        <w:tc>
          <w:tcPr/>
          <w:p>
            <w:pPr>
              <w:pStyle w:val="Compact"/>
              <w:jc w:val="left"/>
            </w:pPr>
            <w:r>
              <w:t xml:space="preserve">0.196 ± 0.001</w:t>
            </w:r>
          </w:p>
        </w:tc>
        <w:tc>
          <w:tcPr/>
          <w:p>
            <w:pPr>
              <w:pStyle w:val="Compact"/>
              <w:jc w:val="left"/>
            </w:pPr>
            <w:r>
              <w:t xml:space="preserve">8.0 ± 0.08</w:t>
            </w:r>
          </w:p>
        </w:tc>
      </w:tr>
      <w:tr>
        <w:tc>
          <w:tcPr/>
          <w:p>
            <w:pPr>
              <w:pStyle w:val="Compact"/>
              <w:jc w:val="left"/>
            </w:pPr>
            <w:r>
              <w:t xml:space="preserve">0.70</w:t>
            </w:r>
          </w:p>
        </w:tc>
        <w:tc>
          <w:tcPr/>
          <w:p>
            <w:pPr>
              <w:pStyle w:val="Compact"/>
              <w:jc w:val="left"/>
            </w:pPr>
            <w:r>
              <w:t xml:space="preserve">0.701 ± 0.004</w:t>
            </w:r>
          </w:p>
        </w:tc>
        <w:tc>
          <w:tcPr/>
          <w:p>
            <w:pPr>
              <w:pStyle w:val="Compact"/>
              <w:jc w:val="left"/>
            </w:pPr>
            <w:r>
              <w:t xml:space="preserve">0.0001 ± 0.0001</w:t>
            </w:r>
          </w:p>
        </w:tc>
        <w:tc>
          <w:tcPr/>
          <w:p>
            <w:pPr>
              <w:pStyle w:val="Compact"/>
              <w:jc w:val="left"/>
            </w:pPr>
            <w:r>
              <w:t xml:space="preserve">0.074 ± 0.001</w:t>
            </w:r>
          </w:p>
        </w:tc>
        <w:tc>
          <w:tcPr/>
          <w:p>
            <w:pPr>
              <w:pStyle w:val="Compact"/>
              <w:jc w:val="left"/>
            </w:pPr>
            <w:r>
              <w:t xml:space="preserve">0.166 ± 0.001</w:t>
            </w:r>
          </w:p>
        </w:tc>
        <w:tc>
          <w:tcPr/>
          <w:p>
            <w:pPr>
              <w:pStyle w:val="Compact"/>
              <w:jc w:val="left"/>
            </w:pPr>
            <w:r>
              <w:t xml:space="preserve">5.5 ± 0.07</w:t>
            </w:r>
          </w:p>
        </w:tc>
      </w:tr>
      <w:tr>
        <w:tc>
          <w:tcPr/>
          <w:p>
            <w:pPr>
              <w:pStyle w:val="Compact"/>
              <w:jc w:val="left"/>
            </w:pPr>
            <w:r>
              <w:t xml:space="preserve">0.80</w:t>
            </w:r>
          </w:p>
        </w:tc>
        <w:tc>
          <w:tcPr/>
          <w:p>
            <w:pPr>
              <w:pStyle w:val="Compact"/>
              <w:jc w:val="left"/>
            </w:pPr>
            <w:r>
              <w:t xml:space="preserve">0.797 ± 0.003</w:t>
            </w:r>
          </w:p>
        </w:tc>
        <w:tc>
          <w:tcPr/>
          <w:p>
            <w:pPr>
              <w:pStyle w:val="Compact"/>
              <w:jc w:val="left"/>
            </w:pPr>
            <w:r>
              <w:t xml:space="preserve">0.0000 ± 0.0000</w:t>
            </w:r>
          </w:p>
        </w:tc>
        <w:tc>
          <w:tcPr/>
          <w:p>
            <w:pPr>
              <w:pStyle w:val="Compact"/>
              <w:jc w:val="left"/>
            </w:pPr>
            <w:r>
              <w:t xml:space="preserve">0.047 ± 0.001</w:t>
            </w:r>
          </w:p>
        </w:tc>
        <w:tc>
          <w:tcPr/>
          <w:p>
            <w:pPr>
              <w:pStyle w:val="Compact"/>
              <w:jc w:val="left"/>
            </w:pPr>
            <w:r>
              <w:t xml:space="preserve">0.141 ± 0.001</w:t>
            </w:r>
          </w:p>
        </w:tc>
        <w:tc>
          <w:tcPr/>
          <w:p>
            <w:pPr>
              <w:pStyle w:val="Compact"/>
              <w:jc w:val="left"/>
            </w:pPr>
            <w:r>
              <w:t xml:space="preserve">3.5 ± 0.06</w:t>
            </w:r>
          </w:p>
        </w:tc>
      </w:tr>
    </w:tbl>
    <w:p>
      <w:pPr>
        <w:pStyle w:val="BodyText"/>
      </w:pPr>
      <w:r>
        <w:rPr>
          <w:iCs/>
          <w:i/>
        </w:rPr>
        <w:t xml:space="preserve">Figure 1.</w:t>
      </w:r>
      <w:r>
        <w:t xml:space="preserve"> </w:t>
      </w:r>
      <w:r>
        <w:t xml:space="preserve">Simulated governance outcomes versus target κ at π_Primary = 0.10. Four panels plot unsafe-Secondary rate, over-escalation rate, net-Primary rate, and over-escalation burden. Sensitivity analysis under stated modelling assumptions; not empirical. Vertical reference lines indicate κ = 0.40 (the prespecified falsification condition) and κ = 0.60 (the illustrative target benchmark). Error bars show Monte Carlo standard errors. Figure file:</w:t>
      </w:r>
      <w:r>
        <w:t xml:space="preserve"> </w:t>
      </w:r>
      <w:r>
        <w:rPr>
          <w:rStyle w:val="VerbatimChar"/>
        </w:rPr>
        <w:t xml:space="preserve">outputs/figures/figure_main_kappa_outcomes.png</w:t>
      </w:r>
      <w:r>
        <w:t xml:space="preserve"> </w:t>
      </w:r>
      <w:r>
        <w:t xml:space="preserve">in the reproducibility artefact.</w:t>
      </w:r>
    </w:p>
    <w:p>
      <w:pPr>
        <w:pStyle w:val="BodyText"/>
      </w:pPr>
      <w:r>
        <w:t xml:space="preserve">Three κ regimes follow from these outputs, derived from the sensitivity analysis under stated modelling assumptions:</w:t>
      </w:r>
    </w:p>
    <w:p>
      <w:pPr>
        <w:pStyle w:val="BodyText"/>
      </w:pPr>
      <w:r>
        <w:rPr>
          <w:bCs/>
          <w:b/>
        </w:rPr>
        <w:t xml:space="preserve">κ &lt; 0.40 — falsification regime.</w:t>
      </w:r>
      <w:r>
        <w:t xml:space="preserve"> </w:t>
      </w:r>
      <w:r>
        <w:t xml:space="preserve">Simulated unsafe-Secondary rates of 1.5%–2.8% at π = 0.10. The Negative Harm Test would, under these modelling assumptions, allow a non-trivial fraction of latent-true Primary thresholds to be classified Secondary even after the default-to-Primary adjudication. This corresponds to the manuscript’s prespecified falsification condition: κ &lt; 0.40 indicates the rule is insufficiently reliable for unsupervised use.</w:t>
      </w:r>
    </w:p>
    <w:p>
      <w:pPr>
        <w:pStyle w:val="BodyText"/>
      </w:pPr>
      <w:r>
        <w:rPr>
          <w:bCs/>
          <w:b/>
        </w:rPr>
        <w:t xml:space="preserve">0.40 ≤ κ &lt; 0.60 — caution regime.</w:t>
      </w:r>
      <w:r>
        <w:t xml:space="preserve"> </w:t>
      </w:r>
      <w:r>
        <w:t xml:space="preserve">Simulated unsafe-Secondary rates of 0.3%–0.6% at π = 0.10. Operation in this regime is acceptable under enhanced arbitration (mandatory third-rater adjudication on disagreement rather than default-to-Primary alone).</w:t>
      </w:r>
    </w:p>
    <w:p>
      <w:pPr>
        <w:pStyle w:val="BodyText"/>
      </w:pPr>
      <w:r>
        <w:rPr>
          <w:bCs/>
          <w:b/>
        </w:rPr>
        <w:t xml:space="preserve">κ ≥ 0.60 — operational regime.</w:t>
      </w:r>
      <w:r>
        <w:t xml:space="preserve"> </w:t>
      </w:r>
      <w:r>
        <w:t xml:space="preserve">Simulated unsafe-Secondary rates of 0.07% or less at π = 0.10. The default-to-Primary rule provides adequate residual safety under the modelling assumptions, with over-escalation rates of approximately 11% (κ = 0.60) declining to approximately 5% (κ = 0.80).</w:t>
      </w:r>
    </w:p>
    <w:p>
      <w:pPr>
        <w:pStyle w:val="BodyText"/>
      </w:pPr>
      <w:r>
        <w:t xml:space="preserve">The κ regime is normative-from-analysis, not empirical. Realised κ values closely matched target κ across the simulation grid (mean absolute difference 0.002 at π = 0.10; Supplementary Appendix K reports verification across the full grid). At the lowest base rate (π = 0.05), the rater model’s analytical maximum κ is approximately 0.71 due to the constant Uncertain rate, so the κ = 0.80 scenario at π = 0.05 converges to that ceiling; this property is documented in the reproducibility artefact.</w:t>
      </w:r>
    </w:p>
    <w:bookmarkEnd w:id="33"/>
    <w:bookmarkEnd w:id="34"/>
    <w:bookmarkStart w:id="35" w:name="X24b5ab02b1bf14e95e4edfd0eb21bca6515c6c9"/>
    <w:p>
      <w:pPr>
        <w:pStyle w:val="Heading1"/>
      </w:pPr>
      <w:r>
        <w:t xml:space="preserve">The Threshold Justification Stack: Specification and Tiered Requirements</w:t>
      </w:r>
    </w:p>
    <w:p>
      <w:pPr>
        <w:pStyle w:val="FirstParagraph"/>
      </w:pPr>
      <w:r>
        <w:t xml:space="preserve">Six documentation elements are specified for TJS records. Table 2 lists the six layers, their function, the failure mechanism each layer is hypothesised to target, and whether each layer is required for Primary Safety Thresholds, Secondary Operational Thresholds, or both. The</w:t>
      </w:r>
      <w:r>
        <w:t xml:space="preserve"> </w:t>
      </w:r>
      <w:r>
        <w:t xml:space="preserve">“</w:t>
      </w:r>
      <w:r>
        <w:t xml:space="preserve">failure mechanism targeted</w:t>
      </w:r>
      <w:r>
        <w:t xml:space="preserve">”</w:t>
      </w:r>
      <w:r>
        <w:t xml:space="preserve"> </w:t>
      </w:r>
      <w:r>
        <w:t xml:space="preserve">column states the structural concern each layer is designed to mitigate; whether the layer empirically reduces the targeted mechanism is the subject of the proposed pilot validation (see Discussion).</w:t>
      </w:r>
    </w:p>
    <w:p>
      <w:pPr>
        <w:pStyle w:val="BodyText"/>
      </w:pPr>
      <w:r>
        <w:rPr>
          <w:iCs/>
          <w:i/>
          <w:bCs/>
          <w:b/>
        </w:rPr>
        <w:t xml:space="preserve">Table 2.</w:t>
      </w:r>
      <w:r>
        <w:t xml:space="preserve"> </w:t>
      </w:r>
      <w:r>
        <w:rPr>
          <w:iCs/>
          <w:i/>
        </w:rPr>
        <w:t xml:space="preserve">The Threshold Justification Stack: components, failure mechanisms targeted, and tier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Function</w:t>
            </w:r>
          </w:p>
        </w:tc>
        <w:tc>
          <w:tcPr/>
          <w:p>
            <w:pPr>
              <w:pStyle w:val="Compact"/>
              <w:jc w:val="left"/>
            </w:pPr>
            <w:r>
              <w:t xml:space="preserve">Failure mechanism targeted</w:t>
            </w:r>
          </w:p>
        </w:tc>
        <w:tc>
          <w:tcPr/>
          <w:p>
            <w:pPr>
              <w:pStyle w:val="Compact"/>
              <w:jc w:val="left"/>
            </w:pPr>
            <w:r>
              <w:t xml:space="preserve">Tier requirement</w:t>
            </w:r>
          </w:p>
        </w:tc>
      </w:tr>
      <w:tr>
        <w:tc>
          <w:tcPr/>
          <w:p>
            <w:pPr>
              <w:pStyle w:val="Compact"/>
              <w:jc w:val="left"/>
            </w:pPr>
            <w:r>
              <w:t xml:space="preserve">L1. Context key</w:t>
            </w:r>
          </w:p>
        </w:tc>
        <w:tc>
          <w:tcPr/>
          <w:p>
            <w:pPr>
              <w:pStyle w:val="Compact"/>
              <w:jc w:val="left"/>
            </w:pPr>
            <w:r>
              <w:t xml:space="preserve">Specify clinical setting, patient population, and acuity level.</w:t>
            </w:r>
          </w:p>
        </w:tc>
        <w:tc>
          <w:tcPr/>
          <w:p>
            <w:pPr>
              <w:pStyle w:val="Compact"/>
              <w:jc w:val="left"/>
            </w:pPr>
            <w:r>
              <w:t xml:space="preserve">Context collapse</w:t>
            </w:r>
          </w:p>
        </w:tc>
        <w:tc>
          <w:tcPr/>
          <w:p>
            <w:pPr>
              <w:pStyle w:val="Compact"/>
              <w:jc w:val="left"/>
            </w:pPr>
            <w:r>
              <w:t xml:space="preserve">Required: both tiers</w:t>
            </w:r>
          </w:p>
        </w:tc>
      </w:tr>
      <w:tr>
        <w:tc>
          <w:tcPr/>
          <w:p>
            <w:pPr>
              <w:pStyle w:val="Compact"/>
              <w:jc w:val="left"/>
            </w:pPr>
            <w:r>
              <w:t xml:space="preserve">L2. Harm-control link</w:t>
            </w:r>
          </w:p>
        </w:tc>
        <w:tc>
          <w:tcPr/>
          <w:p>
            <w:pPr>
              <w:pStyle w:val="Compact"/>
              <w:jc w:val="left"/>
            </w:pPr>
            <w:r>
              <w:t xml:space="preserve">Document causal linkage between metric and the harm to be prevented.</w:t>
            </w:r>
          </w:p>
        </w:tc>
        <w:tc>
          <w:tcPr/>
          <w:p>
            <w:pPr>
              <w:pStyle w:val="Compact"/>
              <w:jc w:val="left"/>
            </w:pPr>
            <w:r>
              <w:t xml:space="preserve">Proxy thresholding; epistemic asymmetry</w:t>
            </w:r>
          </w:p>
        </w:tc>
        <w:tc>
          <w:tcPr/>
          <w:p>
            <w:pPr>
              <w:pStyle w:val="Compact"/>
              <w:jc w:val="left"/>
            </w:pPr>
            <w:r>
              <w:t xml:space="preserve">Required: both tiers</w:t>
            </w:r>
          </w:p>
        </w:tc>
      </w:tr>
      <w:tr>
        <w:tc>
          <w:tcPr/>
          <w:p>
            <w:pPr>
              <w:pStyle w:val="Compact"/>
              <w:jc w:val="left"/>
            </w:pPr>
            <w:r>
              <w:t xml:space="preserve">L3. Calibration evidence</w:t>
            </w:r>
          </w:p>
        </w:tc>
        <w:tc>
          <w:tcPr/>
          <w:p>
            <w:pPr>
              <w:pStyle w:val="Compact"/>
              <w:jc w:val="left"/>
            </w:pPr>
            <w:r>
              <w:t xml:space="preserve">Empirical, simulation, or expert-consensus evidence supporting the numeric value.</w:t>
            </w:r>
          </w:p>
        </w:tc>
        <w:tc>
          <w:tcPr/>
          <w:p>
            <w:pPr>
              <w:pStyle w:val="Compact"/>
              <w:jc w:val="left"/>
            </w:pPr>
            <w:r>
              <w:t xml:space="preserve">Proxy thresholding</w:t>
            </w:r>
          </w:p>
        </w:tc>
        <w:tc>
          <w:tcPr/>
          <w:p>
            <w:pPr>
              <w:pStyle w:val="Compact"/>
              <w:jc w:val="left"/>
            </w:pPr>
            <w:r>
              <w:t xml:space="preserve">Required: both tiers</w:t>
            </w:r>
          </w:p>
        </w:tc>
      </w:tr>
      <w:tr>
        <w:tc>
          <w:tcPr/>
          <w:p>
            <w:pPr>
              <w:pStyle w:val="Compact"/>
              <w:jc w:val="left"/>
            </w:pPr>
            <w:r>
              <w:t xml:space="preserve">L4. Sensitivity analysis</w:t>
            </w:r>
          </w:p>
        </w:tc>
        <w:tc>
          <w:tcPr/>
          <w:p>
            <w:pPr>
              <w:pStyle w:val="Compact"/>
              <w:jc w:val="left"/>
            </w:pPr>
            <w:r>
              <w:t xml:space="preserve">Evaluate governance outcomes as threshold varies; identify cliff-edge regions.</w:t>
            </w:r>
          </w:p>
        </w:tc>
        <w:tc>
          <w:tcPr/>
          <w:p>
            <w:pPr>
              <w:pStyle w:val="Compact"/>
              <w:jc w:val="left"/>
            </w:pPr>
            <w:r>
              <w:t xml:space="preserve">Threshold coupling; boundary gaming</w:t>
            </w:r>
          </w:p>
        </w:tc>
        <w:tc>
          <w:tcPr/>
          <w:p>
            <w:pPr>
              <w:pStyle w:val="Compact"/>
              <w:jc w:val="left"/>
            </w:pPr>
            <w:r>
              <w:t xml:space="preserve">Required: Primary Safety only</w:t>
            </w:r>
          </w:p>
        </w:tc>
      </w:tr>
      <w:tr>
        <w:tc>
          <w:tcPr/>
          <w:p>
            <w:pPr>
              <w:pStyle w:val="Compact"/>
              <w:jc w:val="left"/>
            </w:pPr>
            <w:r>
              <w:t xml:space="preserve">L5. Gaming resistance</w:t>
            </w:r>
          </w:p>
        </w:tc>
        <w:tc>
          <w:tcPr/>
          <w:p>
            <w:pPr>
              <w:pStyle w:val="Compact"/>
              <w:jc w:val="left"/>
            </w:pPr>
            <w:r>
              <w:t xml:space="preserve">Assess whether the threshold can be cleared through metric manipulation.</w:t>
            </w:r>
          </w:p>
        </w:tc>
        <w:tc>
          <w:tcPr/>
          <w:p>
            <w:pPr>
              <w:pStyle w:val="Compact"/>
              <w:jc w:val="left"/>
            </w:pPr>
            <w:r>
              <w:t xml:space="preserve">Boundary gaming</w:t>
            </w:r>
          </w:p>
        </w:tc>
        <w:tc>
          <w:tcPr/>
          <w:p>
            <w:pPr>
              <w:pStyle w:val="Compact"/>
              <w:jc w:val="left"/>
            </w:pPr>
            <w:r>
              <w:t xml:space="preserve">Required: Primary Safety only</w:t>
            </w:r>
          </w:p>
        </w:tc>
      </w:tr>
      <w:tr>
        <w:tc>
          <w:tcPr/>
          <w:p>
            <w:pPr>
              <w:pStyle w:val="Compact"/>
              <w:jc w:val="left"/>
            </w:pPr>
            <w:r>
              <w:t xml:space="preserve">L6. Lifecycle validity rule</w:t>
            </w:r>
          </w:p>
        </w:tc>
        <w:tc>
          <w:tcPr/>
          <w:p>
            <w:pPr>
              <w:pStyle w:val="Compact"/>
              <w:jc w:val="left"/>
            </w:pPr>
            <w:r>
              <w:t xml:space="preserve">Prespecify conditions triggering threshold re-evaluation.</w:t>
            </w:r>
          </w:p>
        </w:tc>
        <w:tc>
          <w:tcPr/>
          <w:p>
            <w:pPr>
              <w:pStyle w:val="Compact"/>
              <w:jc w:val="left"/>
            </w:pPr>
            <w:r>
              <w:t xml:space="preserve">Audit–lifecycle disconnect</w:t>
            </w:r>
          </w:p>
        </w:tc>
        <w:tc>
          <w:tcPr/>
          <w:p>
            <w:pPr>
              <w:pStyle w:val="Compact"/>
              <w:jc w:val="left"/>
            </w:pPr>
            <w:r>
              <w:t xml:space="preserve">Required: Primary Safety only</w:t>
            </w:r>
          </w:p>
        </w:tc>
      </w:tr>
    </w:tbl>
    <w:bookmarkEnd w:id="35"/>
    <w:bookmarkStart w:id="36" w:name="X3ec79bec5041f6136a58e38780e31b786863238"/>
    <w:p>
      <w:pPr>
        <w:pStyle w:val="Heading1"/>
      </w:pPr>
      <w:r>
        <w:t xml:space="preserve">Comparison with Existing Governance Approaches</w:t>
      </w:r>
    </w:p>
    <w:p>
      <w:pPr>
        <w:pStyle w:val="FirstParagraph"/>
      </w:pPr>
      <w:r>
        <w:t xml:space="preserve">Table 3 compares TJS threshold documentation requirements against those of existing governance frameworks. Cell entries are clause-level interpretive assessments; no claim is made that any listed instrument uniquely satisfies any documentation layer or that TJS-compliant documentation uniquely satisfies any listed instrument’s intent.</w:t>
      </w:r>
    </w:p>
    <w:p>
      <w:pPr>
        <w:pStyle w:val="BodyText"/>
      </w:pPr>
      <w:r>
        <w:rPr>
          <w:iCs/>
          <w:i/>
          <w:bCs/>
          <w:b/>
        </w:rPr>
        <w:t xml:space="preserve">Table 3.</w:t>
      </w:r>
      <w:r>
        <w:t xml:space="preserve"> </w:t>
      </w:r>
      <w:r>
        <w:rPr>
          <w:iCs/>
          <w:i/>
        </w:rPr>
        <w:t xml:space="preserve">Comparison of threshold documentation requirements across governance frameworks. All entries are the author’s clause-level interpretive assessment. DCB0129/0160: NHS Clinical Risk Management standard. DTAC: Digital Technology Assessment Criteria. NICE ESF: Evidence Standards Framework. FDA PCCP: Predetermined Change Control Plans.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Framework</w:t>
            </w:r>
          </w:p>
        </w:tc>
        <w:tc>
          <w:tcPr/>
          <w:p>
            <w:pPr>
              <w:pStyle w:val="Compact"/>
              <w:jc w:val="left"/>
            </w:pPr>
            <w:r>
              <w:t xml:space="preserve">Harm-control link</w:t>
            </w:r>
          </w:p>
        </w:tc>
        <w:tc>
          <w:tcPr/>
          <w:p>
            <w:pPr>
              <w:pStyle w:val="Compact"/>
              <w:jc w:val="left"/>
            </w:pPr>
            <w:r>
              <w:t xml:space="preserve">Context key</w:t>
            </w:r>
          </w:p>
        </w:tc>
        <w:tc>
          <w:tcPr/>
          <w:p>
            <w:pPr>
              <w:pStyle w:val="Compact"/>
              <w:jc w:val="left"/>
            </w:pPr>
            <w:r>
              <w:t xml:space="preserve">Calibration evidence</w:t>
            </w:r>
          </w:p>
        </w:tc>
        <w:tc>
          <w:tcPr/>
          <w:p>
            <w:pPr>
              <w:pStyle w:val="Compact"/>
              <w:jc w:val="left"/>
            </w:pPr>
            <w:r>
              <w:t xml:space="preserve">Sensitivity analysis</w:t>
            </w:r>
          </w:p>
        </w:tc>
        <w:tc>
          <w:tcPr/>
          <w:p>
            <w:pPr>
              <w:pStyle w:val="Compact"/>
              <w:jc w:val="left"/>
            </w:pPr>
            <w:r>
              <w:t xml:space="preserve">Gaming resistance</w:t>
            </w:r>
          </w:p>
        </w:tc>
        <w:tc>
          <w:tcPr/>
          <w:p>
            <w:pPr>
              <w:pStyle w:val="Compact"/>
              <w:jc w:val="left"/>
            </w:pPr>
            <w:r>
              <w:t xml:space="preserve">Lifecycle validity</w:t>
            </w:r>
          </w:p>
        </w:tc>
        <w:tc>
          <w:tcPr/>
          <w:p>
            <w:pPr>
              <w:pStyle w:val="Compact"/>
              <w:jc w:val="left"/>
            </w:pPr>
            <w:r>
              <w:t xml:space="preserve">Tiered?</w:t>
            </w:r>
          </w:p>
        </w:tc>
      </w:tr>
      <w:tr>
        <w:tc>
          <w:tcPr/>
          <w:p>
            <w:pPr>
              <w:pStyle w:val="Compact"/>
              <w:jc w:val="left"/>
            </w:pPr>
            <w:r>
              <w:t xml:space="preserve">DCB0129/0160</w:t>
            </w:r>
          </w:p>
        </w:tc>
        <w:tc>
          <w:tcPr/>
          <w:p>
            <w:pPr>
              <w:pStyle w:val="Compact"/>
              <w:jc w:val="left"/>
            </w:pPr>
            <w:r>
              <w:t xml:space="preserve">Partial (hazard log)</w:t>
            </w:r>
          </w:p>
        </w:tc>
        <w:tc>
          <w:tcPr/>
          <w:p>
            <w:pPr>
              <w:pStyle w:val="Compact"/>
              <w:jc w:val="left"/>
            </w:pPr>
            <w:r>
              <w:t xml:space="preserve">Yes (intended-use statement)</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No</w:t>
            </w:r>
          </w:p>
        </w:tc>
      </w:tr>
      <w:tr>
        <w:tc>
          <w:tcPr/>
          <w:p>
            <w:pPr>
              <w:pStyle w:val="Compact"/>
              <w:jc w:val="left"/>
            </w:pPr>
            <w:r>
              <w:t xml:space="preserve">DTAC</w:t>
            </w:r>
          </w:p>
        </w:tc>
        <w:tc>
          <w:tcPr/>
          <w:p>
            <w:pPr>
              <w:pStyle w:val="Compact"/>
              <w:jc w:val="left"/>
            </w:pPr>
            <w:r>
              <w:t xml:space="preserve">Not specified</w:t>
            </w:r>
          </w:p>
        </w:tc>
        <w:tc>
          <w:tcPr/>
          <w:p>
            <w:pPr>
              <w:pStyle w:val="Compact"/>
              <w:jc w:val="left"/>
            </w:pPr>
            <w:r>
              <w:t xml:space="preserve">Partial (clinical safety section)</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Partial (post-market)</w:t>
            </w:r>
          </w:p>
        </w:tc>
        <w:tc>
          <w:tcPr/>
          <w:p>
            <w:pPr>
              <w:pStyle w:val="Compact"/>
              <w:jc w:val="left"/>
            </w:pPr>
            <w:r>
              <w:t xml:space="preserve">No</w:t>
            </w:r>
          </w:p>
        </w:tc>
      </w:tr>
      <w:tr>
        <w:tc>
          <w:tcPr/>
          <w:p>
            <w:pPr>
              <w:pStyle w:val="Compact"/>
              <w:jc w:val="left"/>
            </w:pPr>
            <w:r>
              <w:t xml:space="preserve">NICE ESF</w:t>
            </w:r>
          </w:p>
        </w:tc>
        <w:tc>
          <w:tcPr/>
          <w:p>
            <w:pPr>
              <w:pStyle w:val="Compact"/>
              <w:jc w:val="left"/>
            </w:pPr>
            <w:r>
              <w:t xml:space="preserve">Not specified</w:t>
            </w:r>
          </w:p>
        </w:tc>
        <w:tc>
          <w:tcPr/>
          <w:p>
            <w:pPr>
              <w:pStyle w:val="Compact"/>
              <w:jc w:val="left"/>
            </w:pPr>
            <w:r>
              <w:t xml:space="preserve">Partial (deployment context)</w:t>
            </w:r>
          </w:p>
        </w:tc>
        <w:tc>
          <w:tcPr/>
          <w:p>
            <w:pPr>
              <w:pStyle w:val="Compact"/>
              <w:jc w:val="left"/>
            </w:pPr>
            <w:r>
              <w:t xml:space="preserve">Yes (Tier 3b)</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Tiered by evidence level</w:t>
            </w:r>
          </w:p>
        </w:tc>
      </w:tr>
      <w:tr>
        <w:tc>
          <w:tcPr/>
          <w:p>
            <w:pPr>
              <w:pStyle w:val="Compact"/>
              <w:jc w:val="left"/>
            </w:pPr>
            <w:r>
              <w:t xml:space="preserve">FUTURE-AI [21]</w:t>
            </w:r>
          </w:p>
        </w:tc>
        <w:tc>
          <w:tcPr/>
          <w:p>
            <w:pPr>
              <w:pStyle w:val="Compact"/>
              <w:jc w:val="left"/>
            </w:pPr>
            <w:r>
              <w:t xml:space="preserve">Partial (Fairness principle)</w:t>
            </w:r>
          </w:p>
        </w:tc>
        <w:tc>
          <w:tcPr/>
          <w:p>
            <w:pPr>
              <w:pStyle w:val="Compact"/>
              <w:jc w:val="left"/>
            </w:pPr>
            <w:r>
              <w:t xml:space="preserve">Yes (Universality principle)</w:t>
            </w:r>
          </w:p>
        </w:tc>
        <w:tc>
          <w:tcPr/>
          <w:p>
            <w:pPr>
              <w:pStyle w:val="Compact"/>
              <w:jc w:val="left"/>
            </w:pPr>
            <w:r>
              <w:t xml:space="preserve">Yes (Robustness principle)</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Partial (Continuous monitoring)</w:t>
            </w:r>
          </w:p>
        </w:tc>
        <w:tc>
          <w:tcPr/>
          <w:p>
            <w:pPr>
              <w:pStyle w:val="Compact"/>
              <w:jc w:val="left"/>
            </w:pPr>
            <w:r>
              <w:t xml:space="preserve">No</w:t>
            </w:r>
          </w:p>
        </w:tc>
      </w:tr>
      <w:tr>
        <w:tc>
          <w:tcPr/>
          <w:p>
            <w:pPr>
              <w:pStyle w:val="Compact"/>
              <w:jc w:val="left"/>
            </w:pPr>
            <w:r>
              <w:t xml:space="preserve">FDA PCCP [8] (§IV)</w:t>
            </w:r>
          </w:p>
        </w:tc>
        <w:tc>
          <w:tcPr/>
          <w:p>
            <w:pPr>
              <w:pStyle w:val="Compact"/>
              <w:jc w:val="left"/>
            </w:pPr>
            <w:r>
              <w:t xml:space="preserve">Not specified</w:t>
            </w:r>
          </w:p>
        </w:tc>
        <w:tc>
          <w:tcPr/>
          <w:p>
            <w:pPr>
              <w:pStyle w:val="Compact"/>
              <w:jc w:val="left"/>
            </w:pPr>
            <w:r>
              <w:t xml:space="preserve">Partial (modification description)</w:t>
            </w:r>
          </w:p>
        </w:tc>
        <w:tc>
          <w:tcPr/>
          <w:p>
            <w:pPr>
              <w:pStyle w:val="Compact"/>
              <w:jc w:val="left"/>
            </w:pPr>
            <w:r>
              <w:t xml:space="preserve">Partial (validation)</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Yes (change-control plan)</w:t>
            </w:r>
          </w:p>
        </w:tc>
        <w:tc>
          <w:tcPr/>
          <w:p>
            <w:pPr>
              <w:pStyle w:val="Compact"/>
              <w:jc w:val="left"/>
            </w:pPr>
            <w:r>
              <w:t xml:space="preserve">Risk-based by modification</w:t>
            </w:r>
          </w:p>
        </w:tc>
      </w:tr>
      <w:tr>
        <w:tc>
          <w:tcPr/>
          <w:p>
            <w:pPr>
              <w:pStyle w:val="Compact"/>
              <w:jc w:val="left"/>
            </w:pPr>
            <w:r>
              <w:t xml:space="preserve">EU AI Act (Art. 9, 17)</w:t>
            </w:r>
          </w:p>
        </w:tc>
        <w:tc>
          <w:tcPr/>
          <w:p>
            <w:pPr>
              <w:pStyle w:val="Compact"/>
              <w:jc w:val="left"/>
            </w:pPr>
            <w:r>
              <w:t xml:space="preserve">Partial (risk-management)</w:t>
            </w:r>
          </w:p>
        </w:tc>
        <w:tc>
          <w:tcPr/>
          <w:p>
            <w:pPr>
              <w:pStyle w:val="Compact"/>
              <w:jc w:val="left"/>
            </w:pPr>
            <w:r>
              <w:t xml:space="preserve">Partial (intended purpose)</w:t>
            </w:r>
          </w:p>
        </w:tc>
        <w:tc>
          <w:tcPr/>
          <w:p>
            <w:pPr>
              <w:pStyle w:val="Compact"/>
              <w:jc w:val="left"/>
            </w:pPr>
            <w:r>
              <w:t xml:space="preserve">Partial (technical documentation)</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Partial (post-market)</w:t>
            </w:r>
          </w:p>
        </w:tc>
        <w:tc>
          <w:tcPr/>
          <w:p>
            <w:pPr>
              <w:pStyle w:val="Compact"/>
              <w:jc w:val="left"/>
            </w:pPr>
            <w:r>
              <w:t xml:space="preserve">Risk-based by system</w:t>
            </w:r>
          </w:p>
        </w:tc>
      </w:tr>
      <w:tr>
        <w:tc>
          <w:tcPr/>
          <w:p>
            <w:pPr>
              <w:pStyle w:val="Compact"/>
              <w:jc w:val="left"/>
            </w:pPr>
            <w:r>
              <w:t xml:space="preserve">TJS (this paper)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(Primary only)</w:t>
            </w:r>
          </w:p>
        </w:tc>
        <w:tc>
          <w:tcPr/>
          <w:p>
            <w:pPr>
              <w:pStyle w:val="Compact"/>
              <w:jc w:val="left"/>
            </w:pPr>
            <w:r>
              <w:t xml:space="preserve">Yes (Primary only)</w:t>
            </w:r>
          </w:p>
        </w:tc>
        <w:tc>
          <w:tcPr/>
          <w:p>
            <w:pPr>
              <w:pStyle w:val="Compact"/>
              <w:jc w:val="left"/>
            </w:pPr>
            <w:r>
              <w:t xml:space="preserve">Yes (Primary only)</w:t>
            </w:r>
          </w:p>
        </w:tc>
        <w:tc>
          <w:tcPr/>
          <w:p>
            <w:pPr>
              <w:pStyle w:val="Compact"/>
              <w:jc w:val="left"/>
            </w:pPr>
            <w:r>
              <w:t xml:space="preserve">Yes (Primary / Secondary)</w:t>
            </w:r>
          </w:p>
        </w:tc>
      </w:tr>
    </w:tbl>
    <w:p>
      <w:pPr>
        <w:pStyle w:val="BodyText"/>
      </w:pPr>
      <w:r>
        <w:t xml:space="preserve">Concrete gaming resistance pathways and assessment methodology are detailed in Supplementary Appendix F.</w:t>
      </w:r>
    </w:p>
    <w:bookmarkEnd w:id="36"/>
    <w:bookmarkStart w:id="37" w:name="what-tjs-adds-beyond-existing-frameworks"/>
    <w:p>
      <w:pPr>
        <w:pStyle w:val="Heading1"/>
      </w:pPr>
      <w:r>
        <w:t xml:space="preserve">What TJS Adds Beyond Existing Frameworks</w:t>
      </w:r>
    </w:p>
    <w:p>
      <w:pPr>
        <w:pStyle w:val="FirstParagraph"/>
      </w:pPr>
      <w:r>
        <w:t xml:space="preserve">The TJS is not a replacement for DCB0129/0160, DTAC, NICE ESF, FUTURE-AI, or FDA PCCP. It operates at a different layer of the governance architecture: where those frameworks specify what should be governed and what evidence should be collected, the TJS specifies how the numeric threshold values that operationalise those frameworks should be documented. Three features distinguish TJS from existing approaches.</w:t>
      </w:r>
    </w:p>
    <w:p>
      <w:pPr>
        <w:pStyle w:val="BodyText"/>
      </w:pPr>
      <w:r>
        <w:t xml:space="preserve">First, TJS targets the threshold documentation gap specifically. Existing frameworks reference numeric cutoffs (e.g., calibration standards, subgroup parity bounds, alert-volume ceilings) but do not require that the rationale behind any specific numeric value be recorded. The TJS specifies this documentation architecture without specifying what values should be recorded inside it.</w:t>
      </w:r>
    </w:p>
    <w:p>
      <w:pPr>
        <w:pStyle w:val="BodyText"/>
      </w:pPr>
      <w:r>
        <w:t xml:space="preserve">Second, TJS is a decision-rule layer compatible with conjunctive (non-compensatory) gate architectures, in which all governance gates must meet minimum thresholds for deployment to proceed. The TJS addresses the question</w:t>
      </w:r>
      <w:r>
        <w:t xml:space="preserve"> </w:t>
      </w:r>
      <w:r>
        <w:t xml:space="preserve">“</w:t>
      </w:r>
      <w:r>
        <w:t xml:space="preserve">how should those minimum thresholds be justified?</w:t>
      </w:r>
      <w:r>
        <w:t xml:space="preserve">”</w:t>
      </w:r>
      <w:r>
        <w:t xml:space="preserve"> </w:t>
      </w:r>
      <w:r>
        <w:t xml:space="preserve">without depending on any specific gate-architecture commitment for its operation. Institutions adopting compensatory or hybrid gate architectures may use the TJS equally; the documentation-justification function is independent of the decision-aggregation function.</w:t>
      </w:r>
    </w:p>
    <w:p>
      <w:pPr>
        <w:pStyle w:val="BodyText"/>
      </w:pPr>
      <w:r>
        <w:t xml:space="preserve">Third, TJS is tiered by threshold risk class, whereas existing frameworks are either untiered (uniform documentation for all thresholds) or tiered by a different dimension (e.g., NICE ESF tiers by evidence level, FDA PCCP tiers by modification risk). The Primary Safety / Secondary Operational tiering is motivated by the proportionality objection that uniform documentation burdens raise against thresholds whose failure produces operational rather than clinical-safety harm.</w:t>
      </w:r>
    </w:p>
    <w:p>
      <w:pPr>
        <w:pStyle w:val="BodyText"/>
      </w:pPr>
      <w:r>
        <w:t xml:space="preserve">TJS therefore complements rather than replaces existing frameworks. Institutions adopting TJS would continue to operate within DCB0129/0160 and FUTURE-AI; the TJS records would live inside the existing hazard log and clinical safety case architecture, not alongside it.</w:t>
      </w:r>
    </w:p>
    <w:bookmarkEnd w:id="37"/>
    <w:bookmarkStart w:id="38" w:name="Xb92a2b4ad353f1d199dc7dae87c7ae5e6033419"/>
    <w:p>
      <w:pPr>
        <w:pStyle w:val="Heading1"/>
      </w:pPr>
      <w:r>
        <w:t xml:space="preserve">Engagement with Non-Health Safety Frameworks</w:t>
      </w:r>
    </w:p>
    <w:p>
      <w:pPr>
        <w:pStyle w:val="FirstParagraph"/>
      </w:pPr>
      <w:r>
        <w:t xml:space="preserve">The TJS shares the documentary-justification function of the safety-case methodology used in aviation, nuclear, and rail safety [7], where structured arguments link evidence to safety claims. Unlike full safety cases, however, TJS is scoped to threshold-level justification rather than whole-system safety argumentation; the present paper does not attempt a systematic comparison with non-health safety-case methodologies, which would require a different evidentiary scope and is identified as a candidate for further work.</w:t>
      </w:r>
    </w:p>
    <w:bookmarkEnd w:id="38"/>
    <w:bookmarkStart w:id="40" w:name="Xddd183a0834e030f4e5537d3893d6050c9401cc"/>
    <w:p>
      <w:pPr>
        <w:pStyle w:val="Heading1"/>
      </w:pPr>
      <w:r>
        <w:t xml:space="preserve">Inline Worked Example: Primary Safety TJS Record</w:t>
      </w:r>
    </w:p>
    <w:p>
      <w:pPr>
        <w:pStyle w:val="FirstParagraph"/>
      </w:pPr>
      <w:r>
        <w:t xml:space="preserve">To illustrate the six-layer structure concretely, a Primary Safety TJS record is presented inline below for a canonical worked case: the calibration threshold for an AI-assisted emergency department sepsis prediction algorithm. A second, abbreviated worked example for a Secondary Operational threshold (alert-volume ceiling on a vital-signs monitoring system) is provided in Supplementary Appendix J.</w:t>
      </w:r>
    </w:p>
    <w:bookmarkStart w:id="39" w:name="Xa656eac6499672c56c7fa6b5dd83955ad90e4cb"/>
    <w:p>
      <w:pPr>
        <w:pStyle w:val="Heading3"/>
      </w:pPr>
      <w:r>
        <w:rPr>
          <w:iCs/>
          <w:i/>
        </w:rPr>
        <w:t xml:space="preserve">Worked example: calibration threshold for ED sepsis prediction</w:t>
      </w:r>
    </w:p>
    <w:p>
      <w:pPr>
        <w:pStyle w:val="FirstParagraph"/>
      </w:pPr>
      <w:r>
        <w:rPr>
          <w:bCs/>
          <w:b/>
        </w:rPr>
        <w:t xml:space="preserve">L1. Context key.</w:t>
      </w:r>
      <w:r>
        <w:t xml:space="preserve"> </w:t>
      </w:r>
      <w:r>
        <w:t xml:space="preserve">Adult ED triage cohort; sepsis suspected at presentation; calibration threshold proposed for the intercept-slope calibration plot (target intercept 0 ± 0.05, slope 1 ± 0.10) of the predicted probability-of-sepsis vs observed 48-hour sepsis diagnosis, evaluated on the institutional validation cohort.</w:t>
      </w:r>
    </w:p>
    <w:p>
      <w:pPr>
        <w:pStyle w:val="BodyText"/>
      </w:pPr>
      <w:r>
        <w:rPr>
          <w:bCs/>
          <w:b/>
        </w:rPr>
        <w:t xml:space="preserve">L2. Harm-control link.</w:t>
      </w:r>
      <w:r>
        <w:t xml:space="preserve"> </w:t>
      </w:r>
      <w:r>
        <w:t xml:space="preserve">Calibration failure produces systematically biased predicted probabilities, which propagate into triage decisions. The specific harm pathway is under-prediction in the high-prevalence ED subgroup, leading to delayed antibiotic administration. Evidence linking calibration drift to triage-decision bias is drawn from the published calibration literature for clinical risk scores [23].</w:t>
      </w:r>
    </w:p>
    <w:p>
      <w:pPr>
        <w:pStyle w:val="BodyText"/>
      </w:pPr>
      <w:r>
        <w:rPr>
          <w:bCs/>
          <w:b/>
        </w:rPr>
        <w:t xml:space="preserve">L3. Calibration evidence.</w:t>
      </w:r>
      <w:r>
        <w:t xml:space="preserve"> </w:t>
      </w:r>
      <w:r>
        <w:t xml:space="preserve">The slope 1 ± 0.10 value is derived from two sources: (a) the published calibration literature for clinical risk scores [23], which identifies slope deviation &gt; 0.10 as a commonly used threshold for material miscalibration; and (b) a sensitivity analysis on the institutional validation cohort (n = 4,812), which showed that slope deviations below 0.10 produce &lt; 2% change in triage-tier assignments.</w:t>
      </w:r>
    </w:p>
    <w:p>
      <w:pPr>
        <w:pStyle w:val="BodyText"/>
      </w:pPr>
      <w:r>
        <w:rPr>
          <w:bCs/>
          <w:b/>
        </w:rPr>
        <w:t xml:space="preserve">L4. Sensitivity analysis.</w:t>
      </w:r>
      <w:r>
        <w:t xml:space="preserve"> </w:t>
      </w:r>
      <w:r>
        <w:t xml:space="preserve">The ±0.10 slope bound was tested at ±0.05, ±0.10, ±0.15. At ±0.15, triage-tier assignments change by 6–9% across subgroups; at ±0.05, the reject-rate for novel deployment becomes operationally untenable (≥ 60% rejection of passing validations). ±0.10 is the identified cliff-edge boundary.</w:t>
      </w:r>
    </w:p>
    <w:p>
      <w:pPr>
        <w:pStyle w:val="BodyText"/>
      </w:pPr>
      <w:r>
        <w:rPr>
          <w:bCs/>
          <w:b/>
        </w:rPr>
        <w:t xml:space="preserve">L5. Gaming resistance.</w:t>
      </w:r>
      <w:r>
        <w:t xml:space="preserve"> </w:t>
      </w:r>
      <w:r>
        <w:t xml:space="preserve">Calibration metrics are susceptible to gaming via selective cohort construction (choosing a validation set favourable to the calibration curve). Mitigation: the calibration cohort is specified in L1 (institutional validation cohort) and cannot be substituted; any change triggers lifecycle re-audit (L6). Secondary mitigation: independent audit of the calibration cohort composition by an assessor unaffiliated with the deployment.</w:t>
      </w:r>
    </w:p>
    <w:p>
      <w:pPr>
        <w:pStyle w:val="BodyText"/>
      </w:pPr>
      <w:r>
        <w:rPr>
          <w:bCs/>
          <w:b/>
        </w:rPr>
        <w:t xml:space="preserve">L6. Lifecycle validity rule.</w:t>
      </w:r>
      <w:r>
        <w:t xml:space="preserve"> </w:t>
      </w:r>
      <w:r>
        <w:t xml:space="preserve">Calibration re-audit triggered by any of: (a) 10% change in ED sepsis prevalence over rolling 90 days; (b) any model update (including retraining on updated data); (c) any change in clinical workflow affecting triage decisions; (d) scheduled annual recalibration regardless of above.</w:t>
      </w:r>
    </w:p>
    <w:bookmarkEnd w:id="39"/>
    <w:bookmarkEnd w:id="40"/>
    <w:bookmarkStart w:id="42" w:name="X26079a65f7f90cd75393bdb6f5e64bb96c6d73e"/>
    <w:p>
      <w:pPr>
        <w:pStyle w:val="Heading1"/>
      </w:pPr>
      <w:r>
        <w:t xml:space="preserve">Integrating TJS Into Existing Hospital Audit Infrastructure</w:t>
      </w:r>
    </w:p>
    <w:p>
      <w:pPr>
        <w:pStyle w:val="FirstParagraph"/>
      </w:pPr>
      <w:r>
        <w:t xml:space="preserve">TJS integration requires three procedural changes to existing governance infrastructure: (a) a threshold justification record is produced for each numeric threshold at the point of deployment or substantive modification; (b) records are stored within existing clinical safety case or hazard log architecture; and (c) the lifecycle validity rule (L6) triggers audit committee review rather than requiring manual initiation. TJS records are designed to integrate as structured fields within existing hazard log and clinical safety case schemas; specific schema mappings are deployment-specific and outside the scope of this paper. Detailed schema-mapping specification is an empirical software-engineering question for the proposed pilot phase and for subsequent implementation work.</w:t>
      </w:r>
    </w:p>
    <w:bookmarkStart w:id="41" w:name="Xe64e09f276c33896c17b6c2f33d7fb548c7d95f"/>
    <w:p>
      <w:pPr>
        <w:pStyle w:val="Heading2"/>
      </w:pPr>
      <w:r>
        <w:t xml:space="preserve">Interaction with existing hazard logs and clinical risk management processes</w:t>
      </w:r>
    </w:p>
    <w:p>
      <w:pPr>
        <w:pStyle w:val="FirstParagraph"/>
      </w:pPr>
      <w:r>
        <w:t xml:space="preserve">The TJS is designed to augment, not replace, DCB0129/0160 hazard logs. Each TJS record is referenced from the corresponding hazard log entry, and the L6 lifecycle validity rule is specified in a form directly consumable by the hazard log’s periodic review process. Mapping of TJS layers to existing NHS governance artefacts is provided in Supplementary Appendix G.</w:t>
      </w:r>
    </w:p>
    <w:bookmarkEnd w:id="41"/>
    <w:bookmarkEnd w:id="42"/>
    <w:bookmarkStart w:id="43" w:name="illustrative-committee-vignette"/>
    <w:p>
      <w:pPr>
        <w:pStyle w:val="Heading1"/>
      </w:pPr>
      <w:r>
        <w:t xml:space="preserve">Illustrative Committee Vignette</w:t>
      </w:r>
    </w:p>
    <w:p>
      <w:pPr>
        <w:pStyle w:val="FirstParagraph"/>
      </w:pPr>
      <w:r>
        <w:t xml:space="preserve">An illustrative committee review of a Primary Safety TJS record for an AI-assisted chest X-ray interpretation algorithm is described in Supplementary Appendix H. The vignette demonstrates how the six-layer structure surfaces the specific decision points (e.g., L4 sensitivity analysis boundary selection; L5 gaming-resistance evaluation) that existing framework-based review processes leave implicit.</w:t>
      </w:r>
    </w:p>
    <w:bookmarkEnd w:id="43"/>
    <w:bookmarkStart w:id="44" w:name="X70c67b057b2ad9ded69965b8301307191ba1c23"/>
    <w:p>
      <w:pPr>
        <w:pStyle w:val="Heading1"/>
      </w:pPr>
      <w:r>
        <w:t xml:space="preserve">Documentation Burden: Addressing the Proportionality Objection</w:t>
      </w:r>
    </w:p>
    <w:p>
      <w:pPr>
        <w:pStyle w:val="FirstParagraph"/>
      </w:pPr>
      <w:r>
        <w:t xml:space="preserve">The tiered structure is the primary response to proportionality concerns. For Secondary Operational Thresholds, three layers (L1 Context, L2 Harm-control link, L3 Calibration evidence) are required. L4 Sensitivity analysis, L5 Gaming resistance, and L6 Lifecycle validity rule are not required at the Secondary tier, because failure of these thresholds does not lead to clinical intervention or omission under the Negative Harm Test.</w:t>
      </w:r>
    </w:p>
    <w:p>
      <w:pPr>
        <w:pStyle w:val="BodyText"/>
      </w:pPr>
      <w:r>
        <w:t xml:space="preserve">For Primary Safety Thresholds, the documentation burden of all six layers is defended as proportionate to the irreversibility of the downstream harm. The pilot protocol (Supplementary Appendix C addendum) includes a primary endpoint of median completion time per threshold record, separately reported for Primary and Secondary tiers, which will enable empirical calibration of the burden assessment.</w:t>
      </w:r>
    </w:p>
    <w:bookmarkEnd w:id="44"/>
    <w:bookmarkStart w:id="48" w:name="failure-modes-of-the-tjs-itself"/>
    <w:p>
      <w:pPr>
        <w:pStyle w:val="Heading1"/>
      </w:pPr>
      <w:r>
        <w:t xml:space="preserve">Failure Modes of the TJS Itself</w:t>
      </w:r>
    </w:p>
    <w:p>
      <w:pPr>
        <w:pStyle w:val="FirstParagraph"/>
      </w:pPr>
      <w:r>
        <w:t xml:space="preserve">The TJS is subject to failure modes analogous to those it documents. Three are identified as particularly material for institutional adoption. Each failure mode is paired below with concrete present-tense procedural safeguards as well as the future-empirical work that the proposed pilot is designed to test.</w:t>
      </w:r>
    </w:p>
    <w:bookmarkStart w:id="45" w:name="ritualistic-compliance"/>
    <w:p>
      <w:pPr>
        <w:pStyle w:val="Heading2"/>
      </w:pPr>
      <w:r>
        <w:t xml:space="preserve">Ritualistic compliance</w:t>
      </w:r>
    </w:p>
    <w:p>
      <w:pPr>
        <w:pStyle w:val="FirstParagraph"/>
      </w:pPr>
      <w:r>
        <w:t xml:space="preserve">Documentation artefacts can be produced as compliance theatre — records completed for each threshold but without substantive engagement with the harm-control link or the sensitivity analysis. Three concrete safeguards apply now: (i) L2 (harm-control link) requires sign-off by a clinical lead with responsibility for the deployment context, not solely by a technical auditor; (ii) L2 documentation must specify a named harm pathway (e.g.,</w:t>
      </w:r>
      <w:r>
        <w:t xml:space="preserve"> </w:t>
      </w:r>
      <w:r>
        <w:t xml:space="preserve">“</w:t>
      </w:r>
      <w:r>
        <w:t xml:space="preserve">delayed antibiotic administration in the high-prevalence subgroup</w:t>
      </w:r>
      <w:r>
        <w:t xml:space="preserve">”</w:t>
      </w:r>
      <w:r>
        <w:t xml:space="preserve">), not generic risk language; (iii) the prespecified inter-rater reliability exercise (described in Discussion and Supplementary Appendix C addendum) is designed to detect ritualistic records, which would produce low κ on substantive layers (L2, L4, L5) even if template compliance (L1, L6) is high.</w:t>
      </w:r>
    </w:p>
    <w:bookmarkEnd w:id="45"/>
    <w:bookmarkStart w:id="46" w:name="documentation-as-shield"/>
    <w:p>
      <w:pPr>
        <w:pStyle w:val="Heading2"/>
      </w:pPr>
      <w:r>
        <w:t xml:space="preserve">Documentation-as-shield</w:t>
      </w:r>
    </w:p>
    <w:p>
      <w:pPr>
        <w:pStyle w:val="FirstParagraph"/>
      </w:pPr>
      <w:r>
        <w:t xml:space="preserve">Complete TJS records can be invoked to deflect accountability —</w:t>
      </w:r>
      <w:r>
        <w:t xml:space="preserve"> </w:t>
      </w:r>
      <w:r>
        <w:t xml:space="preserve">“</w:t>
      </w:r>
      <w:r>
        <w:t xml:space="preserve">we documented the threshold, so failure is a documentation issue, not a safety issue.</w:t>
      </w:r>
      <w:r>
        <w:t xml:space="preserve">”</w:t>
      </w:r>
      <w:r>
        <w:t xml:space="preserve"> </w:t>
      </w:r>
      <w:r>
        <w:t xml:space="preserve">Concrete safeguard: completion of all six TJS layers does not establish that the threshold value is safe; the TJS documents the</w:t>
      </w:r>
      <w:r>
        <w:t xml:space="preserve"> </w:t>
      </w:r>
      <w:r>
        <w:rPr>
          <w:iCs/>
          <w:i/>
        </w:rPr>
        <w:t xml:space="preserve">justification</w:t>
      </w:r>
      <w:r>
        <w:t xml:space="preserve">, not the</w:t>
      </w:r>
      <w:r>
        <w:t xml:space="preserve"> </w:t>
      </w:r>
      <w:r>
        <w:rPr>
          <w:iCs/>
          <w:i/>
        </w:rPr>
        <w:t xml:space="preserve">adequacy</w:t>
      </w:r>
      <w:r>
        <w:t xml:space="preserve">, of the threshold. Adequacy is a clinical-judgement and committee-deliberation question that the TJS surfaces but does not resolve. This non-substitution clause is explicit in the TJS specification.</w:t>
      </w:r>
    </w:p>
    <w:bookmarkEnd w:id="46"/>
    <w:bookmarkStart w:id="47" w:name="tier-gaming"/>
    <w:p>
      <w:pPr>
        <w:pStyle w:val="Heading2"/>
      </w:pPr>
      <w:r>
        <w:t xml:space="preserve">Tier gaming</w:t>
      </w:r>
    </w:p>
    <w:p>
      <w:pPr>
        <w:pStyle w:val="FirstParagraph"/>
      </w:pPr>
      <w:r>
        <w:t xml:space="preserve">Thresholds that would require all six layers under Primary Safety classification can be misclassified as Secondary Operational to reduce documentation burden. Three concrete safeguards apply now: (i) the Negative Harm Test (specified in Methods) is the binding procedural test for tier classification; (ii) tier classification requires sign-off by a clinical lead, not solely by a technical auditor; (iii) the default-to-Primary rule applies whenever the Negative Harm Test returns</w:t>
      </w:r>
      <w:r>
        <w:t xml:space="preserve"> </w:t>
      </w:r>
      <w:r>
        <w:t xml:space="preserve">“</w:t>
      </w:r>
      <w:r>
        <w:t xml:space="preserve">uncertain</w:t>
      </w:r>
      <w:r>
        <w:t xml:space="preserve">”</w:t>
      </w:r>
      <w:r>
        <w:t xml:space="preserve"> </w:t>
      </w:r>
      <w:r>
        <w:t xml:space="preserve">or</w:t>
      </w:r>
      <w:r>
        <w:t xml:space="preserve"> </w:t>
      </w:r>
      <w:r>
        <w:t xml:space="preserve">“</w:t>
      </w:r>
      <w:r>
        <w:t xml:space="preserve">context-dependent.</w:t>
      </w:r>
      <w:r>
        <w:t xml:space="preserve">”</w:t>
      </w:r>
      <w:r>
        <w:t xml:space="preserve"> </w:t>
      </w:r>
      <w:r>
        <w:t xml:space="preserve">The pilot design’s inter-rater reliability assessment of tier classification (Supplementary Appendix C addendum) is the empirical test of whether these safeguards are sufficient.</w:t>
      </w:r>
    </w:p>
    <w:bookmarkEnd w:id="47"/>
    <w:bookmarkEnd w:id="48"/>
    <w:bookmarkStart w:id="60" w:name="discussion"/>
    <w:p>
      <w:pPr>
        <w:pStyle w:val="Heading1"/>
      </w:pPr>
      <w:r>
        <w:t xml:space="preserve">Discussion</w:t>
      </w:r>
    </w:p>
    <w:bookmarkStart w:id="49" w:name="contribution-and-classification"/>
    <w:p>
      <w:pPr>
        <w:pStyle w:val="Heading2"/>
      </w:pPr>
      <w:r>
        <w:t xml:space="preserve">Contribution and classification</w:t>
      </w:r>
    </w:p>
    <w:p>
      <w:pPr>
        <w:pStyle w:val="FirstParagraph"/>
      </w:pPr>
      <w:r>
        <w:t xml:space="preserve">The contribution is the threshold-documentation method — the six-layer / three-layer tiered architecture and the operational tier-classification rule (the Negative Harm Test with default-to-Primary on uncertainty) — not the underlying structural concerns it addresses, each of which is attributed to prior literature. The TJS is classified as a normative governance proposal: it specifies what threshold documentation should contain and how it should be tiered, not what specific numeric values particular thresholds should take. The contribution is not a replacement for existing governance frameworks (DCB0129/0160, EU AI Act, FDA PCCP, FUTURE-AI, ISO/IEC 42001), which the TJS augments at the threshold-documentation layer; nor is it a set of prescribed numeric values, which remain a local clinical-governance responsibility. The paper addresses the threshold-documentation-architecture gap within a broader research programme on non-compensatory governance of clinical AI [20]; its argument does not depend on that programme’s other components.</w:t>
      </w:r>
    </w:p>
    <w:p>
      <w:pPr>
        <w:pStyle w:val="BodyText"/>
      </w:pPr>
      <w:r>
        <w:t xml:space="preserve">This work qualifies as a Research article on methodological-contribution criteria: formal method specification, analytical evaluation under stated modelling assumptions, reproducible computational framework, and prespecified empirical validation pathway — distinct from a viewpoint, commentary, or pure conceptual synthesis.</w:t>
      </w:r>
    </w:p>
    <w:bookmarkEnd w:id="49"/>
    <w:bookmarkStart w:id="50" w:name="X229a503bbdf9996467c95275d6d8bbddcb299bb"/>
    <w:p>
      <w:pPr>
        <w:pStyle w:val="Heading2"/>
      </w:pPr>
      <w:r>
        <w:t xml:space="preserve">Theory of change and falsification conditions</w:t>
      </w:r>
    </w:p>
    <w:p>
      <w:pPr>
        <w:pStyle w:val="FirstParagraph"/>
      </w:pPr>
      <w:r>
        <w:t xml:space="preserve">The TJS is hypothesised — not demonstrated — to reduce the structural failure mechanisms it documents. The hypothesised causal pathway is that documentation prompts deliberation; deliberation surfaces decision points that committees would otherwise leave implicit; and surfaced decision points become auditable after the fact.</w:t>
      </w:r>
    </w:p>
    <w:p>
      <w:pPr>
        <w:pStyle w:val="BodyText"/>
      </w:pPr>
      <w:r>
        <w:t xml:space="preserve">The strongest counter-hypothesis, drawn from the checklist-fatigue and automation-complacency literatures [18, 24, 25], is that documentation may fail to prompt deliberation if it becomes ritualistic. The Failure Modes section above specifies the concrete safeguards intended to address these risks; whether the safeguards are sufficient is an empirical question (see Adversarial considerations).</w:t>
      </w:r>
    </w:p>
    <w:p>
      <w:pPr>
        <w:pStyle w:val="BodyText"/>
      </w:pPr>
      <w:r>
        <w:t xml:space="preserve">The TJS would be considered ineffective on the falsification criteria below:</w:t>
      </w:r>
    </w:p>
    <w:p>
      <w:pPr>
        <w:numPr>
          <w:ilvl w:val="0"/>
          <w:numId w:val="1001"/>
        </w:numPr>
        <w:pStyle w:val="Compact"/>
      </w:pPr>
      <w:r>
        <w:t xml:space="preserve">the proposed pilot inter-rater reliability exercise produces κ &lt; 0.40 on Primary/Secondary tier classification;</w:t>
      </w:r>
    </w:p>
    <w:p>
      <w:pPr>
        <w:numPr>
          <w:ilvl w:val="0"/>
          <w:numId w:val="1001"/>
        </w:numPr>
        <w:pStyle w:val="Compact"/>
      </w:pPr>
      <w:r>
        <w:t xml:space="preserve">pilot completion-time exceeds an institutional untenability threshold of median &gt; 4 hours per Primary Safety record across the pilot sample;</w:t>
      </w:r>
    </w:p>
    <w:p>
      <w:pPr>
        <w:numPr>
          <w:ilvl w:val="0"/>
          <w:numId w:val="1001"/>
        </w:numPr>
        <w:pStyle w:val="Compact"/>
      </w:pPr>
      <w:r>
        <w:t xml:space="preserve">committee acceptability scores on the prespecified Likert measure fall below 3 of 5 (</w:t>
      </w:r>
      <w:r>
        <w:t xml:space="preserve">“</w:t>
      </w:r>
      <w:r>
        <w:t xml:space="preserve">neutral</w:t>
      </w:r>
      <w:r>
        <w:t xml:space="preserve">”</w:t>
      </w:r>
      <w:r>
        <w:t xml:space="preserve">);</w:t>
      </w:r>
    </w:p>
    <w:p>
      <w:pPr>
        <w:numPr>
          <w:ilvl w:val="0"/>
          <w:numId w:val="1001"/>
        </w:numPr>
        <w:pStyle w:val="Compact"/>
      </w:pPr>
      <w:r>
        <w:t xml:space="preserve">qualitative pilot data report no change in surfaced decision points relative to pre-TJS practice.</w:t>
      </w:r>
    </w:p>
    <w:p>
      <w:pPr>
        <w:pStyle w:val="FirstParagraph"/>
      </w:pPr>
      <w:r>
        <w:t xml:space="preserve">These are illustrative falsification thresholds; the supplementary pilot protocol formalises them.</w:t>
      </w:r>
    </w:p>
    <w:p>
      <w:pPr>
        <w:pStyle w:val="BodyText"/>
      </w:pPr>
      <w:r>
        <w:t xml:space="preserve">The first falsification condition is interpretable as a regime with quantified analytical consequences (see Results §κ regimes). Under stated modelling assumptions, the analysis supports a normative κ tolerance regime: κ &lt; 0.40 (falsification), 0.40 ≤ κ &lt; 0.60 (caution, requiring enhanced arbitration), κ ≥ 0.60 (operational under default-to-Primary alone). The regime is normative-from-analysis; the pilot’s pre-registered acceptance criteria operationalise it empirically.</w:t>
      </w:r>
    </w:p>
    <w:bookmarkEnd w:id="50"/>
    <w:bookmarkStart w:id="51" w:name="sensitivity-analysis-scope-and-limits"/>
    <w:p>
      <w:pPr>
        <w:pStyle w:val="Heading2"/>
      </w:pPr>
      <w:r>
        <w:t xml:space="preserve">Sensitivity analysis: scope and limits</w:t>
      </w:r>
    </w:p>
    <w:p>
      <w:pPr>
        <w:pStyle w:val="FirstParagraph"/>
      </w:pPr>
      <w:r>
        <w:t xml:space="preserve">The computational sensitivity analysis answers an analytical question about the tier-classification rule under stated modelling assumptions: given an assumed κ value and the default-to-Primary adjudication, what governance outcomes follow? It does not answer the empirical questions of what κ obtains in any real institution, what behavioural effects documentation has on deliberation, or what coupling exists between κ on the Negative Harm Test and reliability of any individual TJS layer (L1–L6).</w:t>
      </w:r>
    </w:p>
    <w:p>
      <w:pPr>
        <w:pStyle w:val="BodyText"/>
      </w:pPr>
      <w:r>
        <w:t xml:space="preserve">Three limits are particularly material. First, the rater model is symmetric: per-rater errors are equally likely in both directions. Real raters may have systematic biases (e.g., toward Secondary classification under documentation-burden pressure) that the symmetric model does not capture. Second, the Uncertain rate is held constant; in practice, Uncertain rates may co-vary with κ in ways the simulation does not model. Third, the simulation produces normative κ tolerances; the pilot produces empirical κ values. The two threads complement each other and neither substitutes for the other.</w:t>
      </w:r>
    </w:p>
    <w:bookmarkEnd w:id="51"/>
    <w:bookmarkStart w:id="55" w:name="adversarial-considerations"/>
    <w:p>
      <w:pPr>
        <w:pStyle w:val="Heading2"/>
      </w:pPr>
      <w:r>
        <w:t xml:space="preserve">Adversarial considerations</w:t>
      </w:r>
    </w:p>
    <w:p>
      <w:pPr>
        <w:pStyle w:val="FirstParagraph"/>
      </w:pPr>
      <w:r>
        <w:t xml:space="preserve">The TJS faces three substantive counter-positions that any methodology paper proposing a documentation architecture must address.</w:t>
      </w:r>
    </w:p>
    <w:bookmarkStart w:id="52" w:name="X10363d348e08d6c12c8d2c6dcd88a2076ccd584"/>
    <w:p>
      <w:pPr>
        <w:pStyle w:val="Heading3"/>
      </w:pPr>
      <w:r>
        <w:t xml:space="preserve">Counter-position 1: documentation does not change behaviour</w:t>
      </w:r>
    </w:p>
    <w:p>
      <w:pPr>
        <w:pStyle w:val="FirstParagraph"/>
      </w:pPr>
      <w:r>
        <w:rPr>
          <w:bCs/>
          <w:b/>
        </w:rPr>
        <w:t xml:space="preserve">Steelman.</w:t>
      </w:r>
      <w:r>
        <w:t xml:space="preserve"> </w:t>
      </w:r>
      <w:r>
        <w:t xml:space="preserve">The most informed objection is not that documentation is useless but that the causal pathway from documentation to safety improvement is empirically contested. Large-scale evaluations of safety checklists in surgery and ICU settings have produced mixed results, with positive trial findings often failing to replicate at scale [24]. The behavioural mechanism by which documentation prompts deliberation is mediated by institutional culture, leadership commitment, and feedback loops that the documentation artefact itself does not control. A second strand of the steelman comes from the automation-complacency literature [18]: structured checklists can offload deliberation to the artefact, producing the appearance of accountability while actual decision quality declines.</w:t>
      </w:r>
      <w:r>
        <w:t xml:space="preserve"> </w:t>
      </w:r>
      <w:r>
        <w:rPr>
          <w:iCs/>
          <w:i/>
        </w:rPr>
        <w:t xml:space="preserve">The threat:</w:t>
      </w:r>
      <w:r>
        <w:t xml:space="preserve"> </w:t>
      </w:r>
      <w:r>
        <w:t xml:space="preserve">if documentation does not produce deliberation, the TJS Theory of Change is false at its first inferential step, every downstream argument collapses, and the framework would be a documentation burden without governance benefit — exactly the failure mode the manuscript names</w:t>
      </w:r>
      <w:r>
        <w:t xml:space="preserve"> </w:t>
      </w:r>
      <w:r>
        <w:t xml:space="preserve">“</w:t>
      </w:r>
      <w:r>
        <w:t xml:space="preserve">ritualistic compliance.</w:t>
      </w:r>
      <w:r>
        <w:t xml:space="preserve">”</w:t>
      </w:r>
    </w:p>
    <w:p>
      <w:pPr>
        <w:pStyle w:val="BodyText"/>
      </w:pPr>
      <w:r>
        <w:rPr>
          <w:bCs/>
          <w:b/>
        </w:rPr>
        <w:t xml:space="preserve">TJS response.</w:t>
      </w:r>
      <w:r>
        <w:t xml:space="preserve"> </w:t>
      </w:r>
      <w:r>
        <w:t xml:space="preserve">First, the Theory of Change is stated explicitly as a hypothesis, not an empirical finding. The pilot’s prespecified falsification condition</w:t>
      </w:r>
      <w:r>
        <w:t xml:space="preserve"> </w:t>
      </w:r>
      <w:r>
        <w:t xml:space="preserve">“</w:t>
      </w:r>
      <w:r>
        <w:t xml:space="preserve">no change in surfaced decision points relative to pre-TJS practice</w:t>
      </w:r>
      <w:r>
        <w:t xml:space="preserve">”</w:t>
      </w:r>
      <w:r>
        <w:t xml:space="preserve"> </w:t>
      </w:r>
      <w:r>
        <w:t xml:space="preserve">is the direct empirical test of this counter-position; if the pilot returns null on this measure, the counter-position is supported and the TJS as specified does not pass its own falsification test. Second, the Failure Modes section specifies concrete procedural safeguards — mandatory clinical-lead sign-off on L2; named harm pathway requirement; inter-rater reliability detection of ritualistic records — designed to intervene on the most likely pathway to ritualism.</w:t>
      </w:r>
    </w:p>
    <w:p>
      <w:pPr>
        <w:pStyle w:val="BodyText"/>
      </w:pPr>
      <w:r>
        <w:rPr>
          <w:bCs/>
          <w:b/>
        </w:rPr>
        <w:t xml:space="preserve">Residual risk.</w:t>
      </w:r>
      <w:r>
        <w:t xml:space="preserve"> </w:t>
      </w:r>
      <w:r>
        <w:t xml:space="preserve">The TJS cannot eliminate the implementation-science risk through specification alone. If institutional adoption is performative — leadership requires TJS records without supporting deliberation — the framework fails. The TJS is not robust to adversarial institutional contexts; it requires a minimally cooperative deliberation environment.</w:t>
      </w:r>
    </w:p>
    <w:bookmarkEnd w:id="52"/>
    <w:bookmarkStart w:id="53" w:name="Xba7e2246f94538f6ef1cf41b5e81c95b0fa6d16"/>
    <w:p>
      <w:pPr>
        <w:pStyle w:val="Heading3"/>
      </w:pPr>
      <w:r>
        <w:t xml:space="preserve">Counter-position 2: frameworks introduce governance burden and ritual compliance</w:t>
      </w:r>
    </w:p>
    <w:p>
      <w:pPr>
        <w:pStyle w:val="FirstParagraph"/>
      </w:pPr>
      <w:r>
        <w:rPr>
          <w:bCs/>
          <w:b/>
        </w:rPr>
        <w:t xml:space="preserve">Steelman.</w:t>
      </w:r>
      <w:r>
        <w:t xml:space="preserve"> </w:t>
      </w:r>
      <w:r>
        <w:t xml:space="preserve">Documentation requirements impose real costs in clinician time, committee bandwidth, and procurement-cycle delay; these aggregate across the AI portfolio and trade off against deployment speed and against alternative governance investments such as post-deployment monitoring or real-world performance audit [25]. The strongest version of the objection is that proportionality is precisely what the field is failing at: existing frameworks are already complex and burdensome, and adding a new layer — even tiered — increases governance friction without clear evidence that the added layer reduces harm. AI governance has been characterised as</w:t>
      </w:r>
      <w:r>
        <w:t xml:space="preserve"> </w:t>
      </w:r>
      <w:r>
        <w:t xml:space="preserve">“</w:t>
      </w:r>
      <w:r>
        <w:t xml:space="preserve">framework-rich and outcome-poor.</w:t>
      </w:r>
      <w:r>
        <w:t xml:space="preserve">”</w:t>
      </w:r>
      <w:r>
        <w:t xml:space="preserve"> </w:t>
      </w:r>
      <w:r>
        <w:rPr>
          <w:iCs/>
          <w:i/>
        </w:rPr>
        <w:t xml:space="preserve">The threat:</w:t>
      </w:r>
      <w:r>
        <w:t xml:space="preserve"> </w:t>
      </w:r>
      <w:r>
        <w:t xml:space="preserve">the manuscript’s tiered structure is the response to the proportionality objection, but the response is unverified — the simulation can show that documentation hours scale predictably with κ and tier mix, but cannot show that the resulting burden is proportionate to benefit, because the benefit is not yet measured. If real-world implementation reveals burden-benefit imbalance, the TJS fails its own proportionality argument.</w:t>
      </w:r>
    </w:p>
    <w:p>
      <w:pPr>
        <w:pStyle w:val="BodyText"/>
      </w:pPr>
      <w:r>
        <w:rPr>
          <w:bCs/>
          <w:b/>
        </w:rPr>
        <w:t xml:space="preserve">TJS response.</w:t>
      </w:r>
      <w:r>
        <w:t xml:space="preserve"> </w:t>
      </w:r>
      <w:r>
        <w:t xml:space="preserve">First, the tiered structure is an explicit non-uniform-burden response. Approximately 90% of thresholds (Secondary, by the base-rate prior) carry the three-layer abbreviated form; only the 10% Primary Safety subset carries the full six-layer burden. The sensitivity analysis quantifies the over-escalation burden as a function of κ, making the documentation-cost trade-off explicit rather than asserted: at κ = 0.60 (the illustrative target), simulated over-escalation imposes approximately 8 additional documentation hours per 100 thresholds at π = 0.10. Second, the pilot’s primary endpoint is median completion time per record, with a prespecified untenability threshold (median &gt; 4 hours per Primary Safety record). This is a falsification condition for the proportionality argument. Third, the TJS is positioned as augmentation of existing frameworks, not addition. TJS records live inside DCB0129/0160 hazard logs; the marginal burden is the increment over current practice, not the full TJS record creation cost.</w:t>
      </w:r>
    </w:p>
    <w:p>
      <w:pPr>
        <w:pStyle w:val="BodyText"/>
      </w:pPr>
      <w:r>
        <w:rPr>
          <w:bCs/>
          <w:b/>
        </w:rPr>
        <w:t xml:space="preserve">Residual risk.</w:t>
      </w:r>
      <w:r>
        <w:t xml:space="preserve"> </w:t>
      </w:r>
      <w:r>
        <w:t xml:space="preserve">The proportionality argument is unverified; the simulation cannot establish proportionality, only the pilot can. A second residual: the TJS does not address the upstream question of whether numeric thresholds should govern clinical AI deployment at all. If the better governance architecture is post-deployment monitoring rather than pre-deployment threshold justification, the TJS is solving the wrong problem.</w:t>
      </w:r>
    </w:p>
    <w:bookmarkEnd w:id="53"/>
    <w:bookmarkStart w:id="54" w:name="X2f13f54ac55760918f8e4518e83c36ba498d9fb"/>
    <w:p>
      <w:pPr>
        <w:pStyle w:val="Heading3"/>
      </w:pPr>
      <w:r>
        <w:t xml:space="preserve">Counter-position 3: threshold decisions are too context-dependent for structured classification</w:t>
      </w:r>
    </w:p>
    <w:p>
      <w:pPr>
        <w:pStyle w:val="FirstParagraph"/>
      </w:pPr>
      <w:r>
        <w:rPr>
          <w:bCs/>
          <w:b/>
        </w:rPr>
        <w:t xml:space="preserve">Steelman.</w:t>
      </w:r>
      <w:r>
        <w:t xml:space="preserve"> </w:t>
      </w:r>
      <w:r>
        <w:t xml:space="preserve">The strongest version of this objection comes from sociotechnical-systems theory and from clinical-judgement epistemology. Selbst et al. [11] argue that fairness — and by extension any governance criterion — cannot be abstracted from sociotechnical context without losing the property the abstraction was supposed to capture. Applied to the TJS: the Negative Harm Test asks whether failure of a threshold</w:t>
      </w:r>
      <w:r>
        <w:t xml:space="preserve"> </w:t>
      </w:r>
      <w:r>
        <w:t xml:space="preserve">“</w:t>
      </w:r>
      <w:r>
        <w:t xml:space="preserve">can lead to clinical intervention or omission,</w:t>
      </w:r>
      <w:r>
        <w:t xml:space="preserve">”</w:t>
      </w:r>
      <w:r>
        <w:t xml:space="preserve"> </w:t>
      </w:r>
      <w:r>
        <w:t xml:space="preserve">but this question has no context-free answer. A threshold whose failure is operational in one deployment may be safety-critical in another; the same alert-volume ceiling that is Secondary in a high-staffing inpatient ward may be Primary in a low-staffing rural setting where alert fatigue propagates faster to missed deterioration. Tier classification, on this view, is not a property of the threshold but a property of the threshold-in-context.</w:t>
      </w:r>
      <w:r>
        <w:t xml:space="preserve"> </w:t>
      </w:r>
      <w:r>
        <w:rPr>
          <w:iCs/>
          <w:i/>
        </w:rPr>
        <w:t xml:space="preserve">The threat:</w:t>
      </w:r>
      <w:r>
        <w:t xml:space="preserve"> </w:t>
      </w:r>
      <w:r>
        <w:t xml:space="preserve">if tier classification is genuinely context-dependent in this strong sense, κ on the Negative Harm Test is not a measurable property of the rule but a property of the rule-applied-to-this-context. Inter-rater agreement is then a function of whether raters share contextual frame, and the pilot’s κ measure becomes an institutional artefact rather than a measure of the rule’s reliability.</w:t>
      </w:r>
    </w:p>
    <w:p>
      <w:pPr>
        <w:pStyle w:val="BodyText"/>
      </w:pPr>
      <w:r>
        <w:rPr>
          <w:bCs/>
          <w:b/>
        </w:rPr>
        <w:t xml:space="preserve">TJS response.</w:t>
      </w:r>
      <w:r>
        <w:t xml:space="preserve"> </w:t>
      </w:r>
      <w:r>
        <w:t xml:space="preserve">First, the Negative Harm Test is explicitly context-dependent in its specification:</w:t>
      </w:r>
      <w:r>
        <w:t xml:space="preserve"> </w:t>
      </w:r>
      <w:r>
        <w:t xml:space="preserve">“</w:t>
      </w:r>
      <w:r>
        <w:t xml:space="preserve">context-dependent</w:t>
      </w:r>
      <w:r>
        <w:t xml:space="preserve">”</w:t>
      </w:r>
      <w:r>
        <w:t xml:space="preserve"> </w:t>
      </w:r>
      <w:r>
        <w:t xml:space="preserve">is one of the answers that places a threshold in Primary Safety by default. The rule is not</w:t>
      </w:r>
      <w:r>
        <w:t xml:space="preserve"> </w:t>
      </w:r>
      <w:r>
        <w:t xml:space="preserve">“</w:t>
      </w:r>
      <w:r>
        <w:t xml:space="preserve">classify this threshold context-free</w:t>
      </w:r>
      <w:r>
        <w:t xml:space="preserve">”</w:t>
      </w:r>
      <w:r>
        <w:t xml:space="preserve">; it is</w:t>
      </w:r>
      <w:r>
        <w:t xml:space="preserve"> </w:t>
      </w:r>
      <w:r>
        <w:t xml:space="preserve">“</w:t>
      </w:r>
      <w:r>
        <w:t xml:space="preserve">if context-dependent, default to Primary.</w:t>
      </w:r>
      <w:r>
        <w:t xml:space="preserve">”</w:t>
      </w:r>
      <w:r>
        <w:t xml:space="preserve"> </w:t>
      </w:r>
      <w:r>
        <w:t xml:space="preserve">Second, the reclassification pathway in Supplementary Appendix J (alert-volume ceiling reclassifies as Primary if institutional evidence shows alert-fatigue propagates to missed deterioration) is the explicit context-sensitivity mechanism: tier classification is contingent on the empirical evidence available at classification time and is revised when context-specific evidence emerges. Third, the L1 Context key is the structural device for surfacing the contextual conditions on which the harm-control link depends.</w:t>
      </w:r>
    </w:p>
    <w:p>
      <w:pPr>
        <w:pStyle w:val="BodyText"/>
      </w:pPr>
      <w:r>
        <w:rPr>
          <w:bCs/>
          <w:b/>
        </w:rPr>
        <w:t xml:space="preserve">Residual risk.</w:t>
      </w:r>
      <w:r>
        <w:t xml:space="preserve"> </w:t>
      </w:r>
      <w:r>
        <w:t xml:space="preserve">There will be thresholds whose tier-classification depends so strongly on context that two competent raters in different institutional settings produce reliably different classifications even with identical Negative Harm Test wording. The simulation’s κ regime is not the same quantity in two such settings; aggregating across them produces a κ that does not characterise the rule. The pilot protocol’s stratification by institution (Supplementary Appendix C addendum) is the proposed empirical response: report κ per-institution and let cross-institutional variance be a measurable quantity rather than a hidden assumption. This response is partial.</w:t>
      </w:r>
    </w:p>
    <w:bookmarkEnd w:id="54"/>
    <w:bookmarkEnd w:id="55"/>
    <w:bookmarkStart w:id="56" w:name="tier-classification-reliability"/>
    <w:p>
      <w:pPr>
        <w:pStyle w:val="Heading2"/>
      </w:pPr>
      <w:r>
        <w:t xml:space="preserve">Tier classification reliability</w:t>
      </w:r>
    </w:p>
    <w:p>
      <w:pPr>
        <w:pStyle w:val="FirstParagraph"/>
      </w:pPr>
      <w:r>
        <w:t xml:space="preserve">The TJS depends on consistent classification of thresholds as Primary Safety or Secondary Operational. The Negative Harm Test (Methods) provides the operational rule, with default-to-Primary on uncertainty. The reliability of this rule across different assessors is an empirical question that this conceptual paper does not resolve. The supplementary pilot protocol prespecifies an inter-rater reliability exercise: two or more independent raters classify a sample of 10–15 thresholds currently in use within a single institution, applying only the tier definitions, the Negative Harm Test, and the worked examples provided in this paper.</w:t>
      </w:r>
    </w:p>
    <w:bookmarkEnd w:id="56"/>
    <w:bookmarkStart w:id="57" w:name="Xd074e7deaf19464d292c3340a57bcad3a9e53b1"/>
    <w:p>
      <w:pPr>
        <w:pStyle w:val="Heading2"/>
      </w:pPr>
      <w:r>
        <w:t xml:space="preserve">Threshold coupling: the least mature layer</w:t>
      </w:r>
    </w:p>
    <w:p>
      <w:pPr>
        <w:pStyle w:val="FirstParagraph"/>
      </w:pPr>
      <w:r>
        <w:t xml:space="preserve">Threshold coupling (Layer 4) remains the structural concern most inadequately addressed by current governance standards. The TJS requires sensitivity analysis at the Primary Safety tier; the Coupling Checklist provided in Supplementary Appendix F operationalises Layer 4 through four prompts (mathematical dependency, shared training/validation data, mechanical failure-propagation, joint sensitivity testing). The checklist is itself preliminary and pilot-testable; further methodological development of multi-metric coupling assessment is identified as a priority area beyond the scope of the present paper.</w:t>
      </w:r>
    </w:p>
    <w:bookmarkEnd w:id="57"/>
    <w:bookmarkStart w:id="58" w:name="regulatory-alignment-scope-and-limits"/>
    <w:p>
      <w:pPr>
        <w:pStyle w:val="Heading2"/>
      </w:pPr>
      <w:r>
        <w:t xml:space="preserve">Regulatory alignment: scope and limits</w:t>
      </w:r>
    </w:p>
    <w:p>
      <w:pPr>
        <w:pStyle w:val="FirstParagraph"/>
      </w:pPr>
      <w:r>
        <w:t xml:space="preserve">The TJS layers map at clause level to requirements expressed in the EU AI Act (Articles 9 and 17), FDA PCCP guidance (§IV), WHO AI ethics guidance, and ISO/IEC 42001. These mappings are interpretive author assessments; no claim is made that TJS-compliant documentation uniquely satisfies any regulatory instrument’s intent or that compliance with TJS substitutes for direct regulatory compliance assessment. The paper’s claim is that TJS-compliant documentation would simultaneously address the documentation needs implied by these instruments and provide a traceable audit trail at threshold level that is absent from current practice.</w:t>
      </w:r>
    </w:p>
    <w:bookmarkEnd w:id="58"/>
    <w:bookmarkStart w:id="59" w:name="Xdac19769ef1922afa49e51864ec4a39a8dea547"/>
    <w:p>
      <w:pPr>
        <w:pStyle w:val="Heading2"/>
      </w:pPr>
      <w:r>
        <w:t xml:space="preserve">Proposed pilot design with prespecified feasibility endpoints</w:t>
      </w:r>
    </w:p>
    <w:p>
      <w:pPr>
        <w:pStyle w:val="FirstParagraph"/>
      </w:pPr>
      <w:r>
        <w:t xml:space="preserve">The supplementary pilot protocol formalises an empirical feasibility assessment within an existing hospital AI oversight committee. Primary endpoint: median completion time per TJS record, measured separately for Primary Safety and Secondary Operational records. Secondary endpoints: inter-rater agreement (Cohen’s κ; ≥ 0.60 used as illustrative benchmark, not as pass/fail criterion) for tier classification across 10–15 thresholds; committee acceptability via 5-point Likert rating; comparison of TJS-record completeness against pre-existing documentation for the same thresholds. The pilot is low-cost, requires no change to clinical care pathways, and is embeddable within existing AI oversight committee workflows.</w:t>
      </w:r>
    </w:p>
    <w:bookmarkEnd w:id="59"/>
    <w:bookmarkEnd w:id="60"/>
    <w:bookmarkStart w:id="67" w:name="limitations"/>
    <w:p>
      <w:pPr>
        <w:pStyle w:val="Heading1"/>
      </w:pPr>
      <w:r>
        <w:t xml:space="preserve">Limitations</w:t>
      </w:r>
    </w:p>
    <w:bookmarkStart w:id="61" w:name="production-model"/>
    <w:p>
      <w:pPr>
        <w:pStyle w:val="Heading2"/>
      </w:pPr>
      <w:r>
        <w:t xml:space="preserve">Production model</w:t>
      </w:r>
    </w:p>
    <w:p>
      <w:pPr>
        <w:pStyle w:val="FirstParagraph"/>
      </w:pPr>
      <w:r>
        <w:t xml:space="preserve">This work is the product of a single author working in a single institutional context; no inter-rater reliability data have been collected, no executed pilot has been conducted, and no independent co-investigator has reviewed the framework. The single-author production model is a recognised limitation of the framework-specification stage; the competing-interests declaration (below) commits the author to (i) co-investigator collaboration unaffiliated with Ethical Alpha Audit at the pilot stage, with co-authorship of the pilot-results paper; (ii) freely-usable documentation architecture with no proprietary claim; and (iii) no current commercial relationship with potential evaluation subjects. Independent validation begins at the pilot stage; the proposed pilot protocol (Supplementary Appendix C addendum) prespecifies the empirical procedures by which the production-model limits are addressed.</w:t>
      </w:r>
    </w:p>
    <w:bookmarkEnd w:id="61"/>
    <w:bookmarkStart w:id="62" w:name="evidential-scope"/>
    <w:p>
      <w:pPr>
        <w:pStyle w:val="Heading2"/>
      </w:pPr>
      <w:r>
        <w:t xml:space="preserve">Evidential scope</w:t>
      </w:r>
    </w:p>
    <w:p>
      <w:pPr>
        <w:pStyle w:val="FirstParagraph"/>
      </w:pPr>
      <w:r>
        <w:t xml:space="preserve">The present study contains no primary data. The six-mechanism set is the candidate set against which the pilot inter-rater reliability exercise is designed to test convergence. The Theory of Change is hypothesised, not demonstrated; the Failure Modes safeguards are concrete in form but have not been tested in deployment. The paper does not include real-world observational evaluation or prospective controlled evaluation; these are necessary further steps before deployment recommendations can be made.</w:t>
      </w:r>
    </w:p>
    <w:bookmarkEnd w:id="62"/>
    <w:bookmarkStart w:id="63" w:name="simulation-specific-limits"/>
    <w:p>
      <w:pPr>
        <w:pStyle w:val="Heading2"/>
      </w:pPr>
      <w:r>
        <w:t xml:space="preserve">Simulation-specific limits</w:t>
      </w:r>
    </w:p>
    <w:p>
      <w:pPr>
        <w:pStyle w:val="FirstParagraph"/>
      </w:pPr>
      <w:r>
        <w:t xml:space="preserve">The κ-sensitivity simulation is conditional on stated modelling assumptions: a probabilistic rater-error model parameterised to target κ; a binary-plus-Uncertain output alphabet; a default-to-Primary adjudication rule; a base-rate prior of π_Primary = 0.10 for the primary scenario (with sensitivity reported across π ∈ {0.05, 0.10, 0.20, 0.50}); a constant Uncertain rate of 2% across scenarios; and a symmetric per-rater error model. Real institutional behaviour may deviate from any of these assumptions. The κ tolerance regime derived from the simulation is normative-from-analysis: it specifies how the tier-classification rule would behave under the assumptions, not how it does behave in practice. The pilot protocol (Supplementary Appendix C addendum) is the empirical test against which the simulation’s normative regime will be evaluated. Full modelling-assumption disclosure and reproducibility code are archived in the artefact referenced in Supplementary Appendix A.</w:t>
      </w:r>
      <w:r>
        <w:t xml:space="preserve"> </w:t>
      </w:r>
      <w:r>
        <w:rPr>
          <w:bCs/>
          <w:b/>
        </w:rPr>
        <w:t xml:space="preserve">The simulation does not substitute for human inter-rater validation.</w:t>
      </w:r>
    </w:p>
    <w:bookmarkEnd w:id="63"/>
    <w:bookmarkStart w:id="64" w:name="generality-bounding"/>
    <w:p>
      <w:pPr>
        <w:pStyle w:val="Heading2"/>
      </w:pPr>
      <w:r>
        <w:t xml:space="preserve">Generality bounding</w:t>
      </w:r>
    </w:p>
    <w:p>
      <w:pPr>
        <w:pStyle w:val="FirstParagraph"/>
      </w:pPr>
      <w:r>
        <w:t xml:space="preserve">The TJS addresses threshold documentation within clinical AI governance. It does not apply outside numeric-threshold governance (e.g., to qualitative governance criteria or to non-clinical AI), is not a substitute for clinical judgement on the threshold values themselves, and presupposes the existence of a committee deliberation infrastructure into which TJS records can be inserted. The TJS does not address deployment risks arising from sociotechnical integration failures, procurement governance, clinical trial substitution where required by regulation, workflow integration, clinician trust calibration, or real-time human factors; these require complementary assessment processes.</w:t>
      </w:r>
    </w:p>
    <w:bookmarkEnd w:id="64"/>
    <w:bookmarkStart w:id="65" w:name="specific-layer-limits"/>
    <w:p>
      <w:pPr>
        <w:pStyle w:val="Heading2"/>
      </w:pPr>
      <w:r>
        <w:t xml:space="preserve">Specific layer limits</w:t>
      </w:r>
    </w:p>
    <w:p>
      <w:pPr>
        <w:pStyle w:val="FirstParagraph"/>
      </w:pPr>
      <w:r>
        <w:t xml:space="preserve">L4 (sensitivity analysis / threshold coupling) is the least methodologically mature layer. The Coupling Checklist (Supplementary Appendix F) is a preliminary operationalisation; multi-metric coupling assessment is acknowledged as requiring further methodological work. L5 (gaming resistance) specifies three concrete exploitation pathways (Supplementary Appendix F), but additional pathways may be relevant in specific contexts.</w:t>
      </w:r>
    </w:p>
    <w:bookmarkEnd w:id="65"/>
    <w:bookmarkStart w:id="66" w:name="patient-level-consequence-pathway"/>
    <w:p>
      <w:pPr>
        <w:pStyle w:val="Heading2"/>
      </w:pPr>
      <w:r>
        <w:t xml:space="preserve">Patient-level consequence pathway</w:t>
      </w:r>
    </w:p>
    <w:p>
      <w:pPr>
        <w:pStyle w:val="FirstParagraph"/>
      </w:pPr>
      <w:r>
        <w:t xml:space="preserve">The governance thresholds documented under TJS have direct patient-level consequences: a threshold set too permissively exposes patients to the harms each threshold is designed to prevent (misdiagnosis, inequitable care, undetected drift); a threshold set too stringently denies patients access to the benefits of AI-assisted clinical decision support. The TJS addresses the first risk through documented calibration evidence and sensitivity analysis for Primary Safety Thresholds, and the second through its tiered structure, which avoids imposing disproportionate documentation burden on Secondary Operational Thresholds. Documentation reliability is a precondition, not a guarantee, of patient-level safety: documentation → committee deliberation → governance decision → deployment → patient outcome. Empirical validation of this chain is the pilot’s objective.</w:t>
      </w:r>
    </w:p>
    <w:bookmarkEnd w:id="66"/>
    <w:bookmarkEnd w:id="67"/>
    <w:bookmarkStart w:id="68" w:name="conclusions"/>
    <w:p>
      <w:pPr>
        <w:pStyle w:val="Heading1"/>
      </w:pPr>
      <w:r>
        <w:t xml:space="preserve">Conclusions</w:t>
      </w:r>
    </w:p>
    <w:p>
      <w:pPr>
        <w:pStyle w:val="FirstParagraph"/>
      </w:pPr>
      <w:r>
        <w:t xml:space="preserve">I develop a tiered documentation method — the Threshold Justification Stack (TJS) — for justifying numeric thresholds in clinical AI governance, with full six-layer documentation required for Primary Safety thresholds and an abbreviated three-layer form for Secondary Operational thresholds. The TJS is positioned as a structured augmentation of existing clinical risk-management processes under DCB0129/0160, designed for integration into existing governance infrastructure rather than replacement of it. Tier classification is governed by an explicit Negative Harm Test with default-to-Primary on uncertainty. The method is hypothesised — not demonstrated — to reduce the structural failure mechanisms it documents; the computational sensitivity analysis specifies the analytical reliability conditions under which the tier-classification rule operates under stated modelling assumptions, and supports a normative κ tolerance regime; the supplementary pilot protocol with prespecified feasibility endpoints and falsification conditions remains the necessary empirical step before claims of scalable applicability can be made. The simulation does not substitute for human inter-rater validation. This paper specifies a decision-structure for threshold justification, not a set of numeric threshold values; those remain institutional responsibilities and empirical questions.</w:t>
      </w:r>
    </w:p>
    <w:bookmarkEnd w:id="68"/>
    <w:bookmarkStart w:id="75" w:name="declarations"/>
    <w:p>
      <w:pPr>
        <w:pStyle w:val="Heading1"/>
      </w:pPr>
      <w:r>
        <w:t xml:space="preserve">Declarations</w:t>
      </w:r>
    </w:p>
    <w:bookmarkStart w:id="69" w:name="funding"/>
    <w:p>
      <w:pPr>
        <w:pStyle w:val="Heading2"/>
      </w:pPr>
      <w:r>
        <w:t xml:space="preserve">Funding</w:t>
      </w:r>
    </w:p>
    <w:p>
      <w:pPr>
        <w:pStyle w:val="FirstParagraph"/>
      </w:pPr>
      <w:r>
        <w:t xml:space="preserve">No external funding was received for this work.</w:t>
      </w:r>
    </w:p>
    <w:bookmarkEnd w:id="69"/>
    <w:bookmarkStart w:id="70" w:name="competing-interests"/>
    <w:p>
      <w:pPr>
        <w:pStyle w:val="Heading2"/>
      </w:pPr>
      <w:r>
        <w:t xml:space="preserve">Competing interests</w:t>
      </w:r>
    </w:p>
    <w:p>
      <w:pPr>
        <w:pStyle w:val="FirstParagraph"/>
      </w:pPr>
      <w:r>
        <w:t xml:space="preserve">WB is the founder of Ethical Alpha Audit, which develops AI governance methodology. WB is also employed as an analyst at NHS England; all views expressed are the author’s own and do not represent NHS England.</w:t>
      </w:r>
    </w:p>
    <w:p>
      <w:pPr>
        <w:pStyle w:val="BodyText"/>
      </w:pPr>
      <w:r>
        <w:t xml:space="preserve">The author commits to the following structural mitigations for the proposed pilot phase: (i) the pilot will be conducted in collaboration with at least one co-investigator unaffiliated with Ethical Alpha Audit, with co-authorship of the pilot-results paper reflecting institutional independence; (ii) the TJS specification offered in this paper is documentation architecture and is freely usable; no claim of commercial product or proprietary methodology is made; (iii) the author has no current commercial relationship with NHS England, with NHS trusts, or with any AI vendor whose product would be subject to TJS evaluation.</w:t>
      </w:r>
    </w:p>
    <w:bookmarkEnd w:id="70"/>
    <w:bookmarkStart w:id="71" w:name="ai-use-disclosure"/>
    <w:p>
      <w:pPr>
        <w:pStyle w:val="Heading2"/>
      </w:pPr>
      <w:r>
        <w:t xml:space="preserve">AI use disclosure</w:t>
      </w:r>
    </w:p>
    <w:p>
      <w:pPr>
        <w:pStyle w:val="FirstParagraph"/>
      </w:pPr>
      <w:r>
        <w:t xml:space="preserve">Generative AI tools (Claude, Anthropic) were used for copy-editing, restructuring, and formatting. No AI system generated the conceptual framework, threshold taxonomy, regulatory alignment mapping, worked examples, tier classification criteria, or interpretive claims. All analytical content was produced by the author.</w:t>
      </w:r>
    </w:p>
    <w:bookmarkEnd w:id="71"/>
    <w:bookmarkStart w:id="72" w:name="ethics-statement"/>
    <w:p>
      <w:pPr>
        <w:pStyle w:val="Heading2"/>
      </w:pPr>
      <w:r>
        <w:t xml:space="preserve">Ethics statement</w:t>
      </w:r>
    </w:p>
    <w:p>
      <w:pPr>
        <w:pStyle w:val="FirstParagraph"/>
      </w:pPr>
      <w:r>
        <w:t xml:space="preserve">Ethical approval was not required. Patient and Public Involvement: This study did not involve patients or members of the public.</w:t>
      </w:r>
    </w:p>
    <w:bookmarkEnd w:id="72"/>
    <w:bookmarkStart w:id="73" w:name="data-availability"/>
    <w:p>
      <w:pPr>
        <w:pStyle w:val="Heading2"/>
      </w:pPr>
      <w:r>
        <w:t xml:space="preserve">Data availability</w:t>
      </w:r>
    </w:p>
    <w:p>
      <w:pPr>
        <w:pStyle w:val="FirstParagraph"/>
      </w:pPr>
      <w:r>
        <w:t xml:space="preserve">No primary data were generated. The analytical framework is fully described in the manuscript; worked examples are provided (one inline, one in Supplementary Appendix J). The pilot protocol is provided in the Supplementary Appendix C addendum.</w:t>
      </w:r>
    </w:p>
    <w:bookmarkEnd w:id="73"/>
    <w:bookmarkStart w:id="74" w:name="contributorship"/>
    <w:p>
      <w:pPr>
        <w:pStyle w:val="Heading2"/>
      </w:pPr>
      <w:r>
        <w:t xml:space="preserve">Contributorship</w:t>
      </w:r>
    </w:p>
    <w:p>
      <w:pPr>
        <w:pStyle w:val="FirstParagraph"/>
      </w:pPr>
      <w:r>
        <w:t xml:space="preserve">WCB is the sole author and was responsible for all aspects of this work.</w:t>
      </w:r>
    </w:p>
    <w:bookmarkEnd w:id="74"/>
    <w:bookmarkEnd w:id="75"/>
    <w:bookmarkStart w:id="76" w:name="supplementary-appendices"/>
    <w:p>
      <w:pPr>
        <w:pStyle w:val="Heading1"/>
      </w:pPr>
      <w:r>
        <w:t xml:space="preserve">Supplementary Appendices</w:t>
      </w:r>
    </w:p>
    <w:p>
      <w:pPr>
        <w:pStyle w:val="FirstParagraph"/>
      </w:pPr>
      <w:r>
        <w:rPr>
          <w:bCs/>
          <w:b/>
        </w:rPr>
        <w:t xml:space="preserve">Supplementary Appendix A.</w:t>
      </w:r>
      <w:r>
        <w:t xml:space="preserve"> </w:t>
      </w:r>
      <w:r>
        <w:t xml:space="preserve">Production-model status note and archival reference.</w:t>
      </w:r>
    </w:p>
    <w:p>
      <w:pPr>
        <w:pStyle w:val="BodyText"/>
      </w:pPr>
      <w:r>
        <w:rPr>
          <w:bCs/>
          <w:b/>
        </w:rPr>
        <w:t xml:space="preserve">Supplementary Appendix B.</w:t>
      </w:r>
      <w:r>
        <w:t xml:space="preserve"> </w:t>
      </w:r>
      <w:r>
        <w:t xml:space="preserve">PhysioNet threshold sensitivity analysis and Paper-3-specific perturbation result.</w:t>
      </w:r>
    </w:p>
    <w:p>
      <w:pPr>
        <w:pStyle w:val="BodyText"/>
      </w:pPr>
      <w:r>
        <w:rPr>
          <w:bCs/>
          <w:b/>
        </w:rPr>
        <w:t xml:space="preserve">Supplementary Appendix C.</w:t>
      </w:r>
      <w:r>
        <w:t xml:space="preserve"> </w:t>
      </w:r>
      <w:r>
        <w:t xml:space="preserve">Extended scope, generality boundary conditions, and pilot protocol addendum.</w:t>
      </w:r>
    </w:p>
    <w:p>
      <w:pPr>
        <w:pStyle w:val="BodyText"/>
      </w:pPr>
      <w:r>
        <w:rPr>
          <w:bCs/>
          <w:b/>
        </w:rPr>
        <w:t xml:space="preserve">Supplementary Appendix F.</w:t>
      </w:r>
      <w:r>
        <w:t xml:space="preserve"> </w:t>
      </w:r>
      <w:r>
        <w:t xml:space="preserve">Concrete gaming resistance pathways, assessment methodology, and Coupling Checklist for Layer 4.</w:t>
      </w:r>
    </w:p>
    <w:p>
      <w:pPr>
        <w:pStyle w:val="BodyText"/>
      </w:pPr>
      <w:r>
        <w:rPr>
          <w:bCs/>
          <w:b/>
        </w:rPr>
        <w:t xml:space="preserve">Supplementary Appendix G.</w:t>
      </w:r>
      <w:r>
        <w:t xml:space="preserve"> </w:t>
      </w:r>
      <w:r>
        <w:t xml:space="preserve">Mapping of TJS layers to existing NHS governance artefacts.</w:t>
      </w:r>
    </w:p>
    <w:p>
      <w:pPr>
        <w:pStyle w:val="BodyText"/>
      </w:pPr>
      <w:r>
        <w:rPr>
          <w:bCs/>
          <w:b/>
        </w:rPr>
        <w:t xml:space="preserve">Supplementary Appendix H.</w:t>
      </w:r>
      <w:r>
        <w:t xml:space="preserve"> </w:t>
      </w:r>
      <w:r>
        <w:t xml:space="preserve">Illustrative committee review vignette: AI-assisted chest X-ray interpretation algorithm.</w:t>
      </w:r>
    </w:p>
    <w:p>
      <w:pPr>
        <w:pStyle w:val="BodyText"/>
      </w:pPr>
      <w:r>
        <w:rPr>
          <w:bCs/>
          <w:b/>
        </w:rPr>
        <w:t xml:space="preserve">Supplementary Appendix J.</w:t>
      </w:r>
      <w:r>
        <w:t xml:space="preserve"> </w:t>
      </w:r>
      <w:r>
        <w:t xml:space="preserve">Abbreviated worked example: Three-layer TJS record for a Secondary Operational threshold under the Negative Harm Test.</w:t>
      </w:r>
    </w:p>
    <w:p>
      <w:pPr>
        <w:pStyle w:val="BodyText"/>
      </w:pPr>
      <w:r>
        <w:rPr>
          <w:bCs/>
          <w:b/>
        </w:rPr>
        <w:t xml:space="preserve">Supplementary Appendix K.</w:t>
      </w:r>
      <w:r>
        <w:t xml:space="preserve"> </w:t>
      </w:r>
      <w:r>
        <w:t xml:space="preserve">Computational sensitivity analysis: full κ × π results, Monte Carlo replicate summaries, rater-model verification, and reproducibility instructions.</w:t>
      </w:r>
    </w:p>
    <w:bookmarkEnd w:id="76"/>
    <w:bookmarkStart w:id="77" w:name="references"/>
    <w:p>
      <w:pPr>
        <w:pStyle w:val="Heading1"/>
      </w:pPr>
      <w:r>
        <w:t xml:space="preserve">References</w:t>
      </w:r>
    </w:p>
    <w:p>
      <w:pPr>
        <w:pStyle w:val="FirstParagraph"/>
      </w:pPr>
      <w:r>
        <w:t xml:space="preserve">1. Rajkomar A, Dean J, Kohane I. Machine learning in medicine. N Engl J Med. 2019;380:1347–58.</w:t>
      </w:r>
    </w:p>
    <w:p>
      <w:pPr>
        <w:pStyle w:val="BodyText"/>
      </w:pPr>
      <w:r>
        <w:t xml:space="preserve">2. Topol EJ. High-performance medicine: the convergence of human and artificial intelligence. Nat Med. 2019;25:44–56.</w:t>
      </w:r>
    </w:p>
    <w:p>
      <w:pPr>
        <w:pStyle w:val="BodyText"/>
      </w:pPr>
      <w:r>
        <w:t xml:space="preserve">3. Kelly CJ, Karthikesalingam A, Suleyman M, et al. Key challenges for delivering clinical impact with artificial intelligence. BMC Med. 2019;17:195.</w:t>
      </w:r>
    </w:p>
    <w:p>
      <w:pPr>
        <w:pStyle w:val="BodyText"/>
      </w:pPr>
      <w:r>
        <w:t xml:space="preserve">4. Obermeyer Z, Powers B, Vogeli C, Mullainathan S. Dissecting racial bias in an algorithm used to manage the health of populations. Science. 2019;366:447–53.</w:t>
      </w:r>
    </w:p>
    <w:p>
      <w:pPr>
        <w:pStyle w:val="BodyText"/>
      </w:pPr>
      <w:r>
        <w:t xml:space="preserve">5. Medicines and Healthcare products Regulatory Agency. Software and AI as a Medical Device Change Programme. London: MHRA; 2023.</w:t>
      </w:r>
    </w:p>
    <w:p>
      <w:pPr>
        <w:pStyle w:val="BodyText"/>
      </w:pPr>
      <w:r>
        <w:t xml:space="preserve">6. Raji ID, Smart A, White RN, et al. Closing the AI accountability gap. Proc FAT*. 2020:33–44.</w:t>
      </w:r>
    </w:p>
    <w:p>
      <w:pPr>
        <w:pStyle w:val="BodyText"/>
      </w:pPr>
      <w:r>
        <w:t xml:space="preserve">7. Leveson NG. Engineering a Safer World: Systems Thinking Applied to Safety. Cambridge, MA: MIT Press; 2011.</w:t>
      </w:r>
    </w:p>
    <w:p>
      <w:pPr>
        <w:pStyle w:val="BodyText"/>
      </w:pPr>
      <w:r>
        <w:t xml:space="preserve">8. U.S. Food and Drug Administration. Predetermined Change Control Plans for AI/ML-Based SaMD. Silver Spring: FDA; 2023.</w:t>
      </w:r>
    </w:p>
    <w:p>
      <w:pPr>
        <w:pStyle w:val="BodyText"/>
      </w:pPr>
      <w:r>
        <w:t xml:space="preserve">9. Metaxa D, Park JS, Robertson RE, et al. Auditing algorithms. Found Trends Hum Comput Interact. 2021;14:272–344.</w:t>
      </w:r>
    </w:p>
    <w:p>
      <w:pPr>
        <w:pStyle w:val="BodyText"/>
      </w:pPr>
      <w:r>
        <w:t xml:space="preserve">10. Mokander J, Floridi L. Ethics-based auditing of automated decision-making systems. Sci Eng Ethics. 2021;27:44.</w:t>
      </w:r>
    </w:p>
    <w:p>
      <w:pPr>
        <w:pStyle w:val="BodyText"/>
      </w:pPr>
      <w:r>
        <w:t xml:space="preserve">11. Selbst AD, boyd D, Friedler SA, et al. Fairness and abstraction in sociotechnical systems. Proc FAT*. 2019:59–68.</w:t>
      </w:r>
    </w:p>
    <w:p>
      <w:pPr>
        <w:pStyle w:val="BodyText"/>
      </w:pPr>
      <w:r>
        <w:t xml:space="preserve">12. World Health Organization. Ethics and Governance of Artificial Intelligence for Health. Geneva: WHO; 2021.</w:t>
      </w:r>
    </w:p>
    <w:p>
      <w:pPr>
        <w:pStyle w:val="BodyText"/>
      </w:pPr>
      <w:r>
        <w:t xml:space="preserve">13. Suresh H, Guttag J. A framework for understanding sources of harm throughout the machine learning life cycle. Proc EAAMO. 2021:1–19.</w:t>
      </w:r>
    </w:p>
    <w:p>
      <w:pPr>
        <w:pStyle w:val="BodyText"/>
      </w:pPr>
      <w:r>
        <w:t xml:space="preserve">14. Wiens J, Saria S, Sendak M, et al. Do no harm: a roadmap for responsible machine learning for health care. Nat Med. 2019;25:1337–40.</w:t>
      </w:r>
    </w:p>
    <w:p>
      <w:pPr>
        <w:pStyle w:val="BodyText"/>
      </w:pPr>
      <w:r>
        <w:t xml:space="preserve">15. Goodhart CAE. Problems of monetary management. In: Courakis AS, ed. Inflation, Depression, and Economic Policy in the West. London: Mansell; 1981.</w:t>
      </w:r>
    </w:p>
    <w:p>
      <w:pPr>
        <w:pStyle w:val="BodyText"/>
      </w:pPr>
      <w:r>
        <w:t xml:space="preserve">16. Thomas RL, Uminsky D. Reliance on metrics is a fundamental challenge for AI. Patterns. 2022;3:100476.</w:t>
      </w:r>
    </w:p>
    <w:p>
      <w:pPr>
        <w:pStyle w:val="BodyText"/>
      </w:pPr>
      <w:r>
        <w:t xml:space="preserve">17. Coiera E. The cognitive health system. Lancet. 2019;393:1493–94.</w:t>
      </w:r>
    </w:p>
    <w:p>
      <w:pPr>
        <w:pStyle w:val="BodyText"/>
      </w:pPr>
      <w:r>
        <w:t xml:space="preserve">18. Parasuraman R, Manzey DH. Complacency and bias in human use of automation: an attentional integration. Hum Factors. 2010;52:381–410.</w:t>
      </w:r>
    </w:p>
    <w:p>
      <w:pPr>
        <w:pStyle w:val="BodyText"/>
      </w:pPr>
      <w:r>
        <w:t xml:space="preserve">19. Vokinger KN, Feuerriegel S, Kesselheim AS. Mitigating bias in machine learning for medicine. Commun Med. 2021;1:25.</w:t>
      </w:r>
    </w:p>
    <w:p>
      <w:pPr>
        <w:pStyle w:val="BodyText"/>
      </w:pPr>
      <w:r>
        <w:t xml:space="preserve">20. Brown W. Non-compensatory governance gates for clinical artificial intelligence deployment: a decision-rule gap audit and conjunctive architecture. JMIR Med Inform. 2026. (Companion Viewpoint; under review at time of this submission.)</w:t>
      </w:r>
    </w:p>
    <w:p>
      <w:pPr>
        <w:pStyle w:val="BodyText"/>
      </w:pPr>
      <w:r>
        <w:t xml:space="preserve">21. Lekadir K, Frangi AF, Porras AR, et al. FUTURE-AI: international consensus guideline for trustworthy and deployable artificial intelligence in healthcare. BMJ. 2025;388:e081554.</w:t>
      </w:r>
    </w:p>
    <w:p>
      <w:pPr>
        <w:pStyle w:val="BodyText"/>
      </w:pPr>
      <w:r>
        <w:t xml:space="preserve">22. U.S. Food and Drug Administration. Artificial Intelligence-Enabled Device Software Functions: Lifecycle Management and Marketing Submission Recommendations. Draft Guidance. Silver Spring: FDA; January 2025.</w:t>
      </w:r>
    </w:p>
    <w:p>
      <w:pPr>
        <w:pStyle w:val="BodyText"/>
      </w:pPr>
      <w:r>
        <w:t xml:space="preserve">23. Van Calster B, McLernon DJ, van Smeden M, et al. Calibration: the Achilles heel of predictive analytics. BMC Med. 2019;17:230.</w:t>
      </w:r>
    </w:p>
    <w:p>
      <w:pPr>
        <w:pStyle w:val="BodyText"/>
      </w:pPr>
      <w:r>
        <w:t xml:space="preserve">24. Bosk CL, Dixon-Woods M, Goeschel CA, Pronovost PJ. Reality check for checklists. Lancet. 2009;374:444–5.</w:t>
      </w:r>
    </w:p>
    <w:p>
      <w:pPr>
        <w:pStyle w:val="BodyText"/>
      </w:pPr>
      <w:r>
        <w:t xml:space="preserve">25. Cabitza F, Rasoini R, Gensini GF. Unintended consequences of machine learning in medicine. JAMA. 2017;318:517–8.</w:t>
      </w:r>
    </w:p>
    <w:p>
      <w:pPr>
        <w:pStyle w:val="BodyText"/>
      </w:pPr>
      <w:r>
        <w:t xml:space="preserve">26. Landis JR, Koch GG. The measurement of observer agreement for categorical data. Biometrics. 1977;33:159–74.</w:t>
      </w:r>
    </w:p>
    <w:p>
      <w:pPr>
        <w:pStyle w:val="BodyText"/>
      </w:pPr>
      <w:r>
        <w:t xml:space="preserve">27. Brown W. TJS κ-sensitivity simulation: computational sensitivity analysis for the Threshold Justification Stack [software]. 2026. Available at: https://github.com/ethical-alpha-audit/tjs-sensitivity-simulation. Archived at Zenodo: DOI to be assigned at acceptance.</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Threshold Justification Stack for Clinical AI Governance: Method Specification and Computational Sensitivity Analysis</dc:title>
  <dc:creator/>
  <cp:keywords/>
  <dcterms:created xsi:type="dcterms:W3CDTF">2026-04-26T16:29:08Z</dcterms:created>
  <dcterms:modified xsi:type="dcterms:W3CDTF">2026-04-26T16:29:08Z</dcterms:modified>
</cp:coreProperties>
</file>

<file path=docProps/custom.xml><?xml version="1.0" encoding="utf-8"?>
<Properties xmlns="http://schemas.openxmlformats.org/officeDocument/2006/custom-properties" xmlns:vt="http://schemas.openxmlformats.org/officeDocument/2006/docPropsVTypes"/>
</file>