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Materials</w:t>
      </w:r>
      <w:r>
        <w:t xml:space="preserve"> </w:t>
      </w:r>
      <w:r>
        <w:t xml:space="preserve">—</w:t>
      </w:r>
      <w:r>
        <w:t xml:space="preserve"> </w:t>
      </w:r>
      <w:r>
        <w:t xml:space="preserve">Paper</w:t>
      </w:r>
      <w:r>
        <w:t xml:space="preserve"> </w:t>
      </w:r>
      <w:r>
        <w:t xml:space="preserve">3</w:t>
      </w:r>
    </w:p>
    <w:p>
      <w:pPr>
        <w:pStyle w:val="FirstParagraph"/>
      </w:pPr>
      <w:r>
        <w:rPr>
          <w:bCs/>
          <w:b/>
        </w:rPr>
        <w:t xml:space="preserve">Supplementary Materials</w:t>
      </w:r>
    </w:p>
    <w:p>
      <w:pPr>
        <w:pStyle w:val="BodyText"/>
      </w:pPr>
      <w:r>
        <w:rPr>
          <w:iCs/>
          <w:i/>
        </w:rPr>
        <w:t xml:space="preserve">Companion to Paper 3 — BMJ Health &amp; Care Informatics</w:t>
      </w:r>
    </w:p>
    <w:p>
      <w:pPr>
        <w:pStyle w:val="BodyText"/>
      </w:pPr>
      <w:r>
        <w:rPr>
          <w:iCs/>
          <w:i/>
        </w:rPr>
        <w:t xml:space="preserve">Beyond</w:t>
      </w:r>
      <w:r>
        <w:rPr>
          <w:iCs/>
          <w:i/>
        </w:rPr>
        <w:t xml:space="preserve"> </w:t>
      </w:r>
      <w:r>
        <w:rPr>
          <w:iCs/>
          <w:i/>
        </w:rPr>
        <w:t xml:space="preserve">“</w:t>
      </w:r>
      <w:r>
        <w:rPr>
          <w:iCs/>
          <w:i/>
        </w:rPr>
        <w:t xml:space="preserve">Magic Numbers</w:t>
      </w:r>
      <w:r>
        <w:rPr>
          <w:iCs/>
          <w:i/>
        </w:rPr>
        <w:t xml:space="preserve">”</w:t>
      </w:r>
      <w:r>
        <w:rPr>
          <w:iCs/>
          <w:i/>
        </w:rPr>
        <w:t xml:space="preserve">: A Threshold Justification Stack for Clinical AI Governance</w:t>
      </w:r>
    </w:p>
    <w:p>
      <w:pPr>
        <w:pStyle w:val="BodyText"/>
      </w:pPr>
      <w:r>
        <w:rPr>
          <w:iCs/>
          <w:i/>
        </w:rPr>
        <w:t xml:space="preserve">Walter Brown | Ethical Alpha Audit</w:t>
      </w:r>
    </w:p>
    <w:p>
      <w:pPr>
        <w:pStyle w:val="BodyText"/>
      </w:pPr>
      <w:r>
        <w:rPr>
          <w:iCs/>
          <w:i/>
        </w:rPr>
        <w:t xml:space="preserve">Note on appendix numbering. This supplement contains Supplementary Appendices A, B, C, F, G, H, J, and K, matching the appendices cited by letter in the main manuscript. Letters D, E, and I are reserved and not populated. All citations in the main manuscript (Appendices A, B, C, F, G, H, J, K) are resolved here.</w:t>
      </w:r>
    </w:p>
    <w:bookmarkStart w:id="20" w:name="X1e46d20cc702ca6541b5a67eecc35144583ed99"/>
    <w:p>
      <w:pPr>
        <w:pStyle w:val="Heading1"/>
      </w:pPr>
      <w:r>
        <w:t xml:space="preserve">Supplementary Appendix A: Production-Model Status Note and Archival Reference</w:t>
      </w:r>
    </w:p>
    <w:p>
      <w:pPr>
        <w:pStyle w:val="FirstParagraph"/>
      </w:pPr>
      <w:r>
        <w:t xml:space="preserve">This appendix records the production-model status of the analytical work reported in the main manuscript and the reproducibility artefact for the computational sensitivity analysis.</w:t>
      </w:r>
    </w:p>
    <w:p>
      <w:pPr>
        <w:pStyle w:val="BodyText"/>
      </w:pPr>
      <w:r>
        <w:rPr>
          <w:bCs/>
          <w:b/>
        </w:rPr>
        <w:t xml:space="preserve">Production model.</w:t>
      </w:r>
      <w:r>
        <w:t xml:space="preserve"> </w:t>
      </w:r>
      <w:r>
        <w:t xml:space="preserve">The conceptual synthesis, regulatory mapping, mechanism consolidation, tier-classification rule, and worked examples in the main manuscript were produced by a single author (WB). No inter-rater reliability data have been collected; no independent co-investigator has reviewed the framework; no executed feasibility pilot has been conducted. The Competing Interests declaration in the main manuscript states the structural mitigations the author has committed to for the proposed pilot phase, including conduct in collaboration with at least one co-investigator unaffiliated with Ethical Alpha Audit and co-authorship of any pilot-results paper reflecting institutional independence.</w:t>
      </w:r>
    </w:p>
    <w:p>
      <w:pPr>
        <w:pStyle w:val="BodyText"/>
      </w:pPr>
      <w:r>
        <w:rPr>
          <w:bCs/>
          <w:b/>
        </w:rPr>
        <w:t xml:space="preserve">Reproducibility artefact.</w:t>
      </w:r>
      <w:r>
        <w:t xml:space="preserve"> </w:t>
      </w:r>
      <w:r>
        <w:t xml:space="preserve">The computational sensitivity analysis described in the main manuscript Methods §</w:t>
      </w:r>
      <w:r>
        <w:t xml:space="preserve">“</w:t>
      </w:r>
      <w:r>
        <w:t xml:space="preserve">Computational sensitivity analysis: design</w:t>
      </w:r>
      <w:r>
        <w:t xml:space="preserve">”</w:t>
      </w:r>
      <w:r>
        <w:t xml:space="preserve"> </w:t>
      </w:r>
      <w:r>
        <w:t xml:space="preserve">and Results §</w:t>
      </w:r>
      <w:r>
        <w:t xml:space="preserve">“</w:t>
      </w:r>
      <w:r>
        <w:t xml:space="preserve">Sensitivity analysis: κ regimes for the Negative Harm Test</w:t>
      </w:r>
      <w:r>
        <w:t xml:space="preserve">”</w:t>
      </w:r>
      <w:r>
        <w:t xml:space="preserve"> </w:t>
      </w:r>
      <w:r>
        <w:t xml:space="preserve">is fully reproducible from the artefact at:</w:t>
      </w:r>
    </w:p>
    <w:p>
      <w:pPr>
        <w:numPr>
          <w:ilvl w:val="0"/>
          <w:numId w:val="1001"/>
        </w:numPr>
        <w:pStyle w:val="Compact"/>
      </w:pPr>
      <w:r>
        <w:t xml:space="preserve">GitHub repository: https://github.com/ethical-alpha-audit/tjs-sensitivity-simulation</w:t>
      </w:r>
    </w:p>
    <w:p>
      <w:pPr>
        <w:numPr>
          <w:ilvl w:val="0"/>
          <w:numId w:val="1001"/>
        </w:numPr>
        <w:pStyle w:val="Compact"/>
      </w:pPr>
      <w:r>
        <w:t xml:space="preserve">Zenodo archive: DOI to be assigned at acceptance.</w:t>
      </w:r>
    </w:p>
    <w:p>
      <w:pPr>
        <w:numPr>
          <w:ilvl w:val="0"/>
          <w:numId w:val="1001"/>
        </w:numPr>
        <w:pStyle w:val="Compact"/>
      </w:pPr>
      <w:r>
        <w:t xml:space="preserve">Archival commit hash: to be recorded in the final submitted version.</w:t>
      </w:r>
    </w:p>
    <w:p>
      <w:pPr>
        <w:pStyle w:val="FirstParagraph"/>
      </w:pPr>
      <w:r>
        <w:t xml:space="preserve">The artefact contains the simulation source code, deterministic seed (</w:t>
      </w:r>
      <w:r>
        <w:rPr>
          <w:rStyle w:val="VerbatimChar"/>
        </w:rPr>
        <w:t xml:space="preserve">inputs/seed.txt</w:t>
      </w:r>
      <w:r>
        <w:t xml:space="preserve">), input grids (</w:t>
      </w:r>
      <w:r>
        <w:rPr>
          <w:rStyle w:val="VerbatimChar"/>
        </w:rPr>
        <w:t xml:space="preserve">inputs/kappa_grid.json</w:t>
      </w:r>
      <w:r>
        <w:t xml:space="preserve">,</w:t>
      </w:r>
      <w:r>
        <w:t xml:space="preserve"> </w:t>
      </w:r>
      <w:r>
        <w:rPr>
          <w:rStyle w:val="VerbatimChar"/>
        </w:rPr>
        <w:t xml:space="preserve">inputs/base_rate_grid.json</w:t>
      </w:r>
      <w:r>
        <w:t xml:space="preserve">), output tables (</w:t>
      </w:r>
      <w:r>
        <w:rPr>
          <w:rStyle w:val="VerbatimChar"/>
        </w:rPr>
        <w:t xml:space="preserve">outputs/tables/</w:t>
      </w:r>
      <w:r>
        <w:t xml:space="preserve">), figures (</w:t>
      </w:r>
      <w:r>
        <w:rPr>
          <w:rStyle w:val="VerbatimChar"/>
        </w:rPr>
        <w:t xml:space="preserve">outputs/figures/</w:t>
      </w:r>
      <w:r>
        <w:t xml:space="preserve">), per-replicate Monte Carlo logs (</w:t>
      </w:r>
      <w:r>
        <w:rPr>
          <w:rStyle w:val="VerbatimChar"/>
        </w:rPr>
        <w:t xml:space="preserve">outputs/monte_carlo_logs/</w:t>
      </w:r>
      <w:r>
        <w:t xml:space="preserve">), unit tests (</w:t>
      </w:r>
      <w:r>
        <w:rPr>
          <w:rStyle w:val="VerbatimChar"/>
        </w:rPr>
        <w:t xml:space="preserve">tests/</w:t>
      </w:r>
      <w:r>
        <w:t xml:space="preserve">), and three documentation files:</w:t>
      </w:r>
      <w:r>
        <w:t xml:space="preserve"> </w:t>
      </w:r>
      <w:r>
        <w:rPr>
          <w:rStyle w:val="VerbatimChar"/>
        </w:rPr>
        <w:t xml:space="preserve">docs/simulation_design.md</w:t>
      </w:r>
      <w:r>
        <w:t xml:space="preserve"> </w:t>
      </w:r>
      <w:r>
        <w:t xml:space="preserve">(mirrors the Methods sub-section),</w:t>
      </w:r>
      <w:r>
        <w:t xml:space="preserve"> </w:t>
      </w:r>
      <w:r>
        <w:rPr>
          <w:rStyle w:val="VerbatimChar"/>
        </w:rPr>
        <w:t xml:space="preserve">docs/modelling_assumptions.md</w:t>
      </w:r>
      <w:r>
        <w:t xml:space="preserve"> </w:t>
      </w:r>
      <w:r>
        <w:t xml:space="preserve">(full assumption disclosure), and</w:t>
      </w:r>
      <w:r>
        <w:t xml:space="preserve"> </w:t>
      </w:r>
      <w:r>
        <w:rPr>
          <w:rStyle w:val="VerbatimChar"/>
        </w:rPr>
        <w:t xml:space="preserve">docs/non_validation_disclaimer.md</w:t>
      </w:r>
      <w:r>
        <w:t xml:space="preserve"> </w:t>
      </w:r>
      <w:r>
        <w:t xml:space="preserve">(verbatim non-validation statement). The artefact’s</w:t>
      </w:r>
      <w:r>
        <w:t xml:space="preserve"> </w:t>
      </w:r>
      <w:r>
        <w:rPr>
          <w:rStyle w:val="VerbatimChar"/>
        </w:rPr>
        <w:t xml:space="preserve">MANIFEST.sha256</w:t>
      </w:r>
      <w:r>
        <w:t xml:space="preserve"> </w:t>
      </w:r>
      <w:r>
        <w:t xml:space="preserve">provides byte-level verification for all 52 files. Reproduction from a clean environment requires Python ≥ 3.10 and the dependencies in</w:t>
      </w:r>
      <w:r>
        <w:t xml:space="preserve"> </w:t>
      </w:r>
      <w:r>
        <w:rPr>
          <w:rStyle w:val="VerbatimChar"/>
        </w:rPr>
        <w:t xml:space="preserve">requirements.txt</w:t>
      </w:r>
      <w:r>
        <w:t xml:space="preserve">; expected total runtime is under 15 seconds on commodity hardware. The artefact does not contain or substitute for human inter-rater validation; it is the analytical sensitivity component of the manuscript’s two-thread evidential structure (analytical sensitivity from this artefact; empirical pilot from the protocol in Supplementary Appendix C addendum).</w:t>
      </w:r>
    </w:p>
    <w:p>
      <w:pPr>
        <w:pStyle w:val="BodyText"/>
      </w:pPr>
      <w:r>
        <w:rPr>
          <w:bCs/>
          <w:b/>
        </w:rPr>
        <w:t xml:space="preserve">Archival reference for the analytical framework itself.</w:t>
      </w:r>
      <w:r>
        <w:t xml:space="preserve"> </w:t>
      </w:r>
      <w:r>
        <w:t xml:space="preserve">No primary data were generated for the analytical framework (six-mechanism consolidation, tier-classification rule, worked examples). A versioned archival package containing the worked examples, the pilot protocol, the analytical specifications, and a copy of this supplement will be deposited at the time of acceptance and the persistent identifier will be added to this appendix at that point.</w:t>
      </w:r>
    </w:p>
    <w:bookmarkEnd w:id="20"/>
    <w:bookmarkStart w:id="23" w:name="Xeac94504426266edf7c05d34abb3ed39a0ad155"/>
    <w:p>
      <w:pPr>
        <w:pStyle w:val="Heading1"/>
      </w:pPr>
      <w:r>
        <w:t xml:space="preserve">Supplementary Appendix B: PhysioNet Threshold Sensitivity and Paper-3-Specific Perturbation Result</w:t>
      </w:r>
    </w:p>
    <w:p>
      <w:pPr>
        <w:pStyle w:val="FirstParagraph"/>
      </w:pPr>
      <w:r>
        <w:t xml:space="preserve">The full abbreviated three-layer worked example for a Secondary Operational threshold is given in Supplementary Appendix J.</w:t>
      </w:r>
    </w:p>
    <w:bookmarkStart w:id="21" w:name="physionet-threshold-sensitivity"/>
    <w:p>
      <w:pPr>
        <w:pStyle w:val="Heading2"/>
      </w:pPr>
      <w:r>
        <w:t xml:space="preserve">PhysioNet threshold sensitivity</w:t>
      </w:r>
    </w:p>
    <w:p>
      <w:pPr>
        <w:pStyle w:val="FirstParagraph"/>
      </w:pPr>
      <w:r>
        <w:t xml:space="preserve">Exploratory threshold sensitivity analysis using PhysioNet-derived governance vectors provides empirical motivation for the tiered TJS requirement that Primary Safety Thresholds receive all six documentation layers. Sensitivity of governance outcomes to small threshold changes at the safety gate indicates that the threshold’s numeric value requires explicit calibration evidence (TJS Layer 3) and documented cliff-edge analysis (TJS Layer 4). The full PhysioNet sensitivity vectors are described in the archival package referenced in Supplementary Appendix A.</w:t>
      </w:r>
    </w:p>
    <w:bookmarkEnd w:id="21"/>
    <w:bookmarkStart w:id="22" w:name="paper-3-specific-perturbation-result"/>
    <w:p>
      <w:pPr>
        <w:pStyle w:val="Heading2"/>
      </w:pPr>
      <w:r>
        <w:t xml:space="preserve">Paper-3-specific perturbation result</w:t>
      </w:r>
    </w:p>
    <w:p>
      <w:pPr>
        <w:pStyle w:val="FirstParagraph"/>
      </w:pPr>
      <w:r>
        <w:t xml:space="preserve">A perturbation-stability analysis specific to the present paper was conducted on a 12-case × 4-threshold-profile evaluation matrix. Perturbations of ±0.05 were applied to three features (calibration, bias, traceability). Of the 48 perturbed configurations, 46 (95.8%) produced verdict-stable outcomes; the moderate-profile configuration was fully invariant across all perturbations. This result is internal to the present paper’s analytical scope and addresses a different question (single-paper feature-level perturbation at small magnitude) from any portfolio-canonical perturbation analysis reported elsewhere.</w:t>
      </w:r>
    </w:p>
    <w:p>
      <w:pPr>
        <w:pStyle w:val="BodyText"/>
      </w:pPr>
      <w:r>
        <w:t xml:space="preserve">The Paper-3 perturbation result is reported here in the supplement — rather than in the main manuscript — because it provides only contextual robustness information for the documentation architecture argument; the main argument does not depend on it.</w:t>
      </w:r>
    </w:p>
    <w:bookmarkEnd w:id="22"/>
    <w:bookmarkEnd w:id="23"/>
    <w:bookmarkStart w:id="27" w:name="Xaaadf2d6641fbeac367524691f3a0365acee4f7"/>
    <w:p>
      <w:pPr>
        <w:pStyle w:val="Heading1"/>
      </w:pPr>
      <w:r>
        <w:t xml:space="preserve">Supplementary Appendix C: Extended Scope, Generality Boundary Conditions, and Pilot Protocol Addendum</w:t>
      </w:r>
    </w:p>
    <w:bookmarkStart w:id="24" w:name="extended-scope-and-contextual-notes"/>
    <w:p>
      <w:pPr>
        <w:pStyle w:val="Heading2"/>
      </w:pPr>
      <w:r>
        <w:t xml:space="preserve">Extended scope and contextual notes</w:t>
      </w:r>
    </w:p>
    <w:p>
      <w:pPr>
        <w:pStyle w:val="FirstParagraph"/>
      </w:pPr>
      <w:r>
        <w:t xml:space="preserve">Retrospective evaluation of governance frameworks relies on documented failure cases and may not capture unknown failure modes. Simulation-informed estimates depend on modelled assumptions. Operational feasibility estimates not derived from prospective deployment should be interpreted within those constraints. Estimated execution times for TJS record production (45–90 minutes for a Primary Safety record; 10–25 minutes for a Secondary Operational record) are consistent with existing governance activities such as multidisciplinary review processes and are derived from structured task decomposition; they should be interpreted as indicative pending the proposed pilot.</w:t>
      </w:r>
    </w:p>
    <w:p>
      <w:pPr>
        <w:pStyle w:val="BodyText"/>
      </w:pPr>
      <w:r>
        <w:t xml:space="preserve">Simulation-informed estimates indicate that Primary Safety Thresholds constitute a minority of total thresholds in clinical AI deployments (typically less than 10%), with most decisions operating under the reduced three-layer Secondary Operational documentation requirement. The framework is consistent with and operationalises the documentation intent of the EU AI Act (Articles 9 and 17) and the FDA January 2025 draft guidance on AI-enabled device software functions; this consistency is interpretive and does not constitute a regulatory compliance assertion.</w:t>
      </w:r>
    </w:p>
    <w:bookmarkEnd w:id="24"/>
    <w:bookmarkStart w:id="25" w:name="generality-boundary-conditions"/>
    <w:p>
      <w:pPr>
        <w:pStyle w:val="Heading2"/>
      </w:pPr>
      <w:r>
        <w:t xml:space="preserve">Generality boundary conditions</w:t>
      </w:r>
    </w:p>
    <w:p>
      <w:pPr>
        <w:pStyle w:val="FirstParagraph"/>
      </w:pPr>
      <w:r>
        <w:t xml:space="preserve">The TJS as specified in the main manuscript applies within the following boundary conditions and not outside them.</w:t>
      </w:r>
    </w:p>
    <w:p>
      <w:pPr>
        <w:pStyle w:val="BodyText"/>
      </w:pPr>
      <w:r>
        <w:t xml:space="preserve">The TJS applies to</w:t>
      </w:r>
      <w:r>
        <w:t xml:space="preserve"> </w:t>
      </w:r>
      <w:r>
        <w:rPr>
          <w:bCs/>
          <w:b/>
        </w:rPr>
        <w:t xml:space="preserve">numeric-threshold governance for clinical AI</w:t>
      </w:r>
      <w:r>
        <w:t xml:space="preserve">. It does not apply to qualitative governance criteria, to non-numeric governance decisions (e.g., go/no-go decisions on procurement), or to non-clinical AI deployments (e.g., AI used in administrative workflows whose failure does not propagate to clinical action).</w:t>
      </w:r>
    </w:p>
    <w:p>
      <w:pPr>
        <w:pStyle w:val="BodyText"/>
      </w:pPr>
      <w:r>
        <w:t xml:space="preserve">The TJS presupposes the existence of</w:t>
      </w:r>
      <w:r>
        <w:t xml:space="preserve"> </w:t>
      </w:r>
      <w:r>
        <w:rPr>
          <w:bCs/>
          <w:b/>
        </w:rPr>
        <w:t xml:space="preserve">committee deliberation infrastructure</w:t>
      </w:r>
      <w:r>
        <w:t xml:space="preserve">. In settings without an AI oversight committee, hazard log review process, or equivalent, the TJS records have no review forum and the documentation produces no governance value. In such settings, the TJS specification is not applicable.</w:t>
      </w:r>
    </w:p>
    <w:p>
      <w:pPr>
        <w:pStyle w:val="BodyText"/>
      </w:pPr>
      <w:r>
        <w:t xml:space="preserve">The TJS is</w:t>
      </w:r>
      <w:r>
        <w:t xml:space="preserve"> </w:t>
      </w:r>
      <w:r>
        <w:rPr>
          <w:bCs/>
          <w:b/>
        </w:rPr>
        <w:t xml:space="preserve">not a substitute for clinical judgement</w:t>
      </w:r>
      <w:r>
        <w:t xml:space="preserve"> </w:t>
      </w:r>
      <w:r>
        <w:t xml:space="preserve">on the threshold values themselves. The TJS specifies the documentation architecture for justifying a numeric value; it does not specify what value any particular threshold should take. Numeric value selection remains a clinical-judgement and committee-deliberation matter.</w:t>
      </w:r>
    </w:p>
    <w:p>
      <w:pPr>
        <w:pStyle w:val="BodyText"/>
      </w:pPr>
      <w:r>
        <w:t xml:space="preserve">Under uniform or random failure distributions across thresholds, non-compensatory gating may not outperform compensatory weighted models; the TJS’s tiered structure is motivated by the empirical observation that clinical AI failures are typically concentrated rather than uniformly distributed across governance dimensions, but boundary conditions exist where the proportionality argument does not apply.</w:t>
      </w:r>
    </w:p>
    <w:bookmarkEnd w:id="25"/>
    <w:bookmarkStart w:id="26" w:name="pilot-protocol-addendum"/>
    <w:p>
      <w:pPr>
        <w:pStyle w:val="Heading2"/>
      </w:pPr>
      <w:r>
        <w:t xml:space="preserve">Pilot protocol addendum</w:t>
      </w:r>
    </w:p>
    <w:p>
      <w:pPr>
        <w:pStyle w:val="FirstParagraph"/>
      </w:pPr>
      <w:r>
        <w:t xml:space="preserve">This addendum specifies the pilot protocol referenced in the main manuscript Methods, Discussion, and Conclusions sections. The pilot is the prespecified empirical feasibility assessment that would precede any claim of scalable applicability.</w:t>
      </w:r>
    </w:p>
    <w:p>
      <w:pPr>
        <w:pStyle w:val="BodyText"/>
      </w:pPr>
      <w:r>
        <w:rPr>
          <w:bCs/>
          <w:b/>
        </w:rPr>
        <w:t xml:space="preserve">Setting.</w:t>
      </w:r>
      <w:r>
        <w:t xml:space="preserve"> </w:t>
      </w:r>
      <w:r>
        <w:t xml:space="preserve">Single hospital AI oversight committee or equivalent governance body, within an institution that has at least one clinical AI deployment in active operation.</w:t>
      </w:r>
    </w:p>
    <w:p>
      <w:pPr>
        <w:pStyle w:val="BodyText"/>
      </w:pPr>
      <w:r>
        <w:rPr>
          <w:bCs/>
          <w:b/>
        </w:rPr>
        <w:t xml:space="preserve">Sample size.</w:t>
      </w:r>
      <w:r>
        <w:t xml:space="preserve"> </w:t>
      </w:r>
      <w:r>
        <w:t xml:space="preserve">10–15 thresholds drawn from the institution’s current AI deployments, stratified to include at least 5 candidate Primary Safety and 5 candidate Secondary Operational thresholds by initial author classification. Pilot duration: 8 weeks or fewer.</w:t>
      </w:r>
    </w:p>
    <w:p>
      <w:pPr>
        <w:pStyle w:val="BodyText"/>
      </w:pPr>
      <w:r>
        <w:rPr>
          <w:bCs/>
          <w:b/>
        </w:rPr>
        <w:t xml:space="preserve">Rater eligibility.</w:t>
      </w:r>
      <w:r>
        <w:t xml:space="preserve"> </w:t>
      </w:r>
      <w:r>
        <w:t xml:space="preserve">Two or more independent raters per threshold. At least one rater must have clinical responsibility for the deployment context of each threshold. Raters must be independent of TJS development and of Ethical Alpha Audit. Raters need not be members of the same institution, but each rater must have relevant clinical or technical expertise for the threshold under classification.</w:t>
      </w:r>
    </w:p>
    <w:p>
      <w:pPr>
        <w:pStyle w:val="BodyText"/>
      </w:pPr>
      <w:r>
        <w:rPr>
          <w:bCs/>
          <w:b/>
        </w:rPr>
        <w:t xml:space="preserve">Threshold sampling frame.</w:t>
      </w:r>
      <w:r>
        <w:t xml:space="preserve"> </w:t>
      </w:r>
      <w:r>
        <w:t xml:space="preserve">Convenience sample from the institution’s current deployments. Inclusion criterion: the threshold is a numeric cutoff actively used in deployment decision-making or in operational monitoring. Exclusion criterion: the threshold is purely diagnostic-output (i.e., a model’s internal decision boundary not exposed to governance review).</w:t>
      </w:r>
    </w:p>
    <w:p>
      <w:pPr>
        <w:pStyle w:val="BodyText"/>
      </w:pPr>
      <w:r>
        <w:rPr>
          <w:bCs/>
          <w:b/>
        </w:rPr>
        <w:t xml:space="preserve">Primary endpoint.</w:t>
      </w:r>
      <w:r>
        <w:t xml:space="preserve"> </w:t>
      </w:r>
      <w:r>
        <w:t xml:space="preserve">Median completion time per TJS record, reported separately for Primary Safety and Secondary Operational tiers. Reported in minutes with interquartile range. The illustrative untenability threshold of median &gt; 4 hours per Primary Safety record is the prespecified falsification condition referenced in the main manuscript Theory of Change section.</w:t>
      </w:r>
    </w:p>
    <w:p>
      <w:pPr>
        <w:pStyle w:val="BodyText"/>
      </w:pPr>
      <w:r>
        <w:rPr>
          <w:bCs/>
          <w:b/>
        </w:rPr>
        <w:t xml:space="preserve">Secondary endpoints.</w:t>
      </w:r>
      <w:r>
        <w:t xml:space="preserve"> </w:t>
      </w:r>
      <w:r>
        <w:t xml:space="preserve">(i) Inter-rater agreement on tier classification, reported as Cohen’s κ for binary Primary Safety vs Secondary Operational classification. The illustrative target of κ ≥ 0.60 is benchmark, not pass/fail. The prespecified falsification condition of κ &lt; 0.40 is the threshold below which the Negative Harm Test would be considered insufficiently reliable for unsupervised use. (ii) Committee acceptability assessed via a 5-point Likert scale completed by each pilot rater after completion of all assigned records. Falsification condition: median acceptability rating &lt; 3 (</w:t>
      </w:r>
      <w:r>
        <w:t xml:space="preserve">“</w:t>
      </w:r>
      <w:r>
        <w:t xml:space="preserve">neutral</w:t>
      </w:r>
      <w:r>
        <w:t xml:space="preserve">”</w:t>
      </w:r>
      <w:r>
        <w:t xml:space="preserve">). (iii) Comparison of TJS-record completeness against pre-existing documentation for the same thresholds, reported as proportion of TJS layers populated with substantive (non-template) content.</w:t>
      </w:r>
    </w:p>
    <w:p>
      <w:pPr>
        <w:pStyle w:val="BodyText"/>
      </w:pPr>
      <w:r>
        <w:rPr>
          <w:bCs/>
          <w:b/>
        </w:rPr>
        <w:t xml:space="preserve">Kappa-calculation procedure.</w:t>
      </w:r>
      <w:r>
        <w:t xml:space="preserve"> </w:t>
      </w:r>
      <w:r>
        <w:t xml:space="preserve">Cohen’s κ for binary Primary Safety vs Secondary Operational classification. Raters classify independently using the tier definitions, the Negative Harm Test, and the worked examples provided in the main manuscript. Disagreements are adjudicated via the Negative Harm Test with a designated arbiter (a third rater with clinical responsibility, not involved in the original classification). The adjudicated classification is the classification used for downstream analysis; the κ statistic is calculated on the original independent classifications, before adjudication.</w:t>
      </w:r>
    </w:p>
    <w:p>
      <w:pPr>
        <w:pStyle w:val="BodyText"/>
      </w:pPr>
      <w:r>
        <w:rPr>
          <w:bCs/>
          <w:b/>
        </w:rPr>
        <w:t xml:space="preserve">Falsification cross-reference.</w:t>
      </w:r>
      <w:r>
        <w:t xml:space="preserve"> </w:t>
      </w:r>
      <w:r>
        <w:t xml:space="preserve">The pilot’s prespecified falsification conditions correspond to the four conditions specified in the main manuscript Theory of Change section. Failure of any one condition does not falsify the TJS as a whole; the four conditions taken together constitute the empirical test of the documentation-deliberation hypothesis described in the main manuscript.</w:t>
      </w:r>
    </w:p>
    <w:bookmarkEnd w:id="26"/>
    <w:bookmarkEnd w:id="27"/>
    <w:bookmarkStart w:id="28" w:name="supplementary-appendix-d-reserved"/>
    <w:p>
      <w:pPr>
        <w:pStyle w:val="Heading1"/>
      </w:pPr>
      <w:r>
        <w:t xml:space="preserve">Supplementary Appendix D: Reserved</w:t>
      </w:r>
    </w:p>
    <w:p>
      <w:pPr>
        <w:pStyle w:val="FirstParagraph"/>
      </w:pPr>
      <w:r>
        <w:t xml:space="preserve">This appendix is reserved and not populated.</w:t>
      </w:r>
    </w:p>
    <w:bookmarkEnd w:id="28"/>
    <w:bookmarkStart w:id="29" w:name="supplementary-appendix-e-reserved"/>
    <w:p>
      <w:pPr>
        <w:pStyle w:val="Heading1"/>
      </w:pPr>
      <w:r>
        <w:t xml:space="preserve">Supplementary Appendix E: Reserved</w:t>
      </w:r>
    </w:p>
    <w:p>
      <w:pPr>
        <w:pStyle w:val="FirstParagraph"/>
      </w:pPr>
      <w:r>
        <w:t xml:space="preserve">This appendix is reserved and not populated.</w:t>
      </w:r>
    </w:p>
    <w:bookmarkEnd w:id="29"/>
    <w:bookmarkStart w:id="32" w:name="X8c312180961cb424f6610ec745681d660622518"/>
    <w:p>
      <w:pPr>
        <w:pStyle w:val="Heading1"/>
      </w:pPr>
      <w:r>
        <w:t xml:space="preserve">Supplementary Appendix F: Gaming Resistance Pathways, Assessment, and Coupling Checklist for Layer 4</w:t>
      </w:r>
    </w:p>
    <w:bookmarkStart w:id="30" w:name="X78586575862d635c0d314fd46de8879c92c29ad"/>
    <w:p>
      <w:pPr>
        <w:pStyle w:val="Heading2"/>
      </w:pPr>
      <w:r>
        <w:t xml:space="preserve">Gaming resistance (Layer 5): concrete pathways and assessment</w:t>
      </w:r>
    </w:p>
    <w:p>
      <w:pPr>
        <w:pStyle w:val="FirstParagraph"/>
      </w:pPr>
      <w:r>
        <w:t xml:space="preserve">Three concrete exploitation pathways are particularly relevant for Primary Safety Thresholds.</w:t>
      </w:r>
    </w:p>
    <w:p>
      <w:pPr>
        <w:pStyle w:val="BodyText"/>
      </w:pPr>
      <w:r>
        <w:rPr>
          <w:bCs/>
          <w:b/>
        </w:rPr>
        <w:t xml:space="preserve">Cohort restriction.</w:t>
      </w:r>
      <w:r>
        <w:t xml:space="preserve"> </w:t>
      </w:r>
      <w:r>
        <w:t xml:space="preserve">A developer restricts the validation cohort to subpopulations where the system performs well. Detection: the L1 Context key must specify the validation cohort composition; any change to the cohort triggers L6 lifecycle re-audit.</w:t>
      </w:r>
    </w:p>
    <w:p>
      <w:pPr>
        <w:pStyle w:val="BodyText"/>
      </w:pPr>
      <w:r>
        <w:rPr>
          <w:bCs/>
          <w:b/>
        </w:rPr>
        <w:t xml:space="preserve">Outcome labelling.</w:t>
      </w:r>
      <w:r>
        <w:t xml:space="preserve"> </w:t>
      </w:r>
      <w:r>
        <w:t xml:space="preserve">The choice of gold-standard outcome definition materially affects performance metrics. Detection: the L2 Harm-control link must specify the outcome definition used for calibration; alternative outcome definitions must be examined in the L4 Sensitivity analysis.</w:t>
      </w:r>
    </w:p>
    <w:p>
      <w:pPr>
        <w:pStyle w:val="BodyText"/>
      </w:pPr>
      <w:r>
        <w:rPr>
          <w:bCs/>
          <w:b/>
        </w:rPr>
        <w:t xml:space="preserve">Post-hoc threshold selection.</w:t>
      </w:r>
      <w:r>
        <w:t xml:space="preserve"> </w:t>
      </w:r>
      <w:r>
        <w:t xml:space="preserve">The governance threshold is selected after reviewing validation results rather than being pre-specified. Detection: the L3 Calibration evidence must document whether the threshold value was prespecified before validation or selected after; post-hoc selection requires explicit justification and additional sensitivity analysis at L4.</w:t>
      </w:r>
    </w:p>
    <w:p>
      <w:pPr>
        <w:pStyle w:val="BodyText"/>
      </w:pPr>
      <w:r>
        <w:t xml:space="preserve">For Primary Safety Thresholds, the TJS Layer 5 assessment requires that the auditor conducting the gaming-resistance review is independent of the party with a commercial or operational interest in the threshold passing. This independence requirement is stated as a supplementary operational condition on Layer 5 execution; it does not alter the six-layer structure specified in the main manuscript.</w:t>
      </w:r>
    </w:p>
    <w:bookmarkEnd w:id="30"/>
    <w:bookmarkStart w:id="31" w:name="Xbd77572deb1eb8ba87d14f21dab866366abe327"/>
    <w:p>
      <w:pPr>
        <w:pStyle w:val="Heading2"/>
      </w:pPr>
      <w:r>
        <w:t xml:space="preserve">Coupling Checklist for Layer 4 (preliminary)</w:t>
      </w:r>
    </w:p>
    <w:p>
      <w:pPr>
        <w:pStyle w:val="FirstParagraph"/>
      </w:pPr>
      <w:r>
        <w:t xml:space="preserve">Layer 4 sensitivity analysis is the least methodologically mature layer in the TJS. The following preliminary Coupling Checklist provides four prompts that operationalise the Layer 4 assessment for Primary Safety Thresholds. The checklist itself is preliminary and pilot-testable; further methodological development of multi-metric coupling assessment is identified in the main manuscript as a priority area beyond the scope of this paper.</w:t>
      </w:r>
    </w:p>
    <w:p>
      <w:pPr>
        <w:pStyle w:val="BodyText"/>
      </w:pPr>
      <w:r>
        <w:t xml:space="preserve">For each pair of governance metrics that share a Primary Safety threshold, the Layer 4 record should answer the following four prompts:</w:t>
      </w:r>
    </w:p>
    <w:p>
      <w:pPr>
        <w:numPr>
          <w:ilvl w:val="0"/>
          <w:numId w:val="1002"/>
        </w:numPr>
      </w:pPr>
      <w:r>
        <w:rPr>
          <w:bCs/>
          <w:b/>
        </w:rPr>
        <w:t xml:space="preserve">Mathematical dependency.</w:t>
      </w:r>
      <w:r>
        <w:t xml:space="preserve"> </w:t>
      </w:r>
      <w:r>
        <w:t xml:space="preserve">Are the two metrics mathematically dependent on each other (e.g., one is a function of the other; both are functions of a shared underlying quantity)? If yes, joint sensitivity must be assessed; independent threshold-passing of the two metrics is not sufficient.</w:t>
      </w:r>
    </w:p>
    <w:p>
      <w:pPr>
        <w:numPr>
          <w:ilvl w:val="0"/>
          <w:numId w:val="1002"/>
        </w:numPr>
      </w:pPr>
      <w:r>
        <w:rPr>
          <w:bCs/>
          <w:b/>
        </w:rPr>
        <w:t xml:space="preserve">Shared training or validation data.</w:t>
      </w:r>
      <w:r>
        <w:t xml:space="preserve"> </w:t>
      </w:r>
      <w:r>
        <w:t xml:space="preserve">Do the two metrics share training data, validation cohorts, or reference labels? If yes, an apparent passing of both metrics may reflect dataset-specific artefacts rather than independent confirmation; the L1 Context key must document the shared-data structure and the L4 record must include a robustness check on alternative validation cohorts where feasible.</w:t>
      </w:r>
    </w:p>
    <w:p>
      <w:pPr>
        <w:numPr>
          <w:ilvl w:val="0"/>
          <w:numId w:val="1002"/>
        </w:numPr>
      </w:pPr>
      <w:r>
        <w:rPr>
          <w:bCs/>
          <w:b/>
        </w:rPr>
        <w:t xml:space="preserve">Mechanical failure-propagation.</w:t>
      </w:r>
      <w:r>
        <w:t xml:space="preserve"> </w:t>
      </w:r>
      <w:r>
        <w:t xml:space="preserve">Does failure on one metric mechanically propagate to the other (e.g., calibration failure produces apparent fairness improvement because a uniformly miscalibrated model can show parity in subgroup outcomes)? If yes, the two metrics cannot be assessed independently and the Layer 4 record must specify the propagation pathway.</w:t>
      </w:r>
    </w:p>
    <w:p>
      <w:pPr>
        <w:numPr>
          <w:ilvl w:val="0"/>
          <w:numId w:val="1002"/>
        </w:numPr>
      </w:pPr>
      <w:r>
        <w:rPr>
          <w:bCs/>
          <w:b/>
        </w:rPr>
        <w:t xml:space="preserve">Joint sensitivity testing.</w:t>
      </w:r>
      <w:r>
        <w:t xml:space="preserve"> </w:t>
      </w:r>
      <w:r>
        <w:t xml:space="preserve">Has joint sensitivity been tested across the threshold-boundary regions for both metrics simultaneously, rather than separately? If not, the Layer 4 record must specify the technical or operational reason for testing only marginal sensitivity.</w:t>
      </w:r>
    </w:p>
    <w:p>
      <w:pPr>
        <w:pStyle w:val="FirstParagraph"/>
      </w:pPr>
      <w:r>
        <w:t xml:space="preserve">The four prompts are preliminary. They are intended as a structured starting point for committee deliberation on Layer 4 records, not as a complete coupling-assessment methodology. Methodological extensions identified for future work include formal causal-graph analysis of metric dependencies and computational sensitivity analysis at multi-metric threshold boundaries.</w:t>
      </w:r>
    </w:p>
    <w:bookmarkEnd w:id="31"/>
    <w:bookmarkEnd w:id="32"/>
    <w:bookmarkStart w:id="33" w:name="X39e927803103f533989b91fad3d9c93fb3dbfe1"/>
    <w:p>
      <w:pPr>
        <w:pStyle w:val="Heading1"/>
      </w:pPr>
      <w:r>
        <w:t xml:space="preserve">Supplementary Appendix G: TJS Mapping to Existing NHS Governance Artefacts</w:t>
      </w:r>
    </w:p>
    <w:p>
      <w:pPr>
        <w:pStyle w:val="FirstParagraph"/>
      </w:pPr>
      <w:r>
        <w:t xml:space="preserve">The six TJS layers map to named artefacts already in use across NHS trusts. All mappings are interpretive and illustrative; they demonstrate compatibility with existing governance infrastructure rather than implying that these are the only valid operationalisations.</w:t>
      </w:r>
    </w:p>
    <w:p>
      <w:pPr>
        <w:pStyle w:val="BodyText"/>
      </w:pPr>
      <w:r>
        <w:rPr>
          <w:bCs/>
          <w:b/>
        </w:rPr>
        <w:t xml:space="preserve">L1 (Context key)</w:t>
      </w:r>
      <w:r>
        <w:t xml:space="preserve"> </w:t>
      </w:r>
      <w:r>
        <w:t xml:space="preserve">maps to the intended-use statement required by DCB0129 and by the DTAC transparency criterion.</w:t>
      </w:r>
    </w:p>
    <w:p>
      <w:pPr>
        <w:pStyle w:val="BodyText"/>
      </w:pPr>
      <w:r>
        <w:rPr>
          <w:bCs/>
          <w:b/>
        </w:rPr>
        <w:t xml:space="preserve">L2 (Harm-control link)</w:t>
      </w:r>
      <w:r>
        <w:t xml:space="preserve"> </w:t>
      </w:r>
      <w:r>
        <w:t xml:space="preserve">maps to the clinical hazard log maintained under DCB0129 and DCB0160.</w:t>
      </w:r>
    </w:p>
    <w:p>
      <w:pPr>
        <w:pStyle w:val="BodyText"/>
      </w:pPr>
      <w:r>
        <w:rPr>
          <w:bCs/>
          <w:b/>
        </w:rPr>
        <w:t xml:space="preserve">L3 (Calibration evidence)</w:t>
      </w:r>
      <w:r>
        <w:t xml:space="preserve"> </w:t>
      </w:r>
      <w:r>
        <w:t xml:space="preserve">maps to the NICE Evidence Standards Framework Tier 3b requirements.</w:t>
      </w:r>
    </w:p>
    <w:p>
      <w:pPr>
        <w:pStyle w:val="BodyText"/>
      </w:pPr>
      <w:r>
        <w:rPr>
          <w:bCs/>
          <w:b/>
        </w:rPr>
        <w:t xml:space="preserve">L4 (Sensitivity analysis)</w:t>
      </w:r>
      <w:r>
        <w:t xml:space="preserve"> </w:t>
      </w:r>
      <w:r>
        <w:t xml:space="preserve">maps to and extends the clinical risk assessment required by DCB0129; the Coupling Checklist (Supplementary Appendix F) operationalises the multi-metric coupling assessment that DCB0129 references but does not specify in methodological detail.</w:t>
      </w:r>
    </w:p>
    <w:p>
      <w:pPr>
        <w:pStyle w:val="BodyText"/>
      </w:pPr>
      <w:r>
        <w:rPr>
          <w:bCs/>
          <w:b/>
        </w:rPr>
        <w:t xml:space="preserve">L5 (Gaming resistance)</w:t>
      </w:r>
      <w:r>
        <w:t xml:space="preserve"> </w:t>
      </w:r>
      <w:r>
        <w:t xml:space="preserve">maps to the independent-assessment principle embedded in the MHRA Software and AI as a Medical Device guidance.</w:t>
      </w:r>
    </w:p>
    <w:p>
      <w:pPr>
        <w:pStyle w:val="BodyText"/>
      </w:pPr>
      <w:r>
        <w:rPr>
          <w:bCs/>
          <w:b/>
        </w:rPr>
        <w:t xml:space="preserve">L6 (Lifecycle validity rule)</w:t>
      </w:r>
      <w:r>
        <w:t xml:space="preserve"> </w:t>
      </w:r>
      <w:r>
        <w:t xml:space="preserve">maps to the post-market surveillance obligations under MHRA guidance and the ongoing monitoring commitments required under the DTAC clinical safety criterion.</w:t>
      </w:r>
    </w:p>
    <w:bookmarkEnd w:id="33"/>
    <w:bookmarkStart w:id="35" w:name="X789d54dea4577eb372efd2dd885bd048d50c9e5"/>
    <w:p>
      <w:pPr>
        <w:pStyle w:val="Heading1"/>
      </w:pPr>
      <w:r>
        <w:t xml:space="preserve">Supplementary Appendix H: Illustrative Committee Vignette: AI-Assisted Chest X-Ray Interpretation Algorithm</w:t>
      </w:r>
    </w:p>
    <w:p>
      <w:pPr>
        <w:pStyle w:val="FirstParagraph"/>
      </w:pPr>
      <w:r>
        <w:t xml:space="preserve">The following committee-review vignette illustrates how a Primary Safety TJS record surfaces decision points that existing framework-based review processes leave implicit. The vignette is a structured narrative construction from representative committee-process elements; it is not a record of any real institutional review.</w:t>
      </w:r>
    </w:p>
    <w:bookmarkStart w:id="34" w:name="X073f3adde42517a1c4c8624ba70e4387ffee84b"/>
    <w:p>
      <w:pPr>
        <w:pStyle w:val="Heading2"/>
      </w:pPr>
      <w:r>
        <w:t xml:space="preserve">Vignette: AI-assisted chest X-ray interpretation algorithm</w:t>
      </w:r>
    </w:p>
    <w:p>
      <w:pPr>
        <w:pStyle w:val="FirstParagraph"/>
      </w:pPr>
      <w:r>
        <w:t xml:space="preserve">An NHS trust clinical AI oversight committee is reviewing a proposed deployment of an AI-assisted chest X-ray interpretation algorithm. The vendor has supplied a standard technical pack (model card, external validation report, bias-subgroup analysis). Under the TJS review process, the committee is additionally presented with a Primary Safety TJS record for each numeric threshold proposed for deployment: the calibration-slope tolerance, the subgroup-parity bound, and the post-deployment alert-volume ceiling.</w:t>
      </w:r>
    </w:p>
    <w:p>
      <w:pPr>
        <w:pStyle w:val="BodyText"/>
      </w:pPr>
      <w:r>
        <w:t xml:space="preserve">The six-layer TJS record for the calibration-slope tolerance contains: L1 context key (adult outpatient referral cohort), L2 harm-control link (miscalibrated probability estimates drive downstream referral decisions; slope deviation &gt; 0.10 produces triage-tier reassignments in a documented subgroup), L3 calibration evidence (slope 1.00 ± 0.10 derived from published calibration literature plus an institutional sensitivity analysis), L4 sensitivity analysis (±0.15 slope produces 6–9% triage-tier shift across subgroups; ±0.05 produces operational untenability), L5 gaming-resistance assessment (cohort composition pre-specified; any change triggers L6 re-audit; independent assessment by non-commercial party), and L6 lifecycle-validity rule (recalibration triggered by any of: 10% change in referral prevalence over 90 days; model update; workflow change; annual scheduled review).</w:t>
      </w:r>
    </w:p>
    <w:p>
      <w:pPr>
        <w:pStyle w:val="BodyText"/>
      </w:pPr>
      <w:r>
        <w:t xml:space="preserve">Under conventional review, the committee would see only the vendor-supplied aggregate calibration metric and a statement that it falls within an industry-standard bound. Under TJS review, three additional decision points become explicit. First, the committee must decide whether the ±0.10 slope bound is appropriate for this deployment context — a decision made on L3 calibration evidence that the conventional review would make implicitly or not at all. Second, the committee must decide whether the L4 cliff-edge sensitivity analysis is adequate — did the analysis cover the threshold-boundary regions relevant to this deployment? Third, the committee must decide whether the L5 gaming-resistance assessment is independent enough, given the commercial relationship between the vendor and the adopting institution.</w:t>
      </w:r>
    </w:p>
    <w:p>
      <w:pPr>
        <w:pStyle w:val="BodyText"/>
      </w:pPr>
      <w:r>
        <w:t xml:space="preserve">The TJS structure does not tell the committee what decision to make on any of these three points. It specifies that a decision must be made and documented at each layer; it surfaces the governance questions the institution must take a position on; and it makes that position auditable after the fact. That auditability is the principal contribution of the TJS tiered documentation architecture.</w:t>
      </w:r>
    </w:p>
    <w:bookmarkEnd w:id="34"/>
    <w:bookmarkEnd w:id="35"/>
    <w:bookmarkStart w:id="36" w:name="supplementary-appendix-i-reserved"/>
    <w:p>
      <w:pPr>
        <w:pStyle w:val="Heading1"/>
      </w:pPr>
      <w:r>
        <w:t xml:space="preserve">Supplementary Appendix I: Reserved</w:t>
      </w:r>
    </w:p>
    <w:p>
      <w:pPr>
        <w:pStyle w:val="FirstParagraph"/>
      </w:pPr>
      <w:r>
        <w:t xml:space="preserve">This appendix is reserved and not populated.</w:t>
      </w:r>
    </w:p>
    <w:bookmarkEnd w:id="36"/>
    <w:bookmarkStart w:id="41" w:name="X3c92d373c48bfbb6807daa01cda993c1908e4de"/>
    <w:p>
      <w:pPr>
        <w:pStyle w:val="Heading1"/>
      </w:pPr>
      <w:r>
        <w:t xml:space="preserve">Supplementary Appendix J: Abbreviated Worked Example — Three-Layer TJS Record (Secondary Operational Threshold)</w:t>
      </w:r>
    </w:p>
    <w:p>
      <w:pPr>
        <w:pStyle w:val="FirstParagraph"/>
      </w:pPr>
      <w:r>
        <w:t xml:space="preserve">This appendix provides the abbreviated three-layer worked example for a Secondary Operational threshold cited in the main manuscript. The Negative Harm Test (specified in main manuscript Methods) is applied explicitly to demonstrate the tier-classification logic.</w:t>
      </w:r>
    </w:p>
    <w:bookmarkStart w:id="37" w:name="setting"/>
    <w:p>
      <w:pPr>
        <w:pStyle w:val="Heading2"/>
      </w:pPr>
      <w:r>
        <w:t xml:space="preserve">Setting</w:t>
      </w:r>
    </w:p>
    <w:p>
      <w:pPr>
        <w:pStyle w:val="FirstParagraph"/>
      </w:pPr>
      <w:r>
        <w:t xml:space="preserve">AI-driven clinical alert system deployed in an adult inpatient ward to flag early deterioration on vital-signs telemetry. Governance threshold under review: the alert-volume ceiling — the maximum alerts per 100 patient-hours that the system may raise before the clinical team deems the system to be producing excessive noise and alert-fatigue risk. Proposed Secondary Operational threshold: 6 alerts per 100 patient-hours.</w:t>
      </w:r>
    </w:p>
    <w:p>
      <w:pPr>
        <w:pStyle w:val="BodyText"/>
      </w:pPr>
      <w:r>
        <w:rPr>
          <w:bCs/>
          <w:b/>
        </w:rPr>
        <w:t xml:space="preserve">Threshold under review and threshold not under review.</w:t>
      </w:r>
      <w:r>
        <w:t xml:space="preserve"> </w:t>
      </w:r>
      <w:r>
        <w:t xml:space="preserve">The threshold under review in this example is the</w:t>
      </w:r>
      <w:r>
        <w:t xml:space="preserve"> </w:t>
      </w:r>
      <w:r>
        <w:rPr>
          <w:iCs/>
          <w:i/>
        </w:rPr>
        <w:t xml:space="preserve">alert-volume ceiling</w:t>
      </w:r>
      <w:r>
        <w:t xml:space="preserve">. The deterioration-detection threshold itself — the internal model cutoff at which an alert is triggered for any individual patient — is a</w:t>
      </w:r>
      <w:r>
        <w:t xml:space="preserve"> </w:t>
      </w:r>
      <w:r>
        <w:rPr>
          <w:iCs/>
          <w:i/>
        </w:rPr>
        <w:t xml:space="preserve">separate Primary Safety threshold</w:t>
      </w:r>
      <w:r>
        <w:t xml:space="preserve"> </w:t>
      </w:r>
      <w:r>
        <w:t xml:space="preserve">not the subject of this example; that threshold would require all six TJS layers under the main manuscript specification.</w:t>
      </w:r>
    </w:p>
    <w:bookmarkEnd w:id="37"/>
    <w:bookmarkStart w:id="38" w:name="application-of-the-negative-harm-test"/>
    <w:p>
      <w:pPr>
        <w:pStyle w:val="Heading2"/>
      </w:pPr>
      <w:r>
        <w:t xml:space="preserve">Application of the Negative Harm Test</w:t>
      </w:r>
    </w:p>
    <w:p>
      <w:pPr>
        <w:pStyle w:val="FirstParagraph"/>
      </w:pPr>
      <w:r>
        <w:t xml:space="preserve">Under the Negative Harm Test specified in the main manuscript, this threshold is classified Secondary Operational because failure of the alert-volume ceiling produces operational-burden harm (workflow disruption, alert fatigue) that does not, in and of itself, lead to clinical intervention or omission. The deterioration-detection threshold sits upstream and governs whether any clinical alert is raised; the alert-volume ceiling governs operational tolerability of the alerting system.</w:t>
      </w:r>
    </w:p>
    <w:p>
      <w:pPr>
        <w:pStyle w:val="BodyText"/>
      </w:pPr>
      <w:r>
        <w:t xml:space="preserve">If institutional evidence demonstrated that alert-fatigue causally propagates to missed deterioration in a specific deployment context — for example, if suppressed alerts at high alert-rate periods were shown to correlate with delayed escalation of deterioration — the alert-volume threshold would re-classify as Primary Safety by the default-to-Primary rule. The classification under the Negative Harm Test is not permanent; it is contingent on the empirical evidence available at the time of classification.</w:t>
      </w:r>
    </w:p>
    <w:bookmarkEnd w:id="38"/>
    <w:bookmarkStart w:id="39" w:name="three-layer-tjs-record"/>
    <w:p>
      <w:pPr>
        <w:pStyle w:val="Heading2"/>
      </w:pPr>
      <w:r>
        <w:t xml:space="preserve">Three-layer TJS record</w:t>
      </w:r>
    </w:p>
    <w:p>
      <w:pPr>
        <w:pStyle w:val="FirstParagraph"/>
      </w:pPr>
      <w:r>
        <w:rPr>
          <w:bCs/>
          <w:b/>
        </w:rPr>
        <w:t xml:space="preserve">L1. Context key.</w:t>
      </w:r>
      <w:r>
        <w:t xml:space="preserve"> </w:t>
      </w:r>
      <w:r>
        <w:t xml:space="preserve">Adult inpatient ward (cohort n = 4,200 admissions over 12 months); system outputs an alert when a composite early-warning score exceeds its internal decision threshold (the deterioration-detection threshold, governed under a separate Primary Safety TJS record); the governance threshold under review here is the downstream alert-rate ceiling.</w:t>
      </w:r>
    </w:p>
    <w:p>
      <w:pPr>
        <w:pStyle w:val="BodyText"/>
      </w:pPr>
      <w:r>
        <w:rPr>
          <w:bCs/>
          <w:b/>
        </w:rPr>
        <w:t xml:space="preserve">L2. Harm-control link.</w:t>
      </w:r>
      <w:r>
        <w:t xml:space="preserve"> </w:t>
      </w:r>
      <w:r>
        <w:t xml:space="preserve">Alert volumes exceeding 6 per 100 patient-hours are associated in the institutional audit dataset with clinically significant alert-fatigue behaviour (documented suppression rate rising from 12% to 28% as alert rates cross this threshold). The governance threshold therefore functions as an upper bound on operational deployment, not as a clinical safety gate. The harm pathway being controlled is operational: workflow disruption and clinician alert-fatigue. Any propagation of alert-fatigue to clinical-intervention or omission would re-classify this threshold as Primary Safety per the Negative Harm Test.</w:t>
      </w:r>
    </w:p>
    <w:p>
      <w:pPr>
        <w:pStyle w:val="BodyText"/>
      </w:pPr>
      <w:r>
        <w:rPr>
          <w:bCs/>
          <w:b/>
        </w:rPr>
        <w:t xml:space="preserve">L3. Calibration evidence.</w:t>
      </w:r>
      <w:r>
        <w:t xml:space="preserve"> </w:t>
      </w:r>
      <w:r>
        <w:t xml:space="preserve">The 6/100 value is derived from an institutional operational dataset (12 months of telemetry alerts, 4,200 admissions). The cliff in suppression rate between 5/100 and 7/100 alerts-per-patient-hour motivates the 6/100 midpoint. The three-layer TJS record is sufficient here because the governance threshold does not gate deployment on a clinical safety criterion under the Negative Harm Test; it gates continued operation on an operational-burden criterion.</w:t>
      </w:r>
    </w:p>
    <w:bookmarkEnd w:id="39"/>
    <w:bookmarkStart w:id="40" w:name="Xebff387e972c608efffbdd485d61fb3553d1dc9"/>
    <w:p>
      <w:pPr>
        <w:pStyle w:val="Heading2"/>
      </w:pPr>
      <w:r>
        <w:t xml:space="preserve">Why the three-layer scope is sufficient for Secondary Operational thresholds</w:t>
      </w:r>
    </w:p>
    <w:p>
      <w:pPr>
        <w:pStyle w:val="FirstParagraph"/>
      </w:pPr>
      <w:r>
        <w:t xml:space="preserve">L4 (sensitivity analysis), L5 (gaming resistance), and L6 (lifecycle validity rule) are not required at the Secondary Operational tier. This tiering reflects the proportionality principle: the documentation burden for a threshold whose failure produces an operational cost (alert fatigue, workflow disruption) should be lower than for a threshold whose failure produces clinical intervention or omission. If a threshold initially classified as Secondary Operational is subsequently reclassified as Primary Safety under the default-to-Primary rule (e.g., if institutional evidence demonstrates alert-fatigue causally propagates to missed deterioration in this specific deployment), the full six-layer TJS record must be produced before continued deployment.</w:t>
      </w:r>
    </w:p>
    <w:bookmarkEnd w:id="40"/>
    <w:bookmarkEnd w:id="41"/>
    <w:bookmarkStart w:id="47" w:name="X6b3b4616c68d1168d2a0ac35ba7d03be3fdedd9"/>
    <w:p>
      <w:pPr>
        <w:pStyle w:val="Heading1"/>
      </w:pPr>
      <w:r>
        <w:t xml:space="preserve">Supplementary Appendix K: Computational Sensitivity Analysis — Full Results</w:t>
      </w:r>
    </w:p>
    <w:p>
      <w:pPr>
        <w:pStyle w:val="FirstParagraph"/>
      </w:pPr>
      <w:r>
        <w:t xml:space="preserve">This appendix reports the full results of the computational sensitivity analysis described in the main manuscript Methods §</w:t>
      </w:r>
      <w:r>
        <w:t xml:space="preserve">“</w:t>
      </w:r>
      <w:r>
        <w:t xml:space="preserve">Computational sensitivity analysis: design</w:t>
      </w:r>
      <w:r>
        <w:t xml:space="preserve">”</w:t>
      </w:r>
      <w:r>
        <w:t xml:space="preserve"> </w:t>
      </w:r>
      <w:r>
        <w:t xml:space="preserve">and Results §</w:t>
      </w:r>
      <w:r>
        <w:t xml:space="preserve">“</w:t>
      </w:r>
      <w:r>
        <w:t xml:space="preserve">Sensitivity analysis: κ regimes for the Negative Harm Test.</w:t>
      </w:r>
      <w:r>
        <w:t xml:space="preserve">”</w:t>
      </w:r>
      <w:r>
        <w:t xml:space="preserve"> </w:t>
      </w:r>
      <w:r>
        <w:t xml:space="preserve">Reproducibility code, deterministic seed, modelling-assumption disclosures, per-replicate Monte Carlo logs, and figure generation code are archived in the artefact referenced in Supplementary Appendix A.</w:t>
      </w:r>
    </w:p>
    <w:p>
      <w:pPr>
        <w:pStyle w:val="BodyText"/>
      </w:pPr>
      <w:r>
        <w:rPr>
          <w:bCs/>
          <w:b/>
        </w:rPr>
        <w:t xml:space="preserve">Non-validation reminder.</w:t>
      </w:r>
      <w:r>
        <w:t xml:space="preserve"> </w:t>
      </w:r>
      <w:r>
        <w:t xml:space="preserve">All values reported below are simulated outcomes under stated modelling assumptions. They do not estimate κ in any institutional setting, do not validate the TJS framework, and do not substitute for human inter-rater validation.</w:t>
      </w:r>
    </w:p>
    <w:bookmarkStart w:id="42" w:name="k.1-modelling-assumptions-summary"/>
    <w:p>
      <w:pPr>
        <w:pStyle w:val="Heading2"/>
      </w:pPr>
      <w:r>
        <w:t xml:space="preserve">K.1 Modelling assumptions (summary)</w:t>
      </w:r>
    </w:p>
    <w:p>
      <w:pPr>
        <w:pStyle w:val="FirstParagraph"/>
      </w:pPr>
      <w:r>
        <w:t xml:space="preserve">The simulation models a synthetic threshold population of</w:t>
      </w:r>
      <w:r>
        <w:t xml:space="preserve"> </w:t>
      </w:r>
      <w:r>
        <w:rPr>
          <w:iCs/>
          <w:i/>
        </w:rPr>
        <w:t xml:space="preserve">n</w:t>
      </w:r>
      <w:r>
        <w:t xml:space="preserve"> </w:t>
      </w:r>
      <w:r>
        <w:t xml:space="preserve">= 1,000 thresholds per scenario. Each threshold receives a latent true tier ∈ {Primary, Secondary} drawn from a Bernoulli prior with parameter π_Primary. Two simulated raters classify each threshold as one of {Primary, Secondary, Uncertain}. The marginal Uncertain rate is held constant at 2% per rater across all scenarios. A symmetric per-rater error model is parameterised — by numerical inversion of an analytical κ-from-error mapping — to achieve the target Cohen’s κ on the binary collapse (Uncertain → Primary, per the default-to-Primary rule). Each (κ, π) scenario is run for</w:t>
      </w:r>
      <w:r>
        <w:t xml:space="preserve"> </w:t>
      </w:r>
      <w:r>
        <w:rPr>
          <w:iCs/>
          <w:i/>
        </w:rPr>
        <w:t xml:space="preserve">R</w:t>
      </w:r>
      <w:r>
        <w:t xml:space="preserve"> </w:t>
      </w:r>
      <w:r>
        <w:t xml:space="preserve">= 100 Monte Carlo replicates with deterministic substreams seeded from a master seed. Full assumption disclosure:</w:t>
      </w:r>
      <w:r>
        <w:t xml:space="preserve"> </w:t>
      </w:r>
      <w:r>
        <w:rPr>
          <w:rStyle w:val="VerbatimChar"/>
        </w:rPr>
        <w:t xml:space="preserve">docs/modelling_assumptions.md</w:t>
      </w:r>
      <w:r>
        <w:t xml:space="preserve"> </w:t>
      </w:r>
      <w:r>
        <w:t xml:space="preserve">in the reproducibility artefact.</w:t>
      </w:r>
    </w:p>
    <w:bookmarkEnd w:id="42"/>
    <w:bookmarkStart w:id="43" w:name="k.2-full-sensitivity-grid-κ-π"/>
    <w:p>
      <w:pPr>
        <w:pStyle w:val="Heading2"/>
      </w:pPr>
      <w:r>
        <w:t xml:space="preserve">K.2 Full sensitivity grid (κ × π)</w:t>
      </w:r>
    </w:p>
    <w:p>
      <w:pPr>
        <w:pStyle w:val="FirstParagraph"/>
      </w:pPr>
      <w:r>
        <w:t xml:space="preserve">The following four sub-tables report all 28 (κ, π) scenarios. All proportions are means across</w:t>
      </w:r>
      <w:r>
        <w:t xml:space="preserve"> </w:t>
      </w:r>
      <w:r>
        <w:rPr>
          <w:iCs/>
          <w:i/>
        </w:rPr>
        <w:t xml:space="preserve">R</w:t>
      </w:r>
      <w:r>
        <w:t xml:space="preserve"> </w:t>
      </w:r>
      <w:r>
        <w:t xml:space="preserve">= 100 replicates with Monte Carlo standard errors (sample SD / √R). Burden is reported in additional documentation hours per 100 thresholds, using indicative time figures from Supplementary Appendix C (Primary 67.5 minutes midpoint; Secondary 17.5 minutes midpoint; burden delta 50 minutes per over-escalated threshold).</w:t>
      </w:r>
    </w:p>
    <w:p>
      <w:pPr>
        <w:pStyle w:val="BodyText"/>
      </w:pPr>
      <w:r>
        <w:rPr>
          <w:bCs/>
          <w:b/>
        </w:rPr>
        <w:t xml:space="preserve">Sub-table K.05: π_Primary = 0.05</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Target κ</w:t>
            </w:r>
          </w:p>
        </w:tc>
        <w:tc>
          <w:tcPr/>
          <w:p>
            <w:pPr>
              <w:pStyle w:val="Compact"/>
              <w:jc w:val="left"/>
            </w:pPr>
            <w:r>
              <w:t xml:space="preserve">Realised κ</w:t>
            </w:r>
          </w:p>
        </w:tc>
        <w:tc>
          <w:tcPr/>
          <w:p>
            <w:pPr>
              <w:pStyle w:val="Compact"/>
              <w:jc w:val="left"/>
            </w:pPr>
            <w:r>
              <w:t xml:space="preserve">Unsafe-Sec</w:t>
            </w:r>
          </w:p>
        </w:tc>
        <w:tc>
          <w:tcPr/>
          <w:p>
            <w:pPr>
              <w:pStyle w:val="Compact"/>
              <w:jc w:val="left"/>
            </w:pPr>
            <w:r>
              <w:t xml:space="preserve">Over-esc</w:t>
            </w:r>
          </w:p>
        </w:tc>
        <w:tc>
          <w:tcPr/>
          <w:p>
            <w:pPr>
              <w:pStyle w:val="Compact"/>
              <w:jc w:val="left"/>
            </w:pPr>
            <w:r>
              <w:t xml:space="preserve">Net-Pri</w:t>
            </w:r>
          </w:p>
        </w:tc>
        <w:tc>
          <w:tcPr/>
          <w:p>
            <w:pPr>
              <w:pStyle w:val="Compact"/>
              <w:jc w:val="left"/>
            </w:pPr>
            <w:r>
              <w:t xml:space="preserve">Burden h/100</w:t>
            </w:r>
          </w:p>
        </w:tc>
      </w:tr>
      <w:tr>
        <w:tc>
          <w:tcPr/>
          <w:p>
            <w:pPr>
              <w:pStyle w:val="Compact"/>
              <w:jc w:val="left"/>
            </w:pPr>
            <w:r>
              <w:t xml:space="preserve">0.20</w:t>
            </w:r>
          </w:p>
        </w:tc>
        <w:tc>
          <w:tcPr/>
          <w:p>
            <w:pPr>
              <w:pStyle w:val="Compact"/>
              <w:jc w:val="left"/>
            </w:pPr>
            <w:r>
              <w:t xml:space="preserve">0.197 ± 0.003</w:t>
            </w:r>
          </w:p>
        </w:tc>
        <w:tc>
          <w:tcPr/>
          <w:p>
            <w:pPr>
              <w:pStyle w:val="Compact"/>
              <w:jc w:val="left"/>
            </w:pPr>
            <w:r>
              <w:t xml:space="preserve">0.0125 ± 0.0017</w:t>
            </w:r>
          </w:p>
        </w:tc>
        <w:tc>
          <w:tcPr/>
          <w:p>
            <w:pPr>
              <w:pStyle w:val="Compact"/>
              <w:jc w:val="left"/>
            </w:pPr>
            <w:r>
              <w:t xml:space="preserve">0.237 ± 0.001</w:t>
            </w:r>
          </w:p>
        </w:tc>
        <w:tc>
          <w:tcPr/>
          <w:p>
            <w:pPr>
              <w:pStyle w:val="Compact"/>
              <w:jc w:val="left"/>
            </w:pPr>
            <w:r>
              <w:t xml:space="preserve">0.275 ± 0.001</w:t>
            </w:r>
          </w:p>
        </w:tc>
        <w:tc>
          <w:tcPr/>
          <w:p>
            <w:pPr>
              <w:pStyle w:val="Compact"/>
              <w:jc w:val="left"/>
            </w:pPr>
            <w:r>
              <w:t xml:space="preserve">18.8 ± 0.11</w:t>
            </w:r>
          </w:p>
        </w:tc>
      </w:tr>
      <w:tr>
        <w:tc>
          <w:tcPr/>
          <w:p>
            <w:pPr>
              <w:pStyle w:val="Compact"/>
              <w:jc w:val="left"/>
            </w:pPr>
            <w:r>
              <w:t xml:space="preserve">0.30</w:t>
            </w:r>
          </w:p>
        </w:tc>
        <w:tc>
          <w:tcPr/>
          <w:p>
            <w:pPr>
              <w:pStyle w:val="Compact"/>
              <w:jc w:val="left"/>
            </w:pPr>
            <w:r>
              <w:t xml:space="preserve">0.297 ± 0.004</w:t>
            </w:r>
          </w:p>
        </w:tc>
        <w:tc>
          <w:tcPr/>
          <w:p>
            <w:pPr>
              <w:pStyle w:val="Compact"/>
              <w:jc w:val="left"/>
            </w:pPr>
            <w:r>
              <w:t xml:space="preserve">0.0036 ± 0.0009</w:t>
            </w:r>
          </w:p>
        </w:tc>
        <w:tc>
          <w:tcPr/>
          <w:p>
            <w:pPr>
              <w:pStyle w:val="Compact"/>
              <w:jc w:val="left"/>
            </w:pPr>
            <w:r>
              <w:t xml:space="preserve">0.169 ± 0.001</w:t>
            </w:r>
          </w:p>
        </w:tc>
        <w:tc>
          <w:tcPr/>
          <w:p>
            <w:pPr>
              <w:pStyle w:val="Compact"/>
              <w:jc w:val="left"/>
            </w:pPr>
            <w:r>
              <w:t xml:space="preserve">0.210 ± 0.001</w:t>
            </w:r>
          </w:p>
        </w:tc>
        <w:tc>
          <w:tcPr/>
          <w:p>
            <w:pPr>
              <w:pStyle w:val="Compact"/>
              <w:jc w:val="left"/>
            </w:pPr>
            <w:r>
              <w:t xml:space="preserve">13.4 ± 0.10</w:t>
            </w:r>
          </w:p>
        </w:tc>
      </w:tr>
      <w:tr>
        <w:tc>
          <w:tcPr/>
          <w:p>
            <w:pPr>
              <w:pStyle w:val="Compact"/>
              <w:jc w:val="left"/>
            </w:pPr>
            <w:r>
              <w:t xml:space="preserve">0.40</w:t>
            </w:r>
          </w:p>
        </w:tc>
        <w:tc>
          <w:tcPr/>
          <w:p>
            <w:pPr>
              <w:pStyle w:val="Compact"/>
              <w:jc w:val="left"/>
            </w:pPr>
            <w:r>
              <w:t xml:space="preserve">0.398 ± 0.004</w:t>
            </w:r>
          </w:p>
        </w:tc>
        <w:tc>
          <w:tcPr/>
          <w:p>
            <w:pPr>
              <w:pStyle w:val="Compact"/>
              <w:jc w:val="left"/>
            </w:pPr>
            <w:r>
              <w:t xml:space="preserve">0.0026 ± 0.0008</w:t>
            </w:r>
          </w:p>
        </w:tc>
        <w:tc>
          <w:tcPr/>
          <w:p>
            <w:pPr>
              <w:pStyle w:val="Compact"/>
              <w:jc w:val="left"/>
            </w:pPr>
            <w:r>
              <w:t xml:space="preserve">0.121 ± 0.001</w:t>
            </w:r>
          </w:p>
        </w:tc>
        <w:tc>
          <w:tcPr/>
          <w:p>
            <w:pPr>
              <w:pStyle w:val="Compact"/>
              <w:jc w:val="left"/>
            </w:pPr>
            <w:r>
              <w:t xml:space="preserve">0.164 ± 0.001</w:t>
            </w:r>
          </w:p>
        </w:tc>
        <w:tc>
          <w:tcPr/>
          <w:p>
            <w:pPr>
              <w:pStyle w:val="Compact"/>
              <w:jc w:val="left"/>
            </w:pPr>
            <w:r>
              <w:t xml:space="preserve">9.6 ± 0.08</w:t>
            </w:r>
          </w:p>
        </w:tc>
      </w:tr>
      <w:tr>
        <w:tc>
          <w:tcPr/>
          <w:p>
            <w:pPr>
              <w:pStyle w:val="Compact"/>
              <w:jc w:val="left"/>
            </w:pPr>
            <w:r>
              <w:t xml:space="preserve">0.50</w:t>
            </w:r>
          </w:p>
        </w:tc>
        <w:tc>
          <w:tcPr/>
          <w:p>
            <w:pPr>
              <w:pStyle w:val="Compact"/>
              <w:jc w:val="left"/>
            </w:pPr>
            <w:r>
              <w:t xml:space="preserve">0.498 ± 0.005</w:t>
            </w:r>
          </w:p>
        </w:tc>
        <w:tc>
          <w:tcPr/>
          <w:p>
            <w:pPr>
              <w:pStyle w:val="Compact"/>
              <w:jc w:val="left"/>
            </w:pPr>
            <w:r>
              <w:t xml:space="preserve">0.0008 ± 0.0004</w:t>
            </w:r>
          </w:p>
        </w:tc>
        <w:tc>
          <w:tcPr/>
          <w:p>
            <w:pPr>
              <w:pStyle w:val="Compact"/>
              <w:jc w:val="left"/>
            </w:pPr>
            <w:r>
              <w:t xml:space="preserve">0.085 ± 0.001</w:t>
            </w:r>
          </w:p>
        </w:tc>
        <w:tc>
          <w:tcPr/>
          <w:p>
            <w:pPr>
              <w:pStyle w:val="Compact"/>
              <w:jc w:val="left"/>
            </w:pPr>
            <w:r>
              <w:t xml:space="preserve">0.130 ± 0.001</w:t>
            </w:r>
          </w:p>
        </w:tc>
        <w:tc>
          <w:tcPr/>
          <w:p>
            <w:pPr>
              <w:pStyle w:val="Compact"/>
              <w:jc w:val="left"/>
            </w:pPr>
            <w:r>
              <w:t xml:space="preserve">6.8 ± 0.08</w:t>
            </w:r>
          </w:p>
        </w:tc>
      </w:tr>
      <w:tr>
        <w:tc>
          <w:tcPr/>
          <w:p>
            <w:pPr>
              <w:pStyle w:val="Compact"/>
              <w:jc w:val="left"/>
            </w:pPr>
            <w:r>
              <w:t xml:space="preserve">0.60</w:t>
            </w:r>
          </w:p>
        </w:tc>
        <w:tc>
          <w:tcPr/>
          <w:p>
            <w:pPr>
              <w:pStyle w:val="Compact"/>
              <w:jc w:val="left"/>
            </w:pPr>
            <w:r>
              <w:t xml:space="preserve">0.606 ± 0.005</w:t>
            </w:r>
          </w:p>
        </w:tc>
        <w:tc>
          <w:tcPr/>
          <w:p>
            <w:pPr>
              <w:pStyle w:val="Compact"/>
              <w:jc w:val="left"/>
            </w:pPr>
            <w:r>
              <w:t xml:space="preserve">0.0000 ± 0.0000</w:t>
            </w:r>
          </w:p>
        </w:tc>
        <w:tc>
          <w:tcPr/>
          <w:p>
            <w:pPr>
              <w:pStyle w:val="Compact"/>
              <w:jc w:val="left"/>
            </w:pPr>
            <w:r>
              <w:t xml:space="preserve">0.060 ± 0.001</w:t>
            </w:r>
          </w:p>
        </w:tc>
        <w:tc>
          <w:tcPr/>
          <w:p>
            <w:pPr>
              <w:pStyle w:val="Compact"/>
              <w:jc w:val="left"/>
            </w:pPr>
            <w:r>
              <w:t xml:space="preserve">0.108 ± 0.001</w:t>
            </w:r>
          </w:p>
        </w:tc>
        <w:tc>
          <w:tcPr/>
          <w:p>
            <w:pPr>
              <w:pStyle w:val="Compact"/>
              <w:jc w:val="left"/>
            </w:pPr>
            <w:r>
              <w:t xml:space="preserve">4.8 ± 0.07</w:t>
            </w:r>
          </w:p>
        </w:tc>
      </w:tr>
      <w:tr>
        <w:tc>
          <w:tcPr/>
          <w:p>
            <w:pPr>
              <w:pStyle w:val="Compact"/>
              <w:jc w:val="left"/>
            </w:pPr>
            <w:r>
              <w:t xml:space="preserve">0.70</w:t>
            </w:r>
          </w:p>
        </w:tc>
        <w:tc>
          <w:tcPr/>
          <w:p>
            <w:pPr>
              <w:pStyle w:val="Compact"/>
              <w:jc w:val="left"/>
            </w:pPr>
            <w:r>
              <w:t xml:space="preserve">0.702 ± 0.005</w:t>
            </w:r>
          </w:p>
        </w:tc>
        <w:tc>
          <w:tcPr/>
          <w:p>
            <w:pPr>
              <w:pStyle w:val="Compact"/>
              <w:jc w:val="left"/>
            </w:pPr>
            <w:r>
              <w:t xml:space="preserve">0.0000 ± 0.0000</w:t>
            </w:r>
          </w:p>
        </w:tc>
        <w:tc>
          <w:tcPr/>
          <w:p>
            <w:pPr>
              <w:pStyle w:val="Compact"/>
              <w:jc w:val="left"/>
            </w:pPr>
            <w:r>
              <w:t xml:space="preserve">0.042 ± 0.001</w:t>
            </w:r>
          </w:p>
        </w:tc>
        <w:tc>
          <w:tcPr/>
          <w:p>
            <w:pPr>
              <w:pStyle w:val="Compact"/>
              <w:jc w:val="left"/>
            </w:pPr>
            <w:r>
              <w:t xml:space="preserve">0.091 ± 0.001</w:t>
            </w:r>
          </w:p>
        </w:tc>
        <w:tc>
          <w:tcPr/>
          <w:p>
            <w:pPr>
              <w:pStyle w:val="Compact"/>
              <w:jc w:val="left"/>
            </w:pPr>
            <w:r>
              <w:t xml:space="preserve">3.3 ± 0.05</w:t>
            </w:r>
          </w:p>
        </w:tc>
      </w:tr>
      <w:tr>
        <w:tc>
          <w:tcPr/>
          <w:p>
            <w:pPr>
              <w:pStyle w:val="Compact"/>
              <w:jc w:val="left"/>
            </w:pPr>
            <w:r>
              <w:t xml:space="preserve">0.80</w:t>
            </w:r>
          </w:p>
        </w:tc>
        <w:tc>
          <w:tcPr/>
          <w:p>
            <w:pPr>
              <w:pStyle w:val="Compact"/>
              <w:jc w:val="left"/>
            </w:pPr>
            <w:r>
              <w:t xml:space="preserve">0.712 ± 0.004</w:t>
            </w:r>
          </w:p>
        </w:tc>
        <w:tc>
          <w:tcPr/>
          <w:p>
            <w:pPr>
              <w:pStyle w:val="Compact"/>
              <w:jc w:val="left"/>
            </w:pPr>
            <w:r>
              <w:t xml:space="preserve">0.0000 ± 0.0000</w:t>
            </w:r>
          </w:p>
        </w:tc>
        <w:tc>
          <w:tcPr/>
          <w:p>
            <w:pPr>
              <w:pStyle w:val="Compact"/>
              <w:jc w:val="left"/>
            </w:pPr>
            <w:r>
              <w:t xml:space="preserve">0.040 ± 0.001</w:t>
            </w:r>
          </w:p>
        </w:tc>
        <w:tc>
          <w:tcPr/>
          <w:p>
            <w:pPr>
              <w:pStyle w:val="Compact"/>
              <w:jc w:val="left"/>
            </w:pPr>
            <w:r>
              <w:t xml:space="preserve">0.089 ± 0.001</w:t>
            </w:r>
          </w:p>
        </w:tc>
        <w:tc>
          <w:tcPr/>
          <w:p>
            <w:pPr>
              <w:pStyle w:val="Compact"/>
              <w:jc w:val="left"/>
            </w:pPr>
            <w:r>
              <w:t xml:space="preserve">3.1 ± 0.05</w:t>
            </w:r>
          </w:p>
        </w:tc>
      </w:tr>
    </w:tbl>
    <w:p>
      <w:pPr>
        <w:pStyle w:val="BodyText"/>
      </w:pPr>
      <w:r>
        <w:rPr>
          <w:iCs/>
          <w:i/>
        </w:rPr>
        <w:t xml:space="preserve">Note: at π = 0.05, the rater model’s analytical maximum κ is approximately 0.71 (with the constant 2% Uncertain rate). The κ = 0.80 target therefore converges to the model ceiling; this is an analytical property of the rater model, documented in the artefact’s modelling-assumption file, and reflects the constraint that with fewer latent-true Primary thresholds, agreement is dominated by joint-Secondary outcomes that the Uncertain rate disturbs.</w:t>
      </w:r>
    </w:p>
    <w:p>
      <w:pPr>
        <w:pStyle w:val="BodyText"/>
      </w:pPr>
      <w:r>
        <w:rPr>
          <w:bCs/>
          <w:b/>
        </w:rPr>
        <w:t xml:space="preserve">Sub-table K.10: π_Primary = 0.10 (primary scenario reported in main text)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Target κ</w:t>
            </w:r>
          </w:p>
        </w:tc>
        <w:tc>
          <w:tcPr/>
          <w:p>
            <w:pPr>
              <w:pStyle w:val="Compact"/>
              <w:jc w:val="left"/>
            </w:pPr>
            <w:r>
              <w:t xml:space="preserve">Realised κ</w:t>
            </w:r>
          </w:p>
        </w:tc>
        <w:tc>
          <w:tcPr/>
          <w:p>
            <w:pPr>
              <w:pStyle w:val="Compact"/>
              <w:jc w:val="left"/>
            </w:pPr>
            <w:r>
              <w:t xml:space="preserve">Unsafe-Sec</w:t>
            </w:r>
          </w:p>
        </w:tc>
        <w:tc>
          <w:tcPr/>
          <w:p>
            <w:pPr>
              <w:pStyle w:val="Compact"/>
              <w:jc w:val="left"/>
            </w:pPr>
            <w:r>
              <w:t xml:space="preserve">Over-esc</w:t>
            </w:r>
          </w:p>
        </w:tc>
        <w:tc>
          <w:tcPr/>
          <w:p>
            <w:pPr>
              <w:pStyle w:val="Compact"/>
              <w:jc w:val="left"/>
            </w:pPr>
            <w:r>
              <w:t xml:space="preserve">Net-Pri</w:t>
            </w:r>
          </w:p>
        </w:tc>
        <w:tc>
          <w:tcPr/>
          <w:p>
            <w:pPr>
              <w:pStyle w:val="Compact"/>
              <w:jc w:val="left"/>
            </w:pPr>
            <w:r>
              <w:t xml:space="preserve">Burden h/100</w:t>
            </w:r>
          </w:p>
        </w:tc>
      </w:tr>
      <w:tr>
        <w:tc>
          <w:tcPr/>
          <w:p>
            <w:pPr>
              <w:pStyle w:val="Compact"/>
              <w:jc w:val="left"/>
            </w:pPr>
            <w:r>
              <w:t xml:space="preserve">0.20</w:t>
            </w:r>
          </w:p>
        </w:tc>
        <w:tc>
          <w:tcPr/>
          <w:p>
            <w:pPr>
              <w:pStyle w:val="Compact"/>
              <w:jc w:val="left"/>
            </w:pPr>
            <w:r>
              <w:t xml:space="preserve">0.201 ± 0.004</w:t>
            </w:r>
          </w:p>
        </w:tc>
        <w:tc>
          <w:tcPr/>
          <w:p>
            <w:pPr>
              <w:pStyle w:val="Compact"/>
              <w:jc w:val="left"/>
            </w:pPr>
            <w:r>
              <w:t xml:space="preserve">0.0281 ± 0.0015</w:t>
            </w:r>
          </w:p>
        </w:tc>
        <w:tc>
          <w:tcPr/>
          <w:p>
            <w:pPr>
              <w:pStyle w:val="Compact"/>
              <w:jc w:val="left"/>
            </w:pPr>
            <w:r>
              <w:t xml:space="preserve">0.337 ± 0.001</w:t>
            </w:r>
          </w:p>
        </w:tc>
        <w:tc>
          <w:tcPr/>
          <w:p>
            <w:pPr>
              <w:pStyle w:val="Compact"/>
              <w:jc w:val="left"/>
            </w:pPr>
            <w:r>
              <w:t xml:space="preserve">0.400 ± 0.001</w:t>
            </w:r>
          </w:p>
        </w:tc>
        <w:tc>
          <w:tcPr/>
          <w:p>
            <w:pPr>
              <w:pStyle w:val="Compact"/>
              <w:jc w:val="left"/>
            </w:pPr>
            <w:r>
              <w:t xml:space="preserve">25.3 ± 0.11</w:t>
            </w:r>
          </w:p>
        </w:tc>
      </w:tr>
      <w:tr>
        <w:tc>
          <w:tcPr/>
          <w:p>
            <w:pPr>
              <w:pStyle w:val="Compact"/>
              <w:jc w:val="left"/>
            </w:pPr>
            <w:r>
              <w:t xml:space="preserve">0.30</w:t>
            </w:r>
          </w:p>
        </w:tc>
        <w:tc>
          <w:tcPr/>
          <w:p>
            <w:pPr>
              <w:pStyle w:val="Compact"/>
              <w:jc w:val="left"/>
            </w:pPr>
            <w:r>
              <w:t xml:space="preserve">0.298 ± 0.003</w:t>
            </w:r>
          </w:p>
        </w:tc>
        <w:tc>
          <w:tcPr/>
          <w:p>
            <w:pPr>
              <w:pStyle w:val="Compact"/>
              <w:jc w:val="left"/>
            </w:pPr>
            <w:r>
              <w:t xml:space="preserve">0.0149 ± 0.0014</w:t>
            </w:r>
          </w:p>
        </w:tc>
        <w:tc>
          <w:tcPr/>
          <w:p>
            <w:pPr>
              <w:pStyle w:val="Compact"/>
              <w:jc w:val="left"/>
            </w:pPr>
            <w:r>
              <w:t xml:space="preserve">0.256 ± 0.001</w:t>
            </w:r>
          </w:p>
        </w:tc>
        <w:tc>
          <w:tcPr/>
          <w:p>
            <w:pPr>
              <w:pStyle w:val="Compact"/>
              <w:jc w:val="left"/>
            </w:pPr>
            <w:r>
              <w:t xml:space="preserve">0.329 ± 0.002</w:t>
            </w:r>
          </w:p>
        </w:tc>
        <w:tc>
          <w:tcPr/>
          <w:p>
            <w:pPr>
              <w:pStyle w:val="Compact"/>
              <w:jc w:val="left"/>
            </w:pPr>
            <w:r>
              <w:t xml:space="preserve">19.2 ± 0.11</w:t>
            </w:r>
          </w:p>
        </w:tc>
      </w:tr>
      <w:tr>
        <w:tc>
          <w:tcPr/>
          <w:p>
            <w:pPr>
              <w:pStyle w:val="Compact"/>
              <w:jc w:val="left"/>
            </w:pPr>
            <w:r>
              <w:t xml:space="preserve">0.40</w:t>
            </w:r>
          </w:p>
        </w:tc>
        <w:tc>
          <w:tcPr/>
          <w:p>
            <w:pPr>
              <w:pStyle w:val="Compact"/>
              <w:jc w:val="left"/>
            </w:pPr>
            <w:r>
              <w:t xml:space="preserve">0.399 ± 0.004</w:t>
            </w:r>
          </w:p>
        </w:tc>
        <w:tc>
          <w:tcPr/>
          <w:p>
            <w:pPr>
              <w:pStyle w:val="Compact"/>
              <w:jc w:val="left"/>
            </w:pPr>
            <w:r>
              <w:t xml:space="preserve">0.0062 ± 0.0008</w:t>
            </w:r>
          </w:p>
        </w:tc>
        <w:tc>
          <w:tcPr/>
          <w:p>
            <w:pPr>
              <w:pStyle w:val="Compact"/>
              <w:jc w:val="left"/>
            </w:pPr>
            <w:r>
              <w:t xml:space="preserve">0.194 ± 0.001</w:t>
            </w:r>
          </w:p>
        </w:tc>
        <w:tc>
          <w:tcPr/>
          <w:p>
            <w:pPr>
              <w:pStyle w:val="Compact"/>
              <w:jc w:val="left"/>
            </w:pPr>
            <w:r>
              <w:t xml:space="preserve">0.274 ± 0.001</w:t>
            </w:r>
          </w:p>
        </w:tc>
        <w:tc>
          <w:tcPr/>
          <w:p>
            <w:pPr>
              <w:pStyle w:val="Compact"/>
              <w:jc w:val="left"/>
            </w:pPr>
            <w:r>
              <w:t xml:space="preserve">14.6 ± 0.11</w:t>
            </w:r>
          </w:p>
        </w:tc>
      </w:tr>
      <w:tr>
        <w:tc>
          <w:tcPr/>
          <w:p>
            <w:pPr>
              <w:pStyle w:val="Compact"/>
              <w:jc w:val="left"/>
            </w:pPr>
            <w:r>
              <w:t xml:space="preserve">0.50</w:t>
            </w:r>
          </w:p>
        </w:tc>
        <w:tc>
          <w:tcPr/>
          <w:p>
            <w:pPr>
              <w:pStyle w:val="Compact"/>
              <w:jc w:val="left"/>
            </w:pPr>
            <w:r>
              <w:t xml:space="preserve">0.499 ± 0.004</w:t>
            </w:r>
          </w:p>
        </w:tc>
        <w:tc>
          <w:tcPr/>
          <w:p>
            <w:pPr>
              <w:pStyle w:val="Compact"/>
              <w:jc w:val="left"/>
            </w:pPr>
            <w:r>
              <w:t xml:space="preserve">0.0030 ± 0.0006</w:t>
            </w:r>
          </w:p>
        </w:tc>
        <w:tc>
          <w:tcPr/>
          <w:p>
            <w:pPr>
              <w:pStyle w:val="Compact"/>
              <w:jc w:val="left"/>
            </w:pPr>
            <w:r>
              <w:t xml:space="preserve">0.144 ± 0.001</w:t>
            </w:r>
          </w:p>
        </w:tc>
        <w:tc>
          <w:tcPr/>
          <w:p>
            <w:pPr>
              <w:pStyle w:val="Compact"/>
              <w:jc w:val="left"/>
            </w:pPr>
            <w:r>
              <w:t xml:space="preserve">0.229 ± 0.001</w:t>
            </w:r>
          </w:p>
        </w:tc>
        <w:tc>
          <w:tcPr/>
          <w:p>
            <w:pPr>
              <w:pStyle w:val="Compact"/>
              <w:jc w:val="left"/>
            </w:pPr>
            <w:r>
              <w:t xml:space="preserve">10.8 ± 0.09</w:t>
            </w:r>
          </w:p>
        </w:tc>
      </w:tr>
      <w:tr>
        <w:tc>
          <w:tcPr/>
          <w:p>
            <w:pPr>
              <w:pStyle w:val="Compact"/>
              <w:jc w:val="left"/>
            </w:pPr>
            <w:r>
              <w:t xml:space="preserve">0.60</w:t>
            </w:r>
          </w:p>
        </w:tc>
        <w:tc>
          <w:tcPr/>
          <w:p>
            <w:pPr>
              <w:pStyle w:val="Compact"/>
              <w:jc w:val="left"/>
            </w:pPr>
            <w:r>
              <w:t xml:space="preserve">0.598 ± 0.004</w:t>
            </w:r>
          </w:p>
        </w:tc>
        <w:tc>
          <w:tcPr/>
          <w:p>
            <w:pPr>
              <w:pStyle w:val="Compact"/>
              <w:jc w:val="left"/>
            </w:pPr>
            <w:r>
              <w:t xml:space="preserve">0.0007 ± 0.0003</w:t>
            </w:r>
          </w:p>
        </w:tc>
        <w:tc>
          <w:tcPr/>
          <w:p>
            <w:pPr>
              <w:pStyle w:val="Compact"/>
              <w:jc w:val="left"/>
            </w:pPr>
            <w:r>
              <w:t xml:space="preserve">0.107 ± 0.001</w:t>
            </w:r>
          </w:p>
        </w:tc>
        <w:tc>
          <w:tcPr/>
          <w:p>
            <w:pPr>
              <w:pStyle w:val="Compact"/>
              <w:jc w:val="left"/>
            </w:pPr>
            <w:r>
              <w:t xml:space="preserve">0.196 ± 0.001</w:t>
            </w:r>
          </w:p>
        </w:tc>
        <w:tc>
          <w:tcPr/>
          <w:p>
            <w:pPr>
              <w:pStyle w:val="Compact"/>
              <w:jc w:val="left"/>
            </w:pPr>
            <w:r>
              <w:t xml:space="preserve">8.0 ± 0.08</w:t>
            </w:r>
          </w:p>
        </w:tc>
      </w:tr>
      <w:tr>
        <w:tc>
          <w:tcPr/>
          <w:p>
            <w:pPr>
              <w:pStyle w:val="Compact"/>
              <w:jc w:val="left"/>
            </w:pPr>
            <w:r>
              <w:t xml:space="preserve">0.70</w:t>
            </w:r>
          </w:p>
        </w:tc>
        <w:tc>
          <w:tcPr/>
          <w:p>
            <w:pPr>
              <w:pStyle w:val="Compact"/>
              <w:jc w:val="left"/>
            </w:pPr>
            <w:r>
              <w:t xml:space="preserve">0.701 ± 0.004</w:t>
            </w:r>
          </w:p>
        </w:tc>
        <w:tc>
          <w:tcPr/>
          <w:p>
            <w:pPr>
              <w:pStyle w:val="Compact"/>
              <w:jc w:val="left"/>
            </w:pPr>
            <w:r>
              <w:t xml:space="preserve">0.0001 ± 0.0001</w:t>
            </w:r>
          </w:p>
        </w:tc>
        <w:tc>
          <w:tcPr/>
          <w:p>
            <w:pPr>
              <w:pStyle w:val="Compact"/>
              <w:jc w:val="left"/>
            </w:pPr>
            <w:r>
              <w:t xml:space="preserve">0.074 ± 0.001</w:t>
            </w:r>
          </w:p>
        </w:tc>
        <w:tc>
          <w:tcPr/>
          <w:p>
            <w:pPr>
              <w:pStyle w:val="Compact"/>
              <w:jc w:val="left"/>
            </w:pPr>
            <w:r>
              <w:t xml:space="preserve">0.166 ± 0.001</w:t>
            </w:r>
          </w:p>
        </w:tc>
        <w:tc>
          <w:tcPr/>
          <w:p>
            <w:pPr>
              <w:pStyle w:val="Compact"/>
              <w:jc w:val="left"/>
            </w:pPr>
            <w:r>
              <w:t xml:space="preserve">5.5 ± 0.07</w:t>
            </w:r>
          </w:p>
        </w:tc>
      </w:tr>
      <w:tr>
        <w:tc>
          <w:tcPr/>
          <w:p>
            <w:pPr>
              <w:pStyle w:val="Compact"/>
              <w:jc w:val="left"/>
            </w:pPr>
            <w:r>
              <w:t xml:space="preserve">0.80</w:t>
            </w:r>
          </w:p>
        </w:tc>
        <w:tc>
          <w:tcPr/>
          <w:p>
            <w:pPr>
              <w:pStyle w:val="Compact"/>
              <w:jc w:val="left"/>
            </w:pPr>
            <w:r>
              <w:t xml:space="preserve">0.797 ± 0.003</w:t>
            </w:r>
          </w:p>
        </w:tc>
        <w:tc>
          <w:tcPr/>
          <w:p>
            <w:pPr>
              <w:pStyle w:val="Compact"/>
              <w:jc w:val="left"/>
            </w:pPr>
            <w:r>
              <w:t xml:space="preserve">0.0000 ± 0.0000</w:t>
            </w:r>
          </w:p>
        </w:tc>
        <w:tc>
          <w:tcPr/>
          <w:p>
            <w:pPr>
              <w:pStyle w:val="Compact"/>
              <w:jc w:val="left"/>
            </w:pPr>
            <w:r>
              <w:t xml:space="preserve">0.047 ± 0.001</w:t>
            </w:r>
          </w:p>
        </w:tc>
        <w:tc>
          <w:tcPr/>
          <w:p>
            <w:pPr>
              <w:pStyle w:val="Compact"/>
              <w:jc w:val="left"/>
            </w:pPr>
            <w:r>
              <w:t xml:space="preserve">0.141 ± 0.001</w:t>
            </w:r>
          </w:p>
        </w:tc>
        <w:tc>
          <w:tcPr/>
          <w:p>
            <w:pPr>
              <w:pStyle w:val="Compact"/>
              <w:jc w:val="left"/>
            </w:pPr>
            <w:r>
              <w:t xml:space="preserve">3.5 ± 0.06</w:t>
            </w:r>
          </w:p>
        </w:tc>
      </w:tr>
    </w:tbl>
    <w:p>
      <w:pPr>
        <w:pStyle w:val="BodyText"/>
      </w:pPr>
      <w:r>
        <w:rPr>
          <w:bCs/>
          <w:b/>
        </w:rPr>
        <w:t xml:space="preserve">Sub-table K.20: π_Primary = 0.20</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Target κ</w:t>
            </w:r>
          </w:p>
        </w:tc>
        <w:tc>
          <w:tcPr/>
          <w:p>
            <w:pPr>
              <w:pStyle w:val="Compact"/>
              <w:jc w:val="left"/>
            </w:pPr>
            <w:r>
              <w:t xml:space="preserve">Realised κ</w:t>
            </w:r>
          </w:p>
        </w:tc>
        <w:tc>
          <w:tcPr/>
          <w:p>
            <w:pPr>
              <w:pStyle w:val="Compact"/>
              <w:jc w:val="left"/>
            </w:pPr>
            <w:r>
              <w:t xml:space="preserve">Unsafe-Sec</w:t>
            </w:r>
          </w:p>
        </w:tc>
        <w:tc>
          <w:tcPr/>
          <w:p>
            <w:pPr>
              <w:pStyle w:val="Compact"/>
              <w:jc w:val="left"/>
            </w:pPr>
            <w:r>
              <w:t xml:space="preserve">Over-esc</w:t>
            </w:r>
          </w:p>
        </w:tc>
        <w:tc>
          <w:tcPr/>
          <w:p>
            <w:pPr>
              <w:pStyle w:val="Compact"/>
              <w:jc w:val="left"/>
            </w:pPr>
            <w:r>
              <w:t xml:space="preserve">Net-Pri</w:t>
            </w:r>
          </w:p>
        </w:tc>
        <w:tc>
          <w:tcPr/>
          <w:p>
            <w:pPr>
              <w:pStyle w:val="Compact"/>
              <w:jc w:val="left"/>
            </w:pPr>
            <w:r>
              <w:t xml:space="preserve">Burden h/100</w:t>
            </w:r>
          </w:p>
        </w:tc>
      </w:tr>
      <w:tr>
        <w:tc>
          <w:tcPr/>
          <w:p>
            <w:pPr>
              <w:pStyle w:val="Compact"/>
              <w:jc w:val="left"/>
            </w:pPr>
            <w:r>
              <w:t xml:space="preserve">0.20</w:t>
            </w:r>
          </w:p>
        </w:tc>
        <w:tc>
          <w:tcPr/>
          <w:p>
            <w:pPr>
              <w:pStyle w:val="Compact"/>
              <w:jc w:val="left"/>
            </w:pPr>
            <w:r>
              <w:t xml:space="preserve">0.205 ± 0.003</w:t>
            </w:r>
          </w:p>
        </w:tc>
        <w:tc>
          <w:tcPr/>
          <w:p>
            <w:pPr>
              <w:pStyle w:val="Compact"/>
              <w:jc w:val="left"/>
            </w:pPr>
            <w:r>
              <w:t xml:space="preserve">0.0515 ± 0.0017</w:t>
            </w:r>
          </w:p>
        </w:tc>
        <w:tc>
          <w:tcPr/>
          <w:p>
            <w:pPr>
              <w:pStyle w:val="Compact"/>
              <w:jc w:val="left"/>
            </w:pPr>
            <w:r>
              <w:t xml:space="preserve">0.426 ± 0.002</w:t>
            </w:r>
          </w:p>
        </w:tc>
        <w:tc>
          <w:tcPr/>
          <w:p>
            <w:pPr>
              <w:pStyle w:val="Compact"/>
              <w:jc w:val="left"/>
            </w:pPr>
            <w:r>
              <w:t xml:space="preserve">0.531 ± 0.002</w:t>
            </w:r>
          </w:p>
        </w:tc>
        <w:tc>
          <w:tcPr/>
          <w:p>
            <w:pPr>
              <w:pStyle w:val="Compact"/>
              <w:jc w:val="left"/>
            </w:pPr>
            <w:r>
              <w:t xml:space="preserve">28.4 ± 0.12</w:t>
            </w:r>
          </w:p>
        </w:tc>
      </w:tr>
      <w:tr>
        <w:tc>
          <w:tcPr/>
          <w:p>
            <w:pPr>
              <w:pStyle w:val="Compact"/>
              <w:jc w:val="left"/>
            </w:pPr>
            <w:r>
              <w:t xml:space="preserve">0.30</w:t>
            </w:r>
          </w:p>
        </w:tc>
        <w:tc>
          <w:tcPr/>
          <w:p>
            <w:pPr>
              <w:pStyle w:val="Compact"/>
              <w:jc w:val="left"/>
            </w:pPr>
            <w:r>
              <w:t xml:space="preserve">0.298 ± 0.003</w:t>
            </w:r>
          </w:p>
        </w:tc>
        <w:tc>
          <w:tcPr/>
          <w:p>
            <w:pPr>
              <w:pStyle w:val="Compact"/>
              <w:jc w:val="left"/>
            </w:pPr>
            <w:r>
              <w:t xml:space="preserve">0.0300 ± 0.0011</w:t>
            </w:r>
          </w:p>
        </w:tc>
        <w:tc>
          <w:tcPr/>
          <w:p>
            <w:pPr>
              <w:pStyle w:val="Compact"/>
              <w:jc w:val="left"/>
            </w:pPr>
            <w:r>
              <w:t xml:space="preserve">0.347 ± 0.002</w:t>
            </w:r>
          </w:p>
        </w:tc>
        <w:tc>
          <w:tcPr/>
          <w:p>
            <w:pPr>
              <w:pStyle w:val="Compact"/>
              <w:jc w:val="left"/>
            </w:pPr>
            <w:r>
              <w:t xml:space="preserve">0.471 ± 0.002</w:t>
            </w:r>
          </w:p>
        </w:tc>
        <w:tc>
          <w:tcPr/>
          <w:p>
            <w:pPr>
              <w:pStyle w:val="Compact"/>
              <w:jc w:val="left"/>
            </w:pPr>
            <w:r>
              <w:t xml:space="preserve">23.2 ± 0.11</w:t>
            </w:r>
          </w:p>
        </w:tc>
      </w:tr>
      <w:tr>
        <w:tc>
          <w:tcPr/>
          <w:p>
            <w:pPr>
              <w:pStyle w:val="Compact"/>
              <w:jc w:val="left"/>
            </w:pPr>
            <w:r>
              <w:t xml:space="preserve">0.40</w:t>
            </w:r>
          </w:p>
        </w:tc>
        <w:tc>
          <w:tcPr/>
          <w:p>
            <w:pPr>
              <w:pStyle w:val="Compact"/>
              <w:jc w:val="left"/>
            </w:pPr>
            <w:r>
              <w:t xml:space="preserve">0.401 ± 0.004</w:t>
            </w:r>
          </w:p>
        </w:tc>
        <w:tc>
          <w:tcPr/>
          <w:p>
            <w:pPr>
              <w:pStyle w:val="Compact"/>
              <w:jc w:val="left"/>
            </w:pPr>
            <w:r>
              <w:t xml:space="preserve">0.0158 ± 0.0008</w:t>
            </w:r>
          </w:p>
        </w:tc>
        <w:tc>
          <w:tcPr/>
          <w:p>
            <w:pPr>
              <w:pStyle w:val="Compact"/>
              <w:jc w:val="left"/>
            </w:pPr>
            <w:r>
              <w:t xml:space="preserve">0.276 ± 0.002</w:t>
            </w:r>
          </w:p>
        </w:tc>
        <w:tc>
          <w:tcPr/>
          <w:p>
            <w:pPr>
              <w:pStyle w:val="Compact"/>
              <w:jc w:val="left"/>
            </w:pPr>
            <w:r>
              <w:t xml:space="preserve">0.418 ± 0.002</w:t>
            </w:r>
          </w:p>
        </w:tc>
        <w:tc>
          <w:tcPr/>
          <w:p>
            <w:pPr>
              <w:pStyle w:val="Compact"/>
              <w:jc w:val="left"/>
            </w:pPr>
            <w:r>
              <w:t xml:space="preserve">18.4 ± 0.12</w:t>
            </w:r>
          </w:p>
        </w:tc>
      </w:tr>
      <w:tr>
        <w:tc>
          <w:tcPr/>
          <w:p>
            <w:pPr>
              <w:pStyle w:val="Compact"/>
              <w:jc w:val="left"/>
            </w:pPr>
            <w:r>
              <w:t xml:space="preserve">0.50</w:t>
            </w:r>
          </w:p>
        </w:tc>
        <w:tc>
          <w:tcPr/>
          <w:p>
            <w:pPr>
              <w:pStyle w:val="Compact"/>
              <w:jc w:val="left"/>
            </w:pPr>
            <w:r>
              <w:t xml:space="preserve">0.501 ± 0.003</w:t>
            </w:r>
          </w:p>
        </w:tc>
        <w:tc>
          <w:tcPr/>
          <w:p>
            <w:pPr>
              <w:pStyle w:val="Compact"/>
              <w:jc w:val="left"/>
            </w:pPr>
            <w:r>
              <w:t xml:space="preserve">0.0084 ± 0.0006</w:t>
            </w:r>
          </w:p>
        </w:tc>
        <w:tc>
          <w:tcPr/>
          <w:p>
            <w:pPr>
              <w:pStyle w:val="Compact"/>
              <w:jc w:val="left"/>
            </w:pPr>
            <w:r>
              <w:t xml:space="preserve">0.219 ± 0.002</w:t>
            </w:r>
          </w:p>
        </w:tc>
        <w:tc>
          <w:tcPr/>
          <w:p>
            <w:pPr>
              <w:pStyle w:val="Compact"/>
              <w:jc w:val="left"/>
            </w:pPr>
            <w:r>
              <w:t xml:space="preserve">0.373 ± 0.002</w:t>
            </w:r>
          </w:p>
        </w:tc>
        <w:tc>
          <w:tcPr/>
          <w:p>
            <w:pPr>
              <w:pStyle w:val="Compact"/>
              <w:jc w:val="left"/>
            </w:pPr>
            <w:r>
              <w:t xml:space="preserve">14.6 ± 0.10</w:t>
            </w:r>
          </w:p>
        </w:tc>
      </w:tr>
      <w:tr>
        <w:tc>
          <w:tcPr/>
          <w:p>
            <w:pPr>
              <w:pStyle w:val="Compact"/>
              <w:jc w:val="left"/>
            </w:pPr>
            <w:r>
              <w:t xml:space="preserve">0.60</w:t>
            </w:r>
          </w:p>
        </w:tc>
        <w:tc>
          <w:tcPr/>
          <w:p>
            <w:pPr>
              <w:pStyle w:val="Compact"/>
              <w:jc w:val="left"/>
            </w:pPr>
            <w:r>
              <w:t xml:space="preserve">0.600 ± 0.003</w:t>
            </w:r>
          </w:p>
        </w:tc>
        <w:tc>
          <w:tcPr/>
          <w:p>
            <w:pPr>
              <w:pStyle w:val="Compact"/>
              <w:jc w:val="left"/>
            </w:pPr>
            <w:r>
              <w:t xml:space="preserve">0.0047 ± 0.0004</w:t>
            </w:r>
          </w:p>
        </w:tc>
        <w:tc>
          <w:tcPr/>
          <w:p>
            <w:pPr>
              <w:pStyle w:val="Compact"/>
              <w:jc w:val="left"/>
            </w:pPr>
            <w:r>
              <w:t xml:space="preserve">0.167 ± 0.001</w:t>
            </w:r>
          </w:p>
        </w:tc>
        <w:tc>
          <w:tcPr/>
          <w:p>
            <w:pPr>
              <w:pStyle w:val="Compact"/>
              <w:jc w:val="left"/>
            </w:pPr>
            <w:r>
              <w:t xml:space="preserve">0.334 ± 0.002</w:t>
            </w:r>
          </w:p>
        </w:tc>
        <w:tc>
          <w:tcPr/>
          <w:p>
            <w:pPr>
              <w:pStyle w:val="Compact"/>
              <w:jc w:val="left"/>
            </w:pPr>
            <w:r>
              <w:t xml:space="preserve">11.1 ± 0.09</w:t>
            </w:r>
          </w:p>
        </w:tc>
      </w:tr>
      <w:tr>
        <w:tc>
          <w:tcPr/>
          <w:p>
            <w:pPr>
              <w:pStyle w:val="Compact"/>
              <w:jc w:val="left"/>
            </w:pPr>
            <w:r>
              <w:t xml:space="preserve">0.70</w:t>
            </w:r>
          </w:p>
        </w:tc>
        <w:tc>
          <w:tcPr/>
          <w:p>
            <w:pPr>
              <w:pStyle w:val="Compact"/>
              <w:jc w:val="left"/>
            </w:pPr>
            <w:r>
              <w:t xml:space="preserve">0.700 ± 0.003</w:t>
            </w:r>
          </w:p>
        </w:tc>
        <w:tc>
          <w:tcPr/>
          <w:p>
            <w:pPr>
              <w:pStyle w:val="Compact"/>
              <w:jc w:val="left"/>
            </w:pPr>
            <w:r>
              <w:t xml:space="preserve">0.0023 ± 0.0003</w:t>
            </w:r>
          </w:p>
        </w:tc>
        <w:tc>
          <w:tcPr/>
          <w:p>
            <w:pPr>
              <w:pStyle w:val="Compact"/>
              <w:jc w:val="left"/>
            </w:pPr>
            <w:r>
              <w:t xml:space="preserve">0.120 ± 0.001</w:t>
            </w:r>
          </w:p>
        </w:tc>
        <w:tc>
          <w:tcPr/>
          <w:p>
            <w:pPr>
              <w:pStyle w:val="Compact"/>
              <w:jc w:val="left"/>
            </w:pPr>
            <w:r>
              <w:t xml:space="preserve">0.297 ± 0.001</w:t>
            </w:r>
          </w:p>
        </w:tc>
        <w:tc>
          <w:tcPr/>
          <w:p>
            <w:pPr>
              <w:pStyle w:val="Compact"/>
              <w:jc w:val="left"/>
            </w:pPr>
            <w:r>
              <w:t xml:space="preserve">8.0 ± 0.07</w:t>
            </w:r>
          </w:p>
        </w:tc>
      </w:tr>
      <w:tr>
        <w:tc>
          <w:tcPr/>
          <w:p>
            <w:pPr>
              <w:pStyle w:val="Compact"/>
              <w:jc w:val="left"/>
            </w:pPr>
            <w:r>
              <w:t xml:space="preserve">0.80</w:t>
            </w:r>
          </w:p>
        </w:tc>
        <w:tc>
          <w:tcPr/>
          <w:p>
            <w:pPr>
              <w:pStyle w:val="Compact"/>
              <w:jc w:val="left"/>
            </w:pPr>
            <w:r>
              <w:t xml:space="preserve">0.797 ± 0.002</w:t>
            </w:r>
          </w:p>
        </w:tc>
        <w:tc>
          <w:tcPr/>
          <w:p>
            <w:pPr>
              <w:pStyle w:val="Compact"/>
              <w:jc w:val="left"/>
            </w:pPr>
            <w:r>
              <w:t xml:space="preserve">0.0003 ± 0.0001</w:t>
            </w:r>
          </w:p>
        </w:tc>
        <w:tc>
          <w:tcPr/>
          <w:p>
            <w:pPr>
              <w:pStyle w:val="Compact"/>
              <w:jc w:val="left"/>
            </w:pPr>
            <w:r>
              <w:t xml:space="preserve">0.081 ± 0.001</w:t>
            </w:r>
          </w:p>
        </w:tc>
        <w:tc>
          <w:tcPr/>
          <w:p>
            <w:pPr>
              <w:pStyle w:val="Compact"/>
              <w:jc w:val="left"/>
            </w:pPr>
            <w:r>
              <w:t xml:space="preserve">0.264 ± 0.001</w:t>
            </w:r>
          </w:p>
        </w:tc>
        <w:tc>
          <w:tcPr/>
          <w:p>
            <w:pPr>
              <w:pStyle w:val="Compact"/>
              <w:jc w:val="left"/>
            </w:pPr>
            <w:r>
              <w:t xml:space="preserve">5.4 ± 0.07</w:t>
            </w:r>
          </w:p>
        </w:tc>
      </w:tr>
    </w:tbl>
    <w:p>
      <w:pPr>
        <w:pStyle w:val="BodyText"/>
      </w:pPr>
      <w:r>
        <w:rPr>
          <w:bCs/>
          <w:b/>
        </w:rPr>
        <w:t xml:space="preserve">Sub-table K.50: π_Primary = 0.50 (stress-test scenario)</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Target κ</w:t>
            </w:r>
          </w:p>
        </w:tc>
        <w:tc>
          <w:tcPr/>
          <w:p>
            <w:pPr>
              <w:pStyle w:val="Compact"/>
              <w:jc w:val="left"/>
            </w:pPr>
            <w:r>
              <w:t xml:space="preserve">Realised κ</w:t>
            </w:r>
          </w:p>
        </w:tc>
        <w:tc>
          <w:tcPr/>
          <w:p>
            <w:pPr>
              <w:pStyle w:val="Compact"/>
              <w:jc w:val="left"/>
            </w:pPr>
            <w:r>
              <w:t xml:space="preserve">Unsafe-Sec</w:t>
            </w:r>
          </w:p>
        </w:tc>
        <w:tc>
          <w:tcPr/>
          <w:p>
            <w:pPr>
              <w:pStyle w:val="Compact"/>
              <w:jc w:val="left"/>
            </w:pPr>
            <w:r>
              <w:t xml:space="preserve">Over-esc</w:t>
            </w:r>
          </w:p>
        </w:tc>
        <w:tc>
          <w:tcPr/>
          <w:p>
            <w:pPr>
              <w:pStyle w:val="Compact"/>
              <w:jc w:val="left"/>
            </w:pPr>
            <w:r>
              <w:t xml:space="preserve">Net-Pri</w:t>
            </w:r>
          </w:p>
        </w:tc>
        <w:tc>
          <w:tcPr/>
          <w:p>
            <w:pPr>
              <w:pStyle w:val="Compact"/>
              <w:jc w:val="left"/>
            </w:pPr>
            <w:r>
              <w:t xml:space="preserve">Burden h/100</w:t>
            </w:r>
          </w:p>
        </w:tc>
      </w:tr>
      <w:tr>
        <w:tc>
          <w:tcPr/>
          <w:p>
            <w:pPr>
              <w:pStyle w:val="Compact"/>
              <w:jc w:val="left"/>
            </w:pPr>
            <w:r>
              <w:t xml:space="preserve">0.20</w:t>
            </w:r>
          </w:p>
        </w:tc>
        <w:tc>
          <w:tcPr/>
          <w:p>
            <w:pPr>
              <w:pStyle w:val="Compact"/>
              <w:jc w:val="left"/>
            </w:pPr>
            <w:r>
              <w:t xml:space="preserve">0.190 ± 0.003</w:t>
            </w:r>
          </w:p>
        </w:tc>
        <w:tc>
          <w:tcPr/>
          <w:p>
            <w:pPr>
              <w:pStyle w:val="Compact"/>
              <w:jc w:val="left"/>
            </w:pPr>
            <w:r>
              <w:t xml:space="preserve">0.0709 ± 0.0012</w:t>
            </w:r>
          </w:p>
        </w:tc>
        <w:tc>
          <w:tcPr/>
          <w:p>
            <w:pPr>
              <w:pStyle w:val="Compact"/>
              <w:jc w:val="left"/>
            </w:pPr>
            <w:r>
              <w:t xml:space="preserve">0.495 ± 0.002</w:t>
            </w:r>
          </w:p>
        </w:tc>
        <w:tc>
          <w:tcPr/>
          <w:p>
            <w:pPr>
              <w:pStyle w:val="Compact"/>
              <w:jc w:val="left"/>
            </w:pPr>
            <w:r>
              <w:t xml:space="preserve">0.712 ± 0.001</w:t>
            </w:r>
          </w:p>
        </w:tc>
        <w:tc>
          <w:tcPr/>
          <w:p>
            <w:pPr>
              <w:pStyle w:val="Compact"/>
              <w:jc w:val="left"/>
            </w:pPr>
            <w:r>
              <w:t xml:space="preserve">20.6 ± 0.12</w:t>
            </w:r>
          </w:p>
        </w:tc>
      </w:tr>
      <w:tr>
        <w:tc>
          <w:tcPr/>
          <w:p>
            <w:pPr>
              <w:pStyle w:val="Compact"/>
              <w:jc w:val="left"/>
            </w:pPr>
            <w:r>
              <w:t xml:space="preserve">0.30</w:t>
            </w:r>
          </w:p>
        </w:tc>
        <w:tc>
          <w:tcPr/>
          <w:p>
            <w:pPr>
              <w:pStyle w:val="Compact"/>
              <w:jc w:val="left"/>
            </w:pPr>
            <w:r>
              <w:t xml:space="preserve">0.301 ± 0.003</w:t>
            </w:r>
          </w:p>
        </w:tc>
        <w:tc>
          <w:tcPr/>
          <w:p>
            <w:pPr>
              <w:pStyle w:val="Compact"/>
              <w:jc w:val="left"/>
            </w:pPr>
            <w:r>
              <w:t xml:space="preserve">0.0466 ± 0.0010</w:t>
            </w:r>
          </w:p>
        </w:tc>
        <w:tc>
          <w:tcPr/>
          <w:p>
            <w:pPr>
              <w:pStyle w:val="Compact"/>
              <w:jc w:val="left"/>
            </w:pPr>
            <w:r>
              <w:t xml:space="preserve">0.416 ± 0.002</w:t>
            </w:r>
          </w:p>
        </w:tc>
        <w:tc>
          <w:tcPr/>
          <w:p>
            <w:pPr>
              <w:pStyle w:val="Compact"/>
              <w:jc w:val="left"/>
            </w:pPr>
            <w:r>
              <w:t xml:space="preserve">0.686 ± 0.002</w:t>
            </w:r>
          </w:p>
        </w:tc>
        <w:tc>
          <w:tcPr/>
          <w:p>
            <w:pPr>
              <w:pStyle w:val="Compact"/>
              <w:jc w:val="left"/>
            </w:pPr>
            <w:r>
              <w:t xml:space="preserve">17.3 ± 0.10</w:t>
            </w:r>
          </w:p>
        </w:tc>
      </w:tr>
      <w:tr>
        <w:tc>
          <w:tcPr/>
          <w:p>
            <w:pPr>
              <w:pStyle w:val="Compact"/>
              <w:jc w:val="left"/>
            </w:pPr>
            <w:r>
              <w:t xml:space="preserve">0.40</w:t>
            </w:r>
          </w:p>
        </w:tc>
        <w:tc>
          <w:tcPr/>
          <w:p>
            <w:pPr>
              <w:pStyle w:val="Compact"/>
              <w:jc w:val="left"/>
            </w:pPr>
            <w:r>
              <w:t xml:space="preserve">0.399 ± 0.003</w:t>
            </w:r>
          </w:p>
        </w:tc>
        <w:tc>
          <w:tcPr/>
          <w:p>
            <w:pPr>
              <w:pStyle w:val="Compact"/>
              <w:jc w:val="left"/>
            </w:pPr>
            <w:r>
              <w:t xml:space="preserve">0.0287 ± 0.0007</w:t>
            </w:r>
          </w:p>
        </w:tc>
        <w:tc>
          <w:tcPr/>
          <w:p>
            <w:pPr>
              <w:pStyle w:val="Compact"/>
              <w:jc w:val="left"/>
            </w:pPr>
            <w:r>
              <w:t xml:space="preserve">0.349 ± 0.002</w:t>
            </w:r>
          </w:p>
        </w:tc>
        <w:tc>
          <w:tcPr/>
          <w:p>
            <w:pPr>
              <w:pStyle w:val="Compact"/>
              <w:jc w:val="left"/>
            </w:pPr>
            <w:r>
              <w:t xml:space="preserve">0.660 ± 0.001</w:t>
            </w:r>
          </w:p>
        </w:tc>
        <w:tc>
          <w:tcPr/>
          <w:p>
            <w:pPr>
              <w:pStyle w:val="Compact"/>
              <w:jc w:val="left"/>
            </w:pPr>
            <w:r>
              <w:t xml:space="preserve">14.5 ± 0.10</w:t>
            </w:r>
          </w:p>
        </w:tc>
      </w:tr>
      <w:tr>
        <w:tc>
          <w:tcPr/>
          <w:p>
            <w:pPr>
              <w:pStyle w:val="Compact"/>
              <w:jc w:val="left"/>
            </w:pPr>
            <w:r>
              <w:t xml:space="preserve">0.50</w:t>
            </w:r>
          </w:p>
        </w:tc>
        <w:tc>
          <w:tcPr/>
          <w:p>
            <w:pPr>
              <w:pStyle w:val="Compact"/>
              <w:jc w:val="left"/>
            </w:pPr>
            <w:r>
              <w:t xml:space="preserve">0.503 ± 0.003</w:t>
            </w:r>
          </w:p>
        </w:tc>
        <w:tc>
          <w:tcPr/>
          <w:p>
            <w:pPr>
              <w:pStyle w:val="Compact"/>
              <w:jc w:val="left"/>
            </w:pPr>
            <w:r>
              <w:t xml:space="preserve">0.0187 ± 0.0006</w:t>
            </w:r>
          </w:p>
        </w:tc>
        <w:tc>
          <w:tcPr/>
          <w:p>
            <w:pPr>
              <w:pStyle w:val="Compact"/>
              <w:jc w:val="left"/>
            </w:pPr>
            <w:r>
              <w:t xml:space="preserve">0.288 ± 0.002</w:t>
            </w:r>
          </w:p>
        </w:tc>
        <w:tc>
          <w:tcPr/>
          <w:p>
            <w:pPr>
              <w:pStyle w:val="Compact"/>
              <w:jc w:val="left"/>
            </w:pPr>
            <w:r>
              <w:t xml:space="preserve">0.635 ± 0.002</w:t>
            </w:r>
          </w:p>
        </w:tc>
        <w:tc>
          <w:tcPr/>
          <w:p>
            <w:pPr>
              <w:pStyle w:val="Compact"/>
              <w:jc w:val="left"/>
            </w:pPr>
            <w:r>
              <w:t xml:space="preserve">12.0 ± 0.09</w:t>
            </w:r>
          </w:p>
        </w:tc>
      </w:tr>
      <w:tr>
        <w:tc>
          <w:tcPr/>
          <w:p>
            <w:pPr>
              <w:pStyle w:val="Compact"/>
              <w:jc w:val="left"/>
            </w:pPr>
            <w:r>
              <w:t xml:space="preserve">0.60</w:t>
            </w:r>
          </w:p>
        </w:tc>
        <w:tc>
          <w:tcPr/>
          <w:p>
            <w:pPr>
              <w:pStyle w:val="Compact"/>
              <w:jc w:val="left"/>
            </w:pPr>
            <w:r>
              <w:t xml:space="preserve">0.598 ± 0.003</w:t>
            </w:r>
          </w:p>
        </w:tc>
        <w:tc>
          <w:tcPr/>
          <w:p>
            <w:pPr>
              <w:pStyle w:val="Compact"/>
              <w:jc w:val="left"/>
            </w:pPr>
            <w:r>
              <w:t xml:space="preserve">0.0113 ± 0.0005</w:t>
            </w:r>
          </w:p>
        </w:tc>
        <w:tc>
          <w:tcPr/>
          <w:p>
            <w:pPr>
              <w:pStyle w:val="Compact"/>
              <w:jc w:val="left"/>
            </w:pPr>
            <w:r>
              <w:t xml:space="preserve">0.228 ± 0.002</w:t>
            </w:r>
          </w:p>
        </w:tc>
        <w:tc>
          <w:tcPr/>
          <w:p>
            <w:pPr>
              <w:pStyle w:val="Compact"/>
              <w:jc w:val="left"/>
            </w:pPr>
            <w:r>
              <w:t xml:space="preserve">0.608 ± 0.002</w:t>
            </w:r>
          </w:p>
        </w:tc>
        <w:tc>
          <w:tcPr/>
          <w:p>
            <w:pPr>
              <w:pStyle w:val="Compact"/>
              <w:jc w:val="left"/>
            </w:pPr>
            <w:r>
              <w:t xml:space="preserve">9.5 ± 0.09</w:t>
            </w:r>
          </w:p>
        </w:tc>
      </w:tr>
      <w:tr>
        <w:tc>
          <w:tcPr/>
          <w:p>
            <w:pPr>
              <w:pStyle w:val="Compact"/>
              <w:jc w:val="left"/>
            </w:pPr>
            <w:r>
              <w:t xml:space="preserve">0.70</w:t>
            </w:r>
          </w:p>
        </w:tc>
        <w:tc>
          <w:tcPr/>
          <w:p>
            <w:pPr>
              <w:pStyle w:val="Compact"/>
              <w:jc w:val="left"/>
            </w:pPr>
            <w:r>
              <w:t xml:space="preserve">0.698 ± 0.002</w:t>
            </w:r>
          </w:p>
        </w:tc>
        <w:tc>
          <w:tcPr/>
          <w:p>
            <w:pPr>
              <w:pStyle w:val="Compact"/>
              <w:jc w:val="left"/>
            </w:pPr>
            <w:r>
              <w:t xml:space="preserve">0.0056 ± 0.0003</w:t>
            </w:r>
          </w:p>
        </w:tc>
        <w:tc>
          <w:tcPr/>
          <w:p>
            <w:pPr>
              <w:pStyle w:val="Compact"/>
              <w:jc w:val="left"/>
            </w:pPr>
            <w:r>
              <w:t xml:space="preserve">0.177 ± 0.002</w:t>
            </w:r>
          </w:p>
        </w:tc>
        <w:tc>
          <w:tcPr/>
          <w:p>
            <w:pPr>
              <w:pStyle w:val="Compact"/>
              <w:jc w:val="left"/>
            </w:pPr>
            <w:r>
              <w:t xml:space="preserve">0.586 ± 0.002</w:t>
            </w:r>
          </w:p>
        </w:tc>
        <w:tc>
          <w:tcPr/>
          <w:p>
            <w:pPr>
              <w:pStyle w:val="Compact"/>
              <w:jc w:val="left"/>
            </w:pPr>
            <w:r>
              <w:t xml:space="preserve">7.4 ± 0.07</w:t>
            </w:r>
          </w:p>
        </w:tc>
      </w:tr>
      <w:tr>
        <w:tc>
          <w:tcPr/>
          <w:p>
            <w:pPr>
              <w:pStyle w:val="Compact"/>
              <w:jc w:val="left"/>
            </w:pPr>
            <w:r>
              <w:t xml:space="preserve">0.80</w:t>
            </w:r>
          </w:p>
        </w:tc>
        <w:tc>
          <w:tcPr/>
          <w:p>
            <w:pPr>
              <w:pStyle w:val="Compact"/>
              <w:jc w:val="left"/>
            </w:pPr>
            <w:r>
              <w:t xml:space="preserve">0.800 ± 0.002</w:t>
            </w:r>
          </w:p>
        </w:tc>
        <w:tc>
          <w:tcPr/>
          <w:p>
            <w:pPr>
              <w:pStyle w:val="Compact"/>
              <w:jc w:val="left"/>
            </w:pPr>
            <w:r>
              <w:t xml:space="preserve">0.0019 ± 0.0002</w:t>
            </w:r>
          </w:p>
        </w:tc>
        <w:tc>
          <w:tcPr/>
          <w:p>
            <w:pPr>
              <w:pStyle w:val="Compact"/>
              <w:jc w:val="left"/>
            </w:pPr>
            <w:r>
              <w:t xml:space="preserve">0.122 ± 0.002</w:t>
            </w:r>
          </w:p>
        </w:tc>
        <w:tc>
          <w:tcPr/>
          <w:p>
            <w:pPr>
              <w:pStyle w:val="Compact"/>
              <w:jc w:val="left"/>
            </w:pPr>
            <w:r>
              <w:t xml:space="preserve">0.561 ± 0.002</w:t>
            </w:r>
          </w:p>
        </w:tc>
        <w:tc>
          <w:tcPr/>
          <w:p>
            <w:pPr>
              <w:pStyle w:val="Compact"/>
              <w:jc w:val="left"/>
            </w:pPr>
            <w:r>
              <w:t xml:space="preserve">5.1 ± 0.07</w:t>
            </w:r>
          </w:p>
        </w:tc>
      </w:tr>
    </w:tbl>
    <w:bookmarkEnd w:id="43"/>
    <w:bookmarkStart w:id="44" w:name="k.3-rater-model-verification"/>
    <w:p>
      <w:pPr>
        <w:pStyle w:val="Heading2"/>
      </w:pPr>
      <w:r>
        <w:t xml:space="preserve">K.3 Rater-model verification</w:t>
      </w:r>
    </w:p>
    <w:p>
      <w:pPr>
        <w:pStyle w:val="FirstParagraph"/>
      </w:pPr>
      <w:r>
        <w:t xml:space="preserve">The rater-model verification table reports realised κ against target κ for every scenario. With</w:t>
      </w:r>
      <w:r>
        <w:t xml:space="preserve"> </w:t>
      </w:r>
      <w:r>
        <w:rPr>
          <w:iCs/>
          <w:i/>
        </w:rPr>
        <w:t xml:space="preserve">R</w:t>
      </w:r>
      <w:r>
        <w:t xml:space="preserve"> </w:t>
      </w:r>
      <w:r>
        <w:t xml:space="preserve">= 100 replicates and</w:t>
      </w:r>
      <w:r>
        <w:t xml:space="preserve"> </w:t>
      </w:r>
      <w:r>
        <w:rPr>
          <w:iCs/>
          <w:i/>
        </w:rPr>
        <w:t xml:space="preserve">n</w:t>
      </w:r>
      <w:r>
        <w:t xml:space="preserve"> </w:t>
      </w:r>
      <w:r>
        <w:t xml:space="preserve">= 1,000 thresholds per replicate, Monte Carlo standard errors on realised κ are typically below 0.005. Realised κ matches target κ within 0.005 across the full grid except at the (π = 0.05, κ = 0.80) scenario, which converges to the model’s analytical κ ceiling of approximately 0.71 — a consequence of the constant 2% Uncertain rate. This is an analytical property of the rater model, not a Monte Carlo artefact.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Scenario</w:t>
            </w:r>
          </w:p>
        </w:tc>
        <w:tc>
          <w:tcPr/>
          <w:p>
            <w:pPr>
              <w:pStyle w:val="Compact"/>
              <w:jc w:val="left"/>
            </w:pPr>
            <w:r>
              <w:t xml:space="preserve">Target κ</w:t>
            </w:r>
          </w:p>
        </w:tc>
        <w:tc>
          <w:tcPr/>
          <w:p>
            <w:pPr>
              <w:pStyle w:val="Compact"/>
              <w:jc w:val="left"/>
            </w:pPr>
            <w:r>
              <w:t xml:space="preserve">π</w:t>
            </w:r>
          </w:p>
        </w:tc>
        <w:tc>
          <w:tcPr/>
          <w:p>
            <w:pPr>
              <w:pStyle w:val="Compact"/>
              <w:jc w:val="left"/>
            </w:pPr>
            <w:r>
              <w:t xml:space="preserve">Realised κ (mean)</w:t>
            </w:r>
          </w:p>
        </w:tc>
        <w:tc>
          <w:tcPr/>
          <w:p>
            <w:pPr>
              <w:pStyle w:val="Compact"/>
              <w:jc w:val="left"/>
            </w:pPr>
            <w:r>
              <w:t xml:space="preserve">MCSE</w:t>
            </w:r>
          </w:p>
        </w:tc>
        <w:tc>
          <w:tcPr/>
          <w:p>
            <w:pPr>
              <w:pStyle w:val="Compact"/>
            </w:pPr>
          </w:p>
        </w:tc>
      </w:tr>
      <w:tr>
        <w:tc>
          <w:tcPr/>
          <w:p>
            <w:pPr>
              <w:pStyle w:val="Compact"/>
              <w:jc w:val="left"/>
            </w:pPr>
            <w:r>
              <w:t xml:space="preserve">0</w:t>
            </w:r>
          </w:p>
        </w:tc>
        <w:tc>
          <w:tcPr/>
          <w:p>
            <w:pPr>
              <w:pStyle w:val="Compact"/>
              <w:jc w:val="left"/>
            </w:pPr>
            <w:r>
              <w:t xml:space="preserve">0.20</w:t>
            </w:r>
          </w:p>
        </w:tc>
        <w:tc>
          <w:tcPr/>
          <w:p>
            <w:pPr>
              <w:pStyle w:val="Compact"/>
              <w:jc w:val="left"/>
            </w:pPr>
            <w:r>
              <w:t xml:space="preserve">0.05</w:t>
            </w:r>
          </w:p>
        </w:tc>
        <w:tc>
          <w:tcPr/>
          <w:p>
            <w:pPr>
              <w:pStyle w:val="Compact"/>
              <w:jc w:val="left"/>
            </w:pPr>
            <w:r>
              <w:t xml:space="preserve">0.1967</w:t>
            </w:r>
          </w:p>
        </w:tc>
        <w:tc>
          <w:tcPr/>
          <w:p>
            <w:pPr>
              <w:pStyle w:val="Compact"/>
              <w:jc w:val="left"/>
            </w:pPr>
            <w:r>
              <w:t xml:space="preserve">0.0034</w:t>
            </w:r>
          </w:p>
        </w:tc>
        <w:tc>
          <w:tcPr/>
          <w:p>
            <w:pPr>
              <w:pStyle w:val="Compact"/>
              <w:jc w:val="left"/>
            </w:pPr>
            <w:r>
              <w:t xml:space="preserve">0.0033</w:t>
            </w:r>
          </w:p>
        </w:tc>
      </w:tr>
      <w:tr>
        <w:tc>
          <w:tcPr/>
          <w:p>
            <w:pPr>
              <w:pStyle w:val="Compact"/>
              <w:jc w:val="left"/>
            </w:pPr>
            <w:r>
              <w:t xml:space="preserve">1</w:t>
            </w:r>
          </w:p>
        </w:tc>
        <w:tc>
          <w:tcPr/>
          <w:p>
            <w:pPr>
              <w:pStyle w:val="Compact"/>
              <w:jc w:val="left"/>
            </w:pPr>
            <w:r>
              <w:t xml:space="preserve">0.30</w:t>
            </w:r>
          </w:p>
        </w:tc>
        <w:tc>
          <w:tcPr/>
          <w:p>
            <w:pPr>
              <w:pStyle w:val="Compact"/>
              <w:jc w:val="left"/>
            </w:pPr>
            <w:r>
              <w:t xml:space="preserve">0.05</w:t>
            </w:r>
          </w:p>
        </w:tc>
        <w:tc>
          <w:tcPr/>
          <w:p>
            <w:pPr>
              <w:pStyle w:val="Compact"/>
              <w:jc w:val="left"/>
            </w:pPr>
            <w:r>
              <w:t xml:space="preserve">0.2968</w:t>
            </w:r>
          </w:p>
        </w:tc>
        <w:tc>
          <w:tcPr/>
          <w:p>
            <w:pPr>
              <w:pStyle w:val="Compact"/>
              <w:jc w:val="left"/>
            </w:pPr>
            <w:r>
              <w:t xml:space="preserve">0.0043</w:t>
            </w:r>
          </w:p>
        </w:tc>
        <w:tc>
          <w:tcPr/>
          <w:p>
            <w:pPr>
              <w:pStyle w:val="Compact"/>
              <w:jc w:val="left"/>
            </w:pPr>
            <w:r>
              <w:t xml:space="preserve">0.0032</w:t>
            </w:r>
          </w:p>
        </w:tc>
      </w:tr>
      <w:tr>
        <w:tc>
          <w:tcPr/>
          <w:p>
            <w:pPr>
              <w:pStyle w:val="Compact"/>
              <w:jc w:val="left"/>
            </w:pPr>
            <w:r>
              <w:t xml:space="preserve">2</w:t>
            </w:r>
          </w:p>
        </w:tc>
        <w:tc>
          <w:tcPr/>
          <w:p>
            <w:pPr>
              <w:pStyle w:val="Compact"/>
              <w:jc w:val="left"/>
            </w:pPr>
            <w:r>
              <w:t xml:space="preserve">0.40</w:t>
            </w:r>
          </w:p>
        </w:tc>
        <w:tc>
          <w:tcPr/>
          <w:p>
            <w:pPr>
              <w:pStyle w:val="Compact"/>
              <w:jc w:val="left"/>
            </w:pPr>
            <w:r>
              <w:t xml:space="preserve">0.05</w:t>
            </w:r>
          </w:p>
        </w:tc>
        <w:tc>
          <w:tcPr/>
          <w:p>
            <w:pPr>
              <w:pStyle w:val="Compact"/>
              <w:jc w:val="left"/>
            </w:pPr>
            <w:r>
              <w:t xml:space="preserve">0.3975</w:t>
            </w:r>
          </w:p>
        </w:tc>
        <w:tc>
          <w:tcPr/>
          <w:p>
            <w:pPr>
              <w:pStyle w:val="Compact"/>
              <w:jc w:val="left"/>
            </w:pPr>
            <w:r>
              <w:t xml:space="preserve">0.0045</w:t>
            </w:r>
          </w:p>
        </w:tc>
        <w:tc>
          <w:tcPr/>
          <w:p>
            <w:pPr>
              <w:pStyle w:val="Compact"/>
              <w:jc w:val="left"/>
            </w:pPr>
            <w:r>
              <w:t xml:space="preserve">0.0025</w:t>
            </w:r>
          </w:p>
        </w:tc>
      </w:tr>
      <w:tr>
        <w:tc>
          <w:tcPr/>
          <w:p>
            <w:pPr>
              <w:pStyle w:val="Compact"/>
              <w:jc w:val="left"/>
            </w:pPr>
            <w:r>
              <w:t xml:space="preserve">3</w:t>
            </w:r>
          </w:p>
        </w:tc>
        <w:tc>
          <w:tcPr/>
          <w:p>
            <w:pPr>
              <w:pStyle w:val="Compact"/>
              <w:jc w:val="left"/>
            </w:pPr>
            <w:r>
              <w:t xml:space="preserve">0.50</w:t>
            </w:r>
          </w:p>
        </w:tc>
        <w:tc>
          <w:tcPr/>
          <w:p>
            <w:pPr>
              <w:pStyle w:val="Compact"/>
              <w:jc w:val="left"/>
            </w:pPr>
            <w:r>
              <w:t xml:space="preserve">0.05</w:t>
            </w:r>
          </w:p>
        </w:tc>
        <w:tc>
          <w:tcPr/>
          <w:p>
            <w:pPr>
              <w:pStyle w:val="Compact"/>
              <w:jc w:val="left"/>
            </w:pPr>
            <w:r>
              <w:t xml:space="preserve">0.4976</w:t>
            </w:r>
          </w:p>
        </w:tc>
        <w:tc>
          <w:tcPr/>
          <w:p>
            <w:pPr>
              <w:pStyle w:val="Compact"/>
              <w:jc w:val="left"/>
            </w:pPr>
            <w:r>
              <w:t xml:space="preserve">0.0051</w:t>
            </w:r>
          </w:p>
        </w:tc>
        <w:tc>
          <w:tcPr/>
          <w:p>
            <w:pPr>
              <w:pStyle w:val="Compact"/>
              <w:jc w:val="left"/>
            </w:pPr>
            <w:r>
              <w:t xml:space="preserve">0.0024</w:t>
            </w:r>
          </w:p>
        </w:tc>
      </w:tr>
      <w:tr>
        <w:tc>
          <w:tcPr/>
          <w:p>
            <w:pPr>
              <w:pStyle w:val="Compact"/>
              <w:jc w:val="left"/>
            </w:pPr>
            <w:r>
              <w:t xml:space="preserve">4</w:t>
            </w:r>
          </w:p>
        </w:tc>
        <w:tc>
          <w:tcPr/>
          <w:p>
            <w:pPr>
              <w:pStyle w:val="Compact"/>
              <w:jc w:val="left"/>
            </w:pPr>
            <w:r>
              <w:t xml:space="preserve">0.60</w:t>
            </w:r>
          </w:p>
        </w:tc>
        <w:tc>
          <w:tcPr/>
          <w:p>
            <w:pPr>
              <w:pStyle w:val="Compact"/>
              <w:jc w:val="left"/>
            </w:pPr>
            <w:r>
              <w:t xml:space="preserve">0.05</w:t>
            </w:r>
          </w:p>
        </w:tc>
        <w:tc>
          <w:tcPr/>
          <w:p>
            <w:pPr>
              <w:pStyle w:val="Compact"/>
              <w:jc w:val="left"/>
            </w:pPr>
            <w:r>
              <w:t xml:space="preserve">0.6057</w:t>
            </w:r>
          </w:p>
        </w:tc>
        <w:tc>
          <w:tcPr/>
          <w:p>
            <w:pPr>
              <w:pStyle w:val="Compact"/>
              <w:jc w:val="left"/>
            </w:pPr>
            <w:r>
              <w:t xml:space="preserve">0.0049</w:t>
            </w:r>
          </w:p>
        </w:tc>
        <w:tc>
          <w:tcPr/>
          <w:p>
            <w:pPr>
              <w:pStyle w:val="Compact"/>
              <w:jc w:val="left"/>
            </w:pPr>
            <w:r>
              <w:t xml:space="preserve">0.0057</w:t>
            </w:r>
          </w:p>
        </w:tc>
      </w:tr>
      <w:tr>
        <w:tc>
          <w:tcPr/>
          <w:p>
            <w:pPr>
              <w:pStyle w:val="Compact"/>
              <w:jc w:val="left"/>
            </w:pPr>
            <w:r>
              <w:t xml:space="preserve">5</w:t>
            </w:r>
          </w:p>
        </w:tc>
        <w:tc>
          <w:tcPr/>
          <w:p>
            <w:pPr>
              <w:pStyle w:val="Compact"/>
              <w:jc w:val="left"/>
            </w:pPr>
            <w:r>
              <w:t xml:space="preserve">0.70</w:t>
            </w:r>
          </w:p>
        </w:tc>
        <w:tc>
          <w:tcPr/>
          <w:p>
            <w:pPr>
              <w:pStyle w:val="Compact"/>
              <w:jc w:val="left"/>
            </w:pPr>
            <w:r>
              <w:t xml:space="preserve">0.05</w:t>
            </w:r>
          </w:p>
        </w:tc>
        <w:tc>
          <w:tcPr/>
          <w:p>
            <w:pPr>
              <w:pStyle w:val="Compact"/>
              <w:jc w:val="left"/>
            </w:pPr>
            <w:r>
              <w:t xml:space="preserve">0.7017</w:t>
            </w:r>
          </w:p>
        </w:tc>
        <w:tc>
          <w:tcPr/>
          <w:p>
            <w:pPr>
              <w:pStyle w:val="Compact"/>
              <w:jc w:val="left"/>
            </w:pPr>
            <w:r>
              <w:t xml:space="preserve">0.0045</w:t>
            </w:r>
          </w:p>
        </w:tc>
        <w:tc>
          <w:tcPr/>
          <w:p>
            <w:pPr>
              <w:pStyle w:val="Compact"/>
              <w:jc w:val="left"/>
            </w:pPr>
            <w:r>
              <w:t xml:space="preserve">0.0017</w:t>
            </w:r>
          </w:p>
        </w:tc>
      </w:tr>
      <w:tr>
        <w:tc>
          <w:tcPr/>
          <w:p>
            <w:pPr>
              <w:pStyle w:val="Compact"/>
              <w:jc w:val="left"/>
            </w:pPr>
            <w:r>
              <w:t xml:space="preserve">6</w:t>
            </w:r>
          </w:p>
        </w:tc>
        <w:tc>
          <w:tcPr/>
          <w:p>
            <w:pPr>
              <w:pStyle w:val="Compact"/>
              <w:jc w:val="left"/>
            </w:pPr>
            <w:r>
              <w:t xml:space="preserve">0.80</w:t>
            </w:r>
          </w:p>
        </w:tc>
        <w:tc>
          <w:tcPr/>
          <w:p>
            <w:pPr>
              <w:pStyle w:val="Compact"/>
              <w:jc w:val="left"/>
            </w:pPr>
            <w:r>
              <w:t xml:space="preserve">0.05</w:t>
            </w:r>
          </w:p>
        </w:tc>
        <w:tc>
          <w:tcPr/>
          <w:p>
            <w:pPr>
              <w:pStyle w:val="Compact"/>
              <w:jc w:val="left"/>
            </w:pPr>
            <w:r>
              <w:t xml:space="preserve">0.7124</w:t>
            </w:r>
          </w:p>
        </w:tc>
        <w:tc>
          <w:tcPr/>
          <w:p>
            <w:pPr>
              <w:pStyle w:val="Compact"/>
              <w:jc w:val="left"/>
            </w:pPr>
            <w:r>
              <w:t xml:space="preserve">0.0042</w:t>
            </w:r>
          </w:p>
        </w:tc>
        <w:tc>
          <w:tcPr/>
          <w:p>
            <w:pPr>
              <w:pStyle w:val="Compact"/>
              <w:jc w:val="left"/>
            </w:pPr>
            <w:r>
              <w:t xml:space="preserve">0.0876 (model ceiling)</w:t>
            </w:r>
          </w:p>
        </w:tc>
      </w:tr>
      <w:tr>
        <w:tc>
          <w:tcPr/>
          <w:p>
            <w:pPr>
              <w:pStyle w:val="Compact"/>
              <w:jc w:val="left"/>
            </w:pPr>
            <w:r>
              <w:t xml:space="preserve">7</w:t>
            </w:r>
          </w:p>
        </w:tc>
        <w:tc>
          <w:tcPr/>
          <w:p>
            <w:pPr>
              <w:pStyle w:val="Compact"/>
              <w:jc w:val="left"/>
            </w:pPr>
            <w:r>
              <w:t xml:space="preserve">0.20</w:t>
            </w:r>
          </w:p>
        </w:tc>
        <w:tc>
          <w:tcPr/>
          <w:p>
            <w:pPr>
              <w:pStyle w:val="Compact"/>
              <w:jc w:val="left"/>
            </w:pPr>
            <w:r>
              <w:t xml:space="preserve">0.10</w:t>
            </w:r>
          </w:p>
        </w:tc>
        <w:tc>
          <w:tcPr/>
          <w:p>
            <w:pPr>
              <w:pStyle w:val="Compact"/>
              <w:jc w:val="left"/>
            </w:pPr>
            <w:r>
              <w:t xml:space="preserve">0.2013</w:t>
            </w:r>
          </w:p>
        </w:tc>
        <w:tc>
          <w:tcPr/>
          <w:p>
            <w:pPr>
              <w:pStyle w:val="Compact"/>
              <w:jc w:val="left"/>
            </w:pPr>
            <w:r>
              <w:t xml:space="preserve">0.0036</w:t>
            </w:r>
          </w:p>
        </w:tc>
        <w:tc>
          <w:tcPr/>
          <w:p>
            <w:pPr>
              <w:pStyle w:val="Compact"/>
              <w:jc w:val="left"/>
            </w:pPr>
            <w:r>
              <w:t xml:space="preserve">0.0013</w:t>
            </w:r>
          </w:p>
        </w:tc>
      </w:tr>
      <w:tr>
        <w:tc>
          <w:tcPr/>
          <w:p>
            <w:pPr>
              <w:pStyle w:val="Compact"/>
              <w:jc w:val="left"/>
            </w:pPr>
            <w:r>
              <w:t xml:space="preserve">8</w:t>
            </w:r>
          </w:p>
        </w:tc>
        <w:tc>
          <w:tcPr/>
          <w:p>
            <w:pPr>
              <w:pStyle w:val="Compact"/>
              <w:jc w:val="left"/>
            </w:pPr>
            <w:r>
              <w:t xml:space="preserve">0.30</w:t>
            </w:r>
          </w:p>
        </w:tc>
        <w:tc>
          <w:tcPr/>
          <w:p>
            <w:pPr>
              <w:pStyle w:val="Compact"/>
              <w:jc w:val="left"/>
            </w:pPr>
            <w:r>
              <w:t xml:space="preserve">0.10</w:t>
            </w:r>
          </w:p>
        </w:tc>
        <w:tc>
          <w:tcPr/>
          <w:p>
            <w:pPr>
              <w:pStyle w:val="Compact"/>
              <w:jc w:val="left"/>
            </w:pPr>
            <w:r>
              <w:t xml:space="preserve">0.2977</w:t>
            </w:r>
          </w:p>
        </w:tc>
        <w:tc>
          <w:tcPr/>
          <w:p>
            <w:pPr>
              <w:pStyle w:val="Compact"/>
              <w:jc w:val="left"/>
            </w:pPr>
            <w:r>
              <w:t xml:space="preserve">0.0034</w:t>
            </w:r>
          </w:p>
        </w:tc>
        <w:tc>
          <w:tcPr/>
          <w:p>
            <w:pPr>
              <w:pStyle w:val="Compact"/>
              <w:jc w:val="left"/>
            </w:pPr>
            <w:r>
              <w:t xml:space="preserve">0.0023</w:t>
            </w:r>
          </w:p>
        </w:tc>
      </w:tr>
      <w:tr>
        <w:tc>
          <w:tcPr/>
          <w:p>
            <w:pPr>
              <w:pStyle w:val="Compact"/>
              <w:jc w:val="left"/>
            </w:pPr>
            <w:r>
              <w:t xml:space="preserve">9</w:t>
            </w:r>
          </w:p>
        </w:tc>
        <w:tc>
          <w:tcPr/>
          <w:p>
            <w:pPr>
              <w:pStyle w:val="Compact"/>
              <w:jc w:val="left"/>
            </w:pPr>
            <w:r>
              <w:t xml:space="preserve">0.40</w:t>
            </w:r>
          </w:p>
        </w:tc>
        <w:tc>
          <w:tcPr/>
          <w:p>
            <w:pPr>
              <w:pStyle w:val="Compact"/>
              <w:jc w:val="left"/>
            </w:pPr>
            <w:r>
              <w:t xml:space="preserve">0.10</w:t>
            </w:r>
          </w:p>
        </w:tc>
        <w:tc>
          <w:tcPr/>
          <w:p>
            <w:pPr>
              <w:pStyle w:val="Compact"/>
              <w:jc w:val="left"/>
            </w:pPr>
            <w:r>
              <w:t xml:space="preserve">0.3991</w:t>
            </w:r>
          </w:p>
        </w:tc>
        <w:tc>
          <w:tcPr/>
          <w:p>
            <w:pPr>
              <w:pStyle w:val="Compact"/>
              <w:jc w:val="left"/>
            </w:pPr>
            <w:r>
              <w:t xml:space="preserve">0.0037</w:t>
            </w:r>
          </w:p>
        </w:tc>
        <w:tc>
          <w:tcPr/>
          <w:p>
            <w:pPr>
              <w:pStyle w:val="Compact"/>
              <w:jc w:val="left"/>
            </w:pPr>
            <w:r>
              <w:t xml:space="preserve">0.0009</w:t>
            </w:r>
          </w:p>
        </w:tc>
      </w:tr>
      <w:tr>
        <w:tc>
          <w:tcPr/>
          <w:p>
            <w:pPr>
              <w:pStyle w:val="Compact"/>
              <w:jc w:val="left"/>
            </w:pPr>
            <w:r>
              <w:t xml:space="preserve">10</w:t>
            </w:r>
          </w:p>
        </w:tc>
        <w:tc>
          <w:tcPr/>
          <w:p>
            <w:pPr>
              <w:pStyle w:val="Compact"/>
              <w:jc w:val="left"/>
            </w:pPr>
            <w:r>
              <w:t xml:space="preserve">0.50</w:t>
            </w:r>
          </w:p>
        </w:tc>
        <w:tc>
          <w:tcPr/>
          <w:p>
            <w:pPr>
              <w:pStyle w:val="Compact"/>
              <w:jc w:val="left"/>
            </w:pPr>
            <w:r>
              <w:t xml:space="preserve">0.10</w:t>
            </w:r>
          </w:p>
        </w:tc>
        <w:tc>
          <w:tcPr/>
          <w:p>
            <w:pPr>
              <w:pStyle w:val="Compact"/>
              <w:jc w:val="left"/>
            </w:pPr>
            <w:r>
              <w:t xml:space="preserve">0.4993</w:t>
            </w:r>
          </w:p>
        </w:tc>
        <w:tc>
          <w:tcPr/>
          <w:p>
            <w:pPr>
              <w:pStyle w:val="Compact"/>
              <w:jc w:val="left"/>
            </w:pPr>
            <w:r>
              <w:t xml:space="preserve">0.0039</w:t>
            </w:r>
          </w:p>
        </w:tc>
        <w:tc>
          <w:tcPr/>
          <w:p>
            <w:pPr>
              <w:pStyle w:val="Compact"/>
              <w:jc w:val="left"/>
            </w:pPr>
            <w:r>
              <w:t xml:space="preserve">0.0007</w:t>
            </w:r>
          </w:p>
        </w:tc>
      </w:tr>
      <w:tr>
        <w:tc>
          <w:tcPr/>
          <w:p>
            <w:pPr>
              <w:pStyle w:val="Compact"/>
              <w:jc w:val="left"/>
            </w:pPr>
            <w:r>
              <w:t xml:space="preserve">11</w:t>
            </w:r>
          </w:p>
        </w:tc>
        <w:tc>
          <w:tcPr/>
          <w:p>
            <w:pPr>
              <w:pStyle w:val="Compact"/>
              <w:jc w:val="left"/>
            </w:pPr>
            <w:r>
              <w:t xml:space="preserve">0.60</w:t>
            </w:r>
          </w:p>
        </w:tc>
        <w:tc>
          <w:tcPr/>
          <w:p>
            <w:pPr>
              <w:pStyle w:val="Compact"/>
              <w:jc w:val="left"/>
            </w:pPr>
            <w:r>
              <w:t xml:space="preserve">0.10</w:t>
            </w:r>
          </w:p>
        </w:tc>
        <w:tc>
          <w:tcPr/>
          <w:p>
            <w:pPr>
              <w:pStyle w:val="Compact"/>
              <w:jc w:val="left"/>
            </w:pPr>
            <w:r>
              <w:t xml:space="preserve">0.5980</w:t>
            </w:r>
          </w:p>
        </w:tc>
        <w:tc>
          <w:tcPr/>
          <w:p>
            <w:pPr>
              <w:pStyle w:val="Compact"/>
              <w:jc w:val="left"/>
            </w:pPr>
            <w:r>
              <w:t xml:space="preserve">0.0038</w:t>
            </w:r>
          </w:p>
        </w:tc>
        <w:tc>
          <w:tcPr/>
          <w:p>
            <w:pPr>
              <w:pStyle w:val="Compact"/>
              <w:jc w:val="left"/>
            </w:pPr>
            <w:r>
              <w:t xml:space="preserve">0.0020</w:t>
            </w:r>
          </w:p>
        </w:tc>
      </w:tr>
      <w:tr>
        <w:tc>
          <w:tcPr/>
          <w:p>
            <w:pPr>
              <w:pStyle w:val="Compact"/>
              <w:jc w:val="left"/>
            </w:pPr>
            <w:r>
              <w:t xml:space="preserve">12</w:t>
            </w:r>
          </w:p>
        </w:tc>
        <w:tc>
          <w:tcPr/>
          <w:p>
            <w:pPr>
              <w:pStyle w:val="Compact"/>
              <w:jc w:val="left"/>
            </w:pPr>
            <w:r>
              <w:t xml:space="preserve">0.70</w:t>
            </w:r>
          </w:p>
        </w:tc>
        <w:tc>
          <w:tcPr/>
          <w:p>
            <w:pPr>
              <w:pStyle w:val="Compact"/>
              <w:jc w:val="left"/>
            </w:pPr>
            <w:r>
              <w:t xml:space="preserve">0.10</w:t>
            </w:r>
          </w:p>
        </w:tc>
        <w:tc>
          <w:tcPr/>
          <w:p>
            <w:pPr>
              <w:pStyle w:val="Compact"/>
              <w:jc w:val="left"/>
            </w:pPr>
            <w:r>
              <w:t xml:space="preserve">0.7012</w:t>
            </w:r>
          </w:p>
        </w:tc>
        <w:tc>
          <w:tcPr/>
          <w:p>
            <w:pPr>
              <w:pStyle w:val="Compact"/>
              <w:jc w:val="left"/>
            </w:pPr>
            <w:r>
              <w:t xml:space="preserve">0.0039</w:t>
            </w:r>
          </w:p>
        </w:tc>
        <w:tc>
          <w:tcPr/>
          <w:p>
            <w:pPr>
              <w:pStyle w:val="Compact"/>
              <w:jc w:val="left"/>
            </w:pPr>
            <w:r>
              <w:t xml:space="preserve">0.0012</w:t>
            </w:r>
          </w:p>
        </w:tc>
      </w:tr>
      <w:tr>
        <w:tc>
          <w:tcPr/>
          <w:p>
            <w:pPr>
              <w:pStyle w:val="Compact"/>
              <w:jc w:val="left"/>
            </w:pPr>
            <w:r>
              <w:t xml:space="preserve">13</w:t>
            </w:r>
          </w:p>
        </w:tc>
        <w:tc>
          <w:tcPr/>
          <w:p>
            <w:pPr>
              <w:pStyle w:val="Compact"/>
              <w:jc w:val="left"/>
            </w:pPr>
            <w:r>
              <w:t xml:space="preserve">0.80</w:t>
            </w:r>
          </w:p>
        </w:tc>
        <w:tc>
          <w:tcPr/>
          <w:p>
            <w:pPr>
              <w:pStyle w:val="Compact"/>
              <w:jc w:val="left"/>
            </w:pPr>
            <w:r>
              <w:t xml:space="preserve">0.10</w:t>
            </w:r>
          </w:p>
        </w:tc>
        <w:tc>
          <w:tcPr/>
          <w:p>
            <w:pPr>
              <w:pStyle w:val="Compact"/>
              <w:jc w:val="left"/>
            </w:pPr>
            <w:r>
              <w:t xml:space="preserve">0.7970</w:t>
            </w:r>
          </w:p>
        </w:tc>
        <w:tc>
          <w:tcPr/>
          <w:p>
            <w:pPr>
              <w:pStyle w:val="Compact"/>
              <w:jc w:val="left"/>
            </w:pPr>
            <w:r>
              <w:t xml:space="preserve">0.0031</w:t>
            </w:r>
          </w:p>
        </w:tc>
        <w:tc>
          <w:tcPr/>
          <w:p>
            <w:pPr>
              <w:pStyle w:val="Compact"/>
              <w:jc w:val="left"/>
            </w:pPr>
            <w:r>
              <w:t xml:space="preserve">0.0030</w:t>
            </w:r>
          </w:p>
        </w:tc>
      </w:tr>
      <w:tr>
        <w:tc>
          <w:tcPr/>
          <w:p>
            <w:pPr>
              <w:pStyle w:val="Compact"/>
              <w:jc w:val="left"/>
            </w:pPr>
            <w:r>
              <w:t xml:space="preserve">14</w:t>
            </w:r>
          </w:p>
        </w:tc>
        <w:tc>
          <w:tcPr/>
          <w:p>
            <w:pPr>
              <w:pStyle w:val="Compact"/>
              <w:jc w:val="left"/>
            </w:pPr>
            <w:r>
              <w:t xml:space="preserve">0.20</w:t>
            </w:r>
          </w:p>
        </w:tc>
        <w:tc>
          <w:tcPr/>
          <w:p>
            <w:pPr>
              <w:pStyle w:val="Compact"/>
              <w:jc w:val="left"/>
            </w:pPr>
            <w:r>
              <w:t xml:space="preserve">0.20</w:t>
            </w:r>
          </w:p>
        </w:tc>
        <w:tc>
          <w:tcPr/>
          <w:p>
            <w:pPr>
              <w:pStyle w:val="Compact"/>
              <w:jc w:val="left"/>
            </w:pPr>
            <w:r>
              <w:t xml:space="preserve">0.2053</w:t>
            </w:r>
          </w:p>
        </w:tc>
        <w:tc>
          <w:tcPr/>
          <w:p>
            <w:pPr>
              <w:pStyle w:val="Compact"/>
              <w:jc w:val="left"/>
            </w:pPr>
            <w:r>
              <w:t xml:space="preserve">0.0029</w:t>
            </w:r>
          </w:p>
        </w:tc>
        <w:tc>
          <w:tcPr/>
          <w:p>
            <w:pPr>
              <w:pStyle w:val="Compact"/>
              <w:jc w:val="left"/>
            </w:pPr>
            <w:r>
              <w:t xml:space="preserve">0.0053</w:t>
            </w:r>
          </w:p>
        </w:tc>
      </w:tr>
      <w:tr>
        <w:tc>
          <w:tcPr/>
          <w:p>
            <w:pPr>
              <w:pStyle w:val="Compact"/>
              <w:jc w:val="left"/>
            </w:pPr>
            <w:r>
              <w:t xml:space="preserve">15</w:t>
            </w:r>
          </w:p>
        </w:tc>
        <w:tc>
          <w:tcPr/>
          <w:p>
            <w:pPr>
              <w:pStyle w:val="Compact"/>
              <w:jc w:val="left"/>
            </w:pPr>
            <w:r>
              <w:t xml:space="preserve">0.30</w:t>
            </w:r>
          </w:p>
        </w:tc>
        <w:tc>
          <w:tcPr/>
          <w:p>
            <w:pPr>
              <w:pStyle w:val="Compact"/>
              <w:jc w:val="left"/>
            </w:pPr>
            <w:r>
              <w:t xml:space="preserve">0.20</w:t>
            </w:r>
          </w:p>
        </w:tc>
        <w:tc>
          <w:tcPr/>
          <w:p>
            <w:pPr>
              <w:pStyle w:val="Compact"/>
              <w:jc w:val="left"/>
            </w:pPr>
            <w:r>
              <w:t xml:space="preserve">0.2979</w:t>
            </w:r>
          </w:p>
        </w:tc>
        <w:tc>
          <w:tcPr/>
          <w:p>
            <w:pPr>
              <w:pStyle w:val="Compact"/>
              <w:jc w:val="left"/>
            </w:pPr>
            <w:r>
              <w:t xml:space="preserve">0.0032</w:t>
            </w:r>
          </w:p>
        </w:tc>
        <w:tc>
          <w:tcPr/>
          <w:p>
            <w:pPr>
              <w:pStyle w:val="Compact"/>
              <w:jc w:val="left"/>
            </w:pPr>
            <w:r>
              <w:t xml:space="preserve">0.0021</w:t>
            </w:r>
          </w:p>
        </w:tc>
      </w:tr>
      <w:tr>
        <w:tc>
          <w:tcPr/>
          <w:p>
            <w:pPr>
              <w:pStyle w:val="Compact"/>
              <w:jc w:val="left"/>
            </w:pPr>
            <w:r>
              <w:t xml:space="preserve">16</w:t>
            </w:r>
          </w:p>
        </w:tc>
        <w:tc>
          <w:tcPr/>
          <w:p>
            <w:pPr>
              <w:pStyle w:val="Compact"/>
              <w:jc w:val="left"/>
            </w:pPr>
            <w:r>
              <w:t xml:space="preserve">0.40</w:t>
            </w:r>
          </w:p>
        </w:tc>
        <w:tc>
          <w:tcPr/>
          <w:p>
            <w:pPr>
              <w:pStyle w:val="Compact"/>
              <w:jc w:val="left"/>
            </w:pPr>
            <w:r>
              <w:t xml:space="preserve">0.20</w:t>
            </w:r>
          </w:p>
        </w:tc>
        <w:tc>
          <w:tcPr/>
          <w:p>
            <w:pPr>
              <w:pStyle w:val="Compact"/>
              <w:jc w:val="left"/>
            </w:pPr>
            <w:r>
              <w:t xml:space="preserve">0.4012</w:t>
            </w:r>
          </w:p>
        </w:tc>
        <w:tc>
          <w:tcPr/>
          <w:p>
            <w:pPr>
              <w:pStyle w:val="Compact"/>
              <w:jc w:val="left"/>
            </w:pPr>
            <w:r>
              <w:t xml:space="preserve">0.0037</w:t>
            </w:r>
          </w:p>
        </w:tc>
        <w:tc>
          <w:tcPr/>
          <w:p>
            <w:pPr>
              <w:pStyle w:val="Compact"/>
              <w:jc w:val="left"/>
            </w:pPr>
            <w:r>
              <w:t xml:space="preserve">0.0012</w:t>
            </w:r>
          </w:p>
        </w:tc>
      </w:tr>
      <w:tr>
        <w:tc>
          <w:tcPr/>
          <w:p>
            <w:pPr>
              <w:pStyle w:val="Compact"/>
              <w:jc w:val="left"/>
            </w:pPr>
            <w:r>
              <w:t xml:space="preserve">17</w:t>
            </w:r>
          </w:p>
        </w:tc>
        <w:tc>
          <w:tcPr/>
          <w:p>
            <w:pPr>
              <w:pStyle w:val="Compact"/>
              <w:jc w:val="left"/>
            </w:pPr>
            <w:r>
              <w:t xml:space="preserve">0.50</w:t>
            </w:r>
          </w:p>
        </w:tc>
        <w:tc>
          <w:tcPr/>
          <w:p>
            <w:pPr>
              <w:pStyle w:val="Compact"/>
              <w:jc w:val="left"/>
            </w:pPr>
            <w:r>
              <w:t xml:space="preserve">0.20</w:t>
            </w:r>
          </w:p>
        </w:tc>
        <w:tc>
          <w:tcPr/>
          <w:p>
            <w:pPr>
              <w:pStyle w:val="Compact"/>
              <w:jc w:val="left"/>
            </w:pPr>
            <w:r>
              <w:t xml:space="preserve">0.5012</w:t>
            </w:r>
          </w:p>
        </w:tc>
        <w:tc>
          <w:tcPr/>
          <w:p>
            <w:pPr>
              <w:pStyle w:val="Compact"/>
              <w:jc w:val="left"/>
            </w:pPr>
            <w:r>
              <w:t xml:space="preserve">0.0026</w:t>
            </w:r>
          </w:p>
        </w:tc>
        <w:tc>
          <w:tcPr/>
          <w:p>
            <w:pPr>
              <w:pStyle w:val="Compact"/>
              <w:jc w:val="left"/>
            </w:pPr>
            <w:r>
              <w:t xml:space="preserve">0.0012</w:t>
            </w:r>
          </w:p>
        </w:tc>
      </w:tr>
      <w:tr>
        <w:tc>
          <w:tcPr/>
          <w:p>
            <w:pPr>
              <w:pStyle w:val="Compact"/>
              <w:jc w:val="left"/>
            </w:pPr>
            <w:r>
              <w:t xml:space="preserve">18</w:t>
            </w:r>
          </w:p>
        </w:tc>
        <w:tc>
          <w:tcPr/>
          <w:p>
            <w:pPr>
              <w:pStyle w:val="Compact"/>
              <w:jc w:val="left"/>
            </w:pPr>
            <w:r>
              <w:t xml:space="preserve">0.60</w:t>
            </w:r>
          </w:p>
        </w:tc>
        <w:tc>
          <w:tcPr/>
          <w:p>
            <w:pPr>
              <w:pStyle w:val="Compact"/>
              <w:jc w:val="left"/>
            </w:pPr>
            <w:r>
              <w:t xml:space="preserve">0.20</w:t>
            </w:r>
          </w:p>
        </w:tc>
        <w:tc>
          <w:tcPr/>
          <w:p>
            <w:pPr>
              <w:pStyle w:val="Compact"/>
              <w:jc w:val="left"/>
            </w:pPr>
            <w:r>
              <w:t xml:space="preserve">0.5998</w:t>
            </w:r>
          </w:p>
        </w:tc>
        <w:tc>
          <w:tcPr/>
          <w:p>
            <w:pPr>
              <w:pStyle w:val="Compact"/>
              <w:jc w:val="left"/>
            </w:pPr>
            <w:r>
              <w:t xml:space="preserve">0.0028</w:t>
            </w:r>
          </w:p>
        </w:tc>
        <w:tc>
          <w:tcPr/>
          <w:p>
            <w:pPr>
              <w:pStyle w:val="Compact"/>
              <w:jc w:val="left"/>
            </w:pPr>
            <w:r>
              <w:t xml:space="preserve">0.0002</w:t>
            </w:r>
          </w:p>
        </w:tc>
      </w:tr>
      <w:tr>
        <w:tc>
          <w:tcPr/>
          <w:p>
            <w:pPr>
              <w:pStyle w:val="Compact"/>
              <w:jc w:val="left"/>
            </w:pPr>
            <w:r>
              <w:t xml:space="preserve">19</w:t>
            </w:r>
          </w:p>
        </w:tc>
        <w:tc>
          <w:tcPr/>
          <w:p>
            <w:pPr>
              <w:pStyle w:val="Compact"/>
              <w:jc w:val="left"/>
            </w:pPr>
            <w:r>
              <w:t xml:space="preserve">0.70</w:t>
            </w:r>
          </w:p>
        </w:tc>
        <w:tc>
          <w:tcPr/>
          <w:p>
            <w:pPr>
              <w:pStyle w:val="Compact"/>
              <w:jc w:val="left"/>
            </w:pPr>
            <w:r>
              <w:t xml:space="preserve">0.20</w:t>
            </w:r>
          </w:p>
        </w:tc>
        <w:tc>
          <w:tcPr/>
          <w:p>
            <w:pPr>
              <w:pStyle w:val="Compact"/>
              <w:jc w:val="left"/>
            </w:pPr>
            <w:r>
              <w:t xml:space="preserve">0.7002</w:t>
            </w:r>
          </w:p>
        </w:tc>
        <w:tc>
          <w:tcPr/>
          <w:p>
            <w:pPr>
              <w:pStyle w:val="Compact"/>
              <w:jc w:val="left"/>
            </w:pPr>
            <w:r>
              <w:t xml:space="preserve">0.0027</w:t>
            </w:r>
          </w:p>
        </w:tc>
        <w:tc>
          <w:tcPr/>
          <w:p>
            <w:pPr>
              <w:pStyle w:val="Compact"/>
              <w:jc w:val="left"/>
            </w:pPr>
            <w:r>
              <w:t xml:space="preserve">0.0002</w:t>
            </w:r>
          </w:p>
        </w:tc>
      </w:tr>
      <w:tr>
        <w:tc>
          <w:tcPr/>
          <w:p>
            <w:pPr>
              <w:pStyle w:val="Compact"/>
              <w:jc w:val="left"/>
            </w:pPr>
            <w:r>
              <w:t xml:space="preserve">20</w:t>
            </w:r>
          </w:p>
        </w:tc>
        <w:tc>
          <w:tcPr/>
          <w:p>
            <w:pPr>
              <w:pStyle w:val="Compact"/>
              <w:jc w:val="left"/>
            </w:pPr>
            <w:r>
              <w:t xml:space="preserve">0.80</w:t>
            </w:r>
          </w:p>
        </w:tc>
        <w:tc>
          <w:tcPr/>
          <w:p>
            <w:pPr>
              <w:pStyle w:val="Compact"/>
              <w:jc w:val="left"/>
            </w:pPr>
            <w:r>
              <w:t xml:space="preserve">0.20</w:t>
            </w:r>
          </w:p>
        </w:tc>
        <w:tc>
          <w:tcPr/>
          <w:p>
            <w:pPr>
              <w:pStyle w:val="Compact"/>
              <w:jc w:val="left"/>
            </w:pPr>
            <w:r>
              <w:t xml:space="preserve">0.7968</w:t>
            </w:r>
          </w:p>
        </w:tc>
        <w:tc>
          <w:tcPr/>
          <w:p>
            <w:pPr>
              <w:pStyle w:val="Compact"/>
              <w:jc w:val="left"/>
            </w:pPr>
            <w:r>
              <w:t xml:space="preserve">0.0024</w:t>
            </w:r>
          </w:p>
        </w:tc>
        <w:tc>
          <w:tcPr/>
          <w:p>
            <w:pPr>
              <w:pStyle w:val="Compact"/>
              <w:jc w:val="left"/>
            </w:pPr>
            <w:r>
              <w:t xml:space="preserve">0.0032</w:t>
            </w:r>
          </w:p>
        </w:tc>
      </w:tr>
      <w:tr>
        <w:tc>
          <w:tcPr/>
          <w:p>
            <w:pPr>
              <w:pStyle w:val="Compact"/>
              <w:jc w:val="left"/>
            </w:pPr>
            <w:r>
              <w:t xml:space="preserve">21</w:t>
            </w:r>
          </w:p>
        </w:tc>
        <w:tc>
          <w:tcPr/>
          <w:p>
            <w:pPr>
              <w:pStyle w:val="Compact"/>
              <w:jc w:val="left"/>
            </w:pPr>
            <w:r>
              <w:t xml:space="preserve">0.20</w:t>
            </w:r>
          </w:p>
        </w:tc>
        <w:tc>
          <w:tcPr/>
          <w:p>
            <w:pPr>
              <w:pStyle w:val="Compact"/>
              <w:jc w:val="left"/>
            </w:pPr>
            <w:r>
              <w:t xml:space="preserve">0.50</w:t>
            </w:r>
          </w:p>
        </w:tc>
        <w:tc>
          <w:tcPr/>
          <w:p>
            <w:pPr>
              <w:pStyle w:val="Compact"/>
              <w:jc w:val="left"/>
            </w:pPr>
            <w:r>
              <w:t xml:space="preserve">0.1901</w:t>
            </w:r>
          </w:p>
        </w:tc>
        <w:tc>
          <w:tcPr/>
          <w:p>
            <w:pPr>
              <w:pStyle w:val="Compact"/>
              <w:jc w:val="left"/>
            </w:pPr>
            <w:r>
              <w:t xml:space="preserve">0.0031</w:t>
            </w:r>
          </w:p>
        </w:tc>
        <w:tc>
          <w:tcPr/>
          <w:p>
            <w:pPr>
              <w:pStyle w:val="Compact"/>
              <w:jc w:val="left"/>
            </w:pPr>
            <w:r>
              <w:t xml:space="preserve">0.0099</w:t>
            </w:r>
          </w:p>
        </w:tc>
      </w:tr>
      <w:tr>
        <w:tc>
          <w:tcPr/>
          <w:p>
            <w:pPr>
              <w:pStyle w:val="Compact"/>
              <w:jc w:val="left"/>
            </w:pPr>
            <w:r>
              <w:t xml:space="preserve">22</w:t>
            </w:r>
          </w:p>
        </w:tc>
        <w:tc>
          <w:tcPr/>
          <w:p>
            <w:pPr>
              <w:pStyle w:val="Compact"/>
              <w:jc w:val="left"/>
            </w:pPr>
            <w:r>
              <w:t xml:space="preserve">0.30</w:t>
            </w:r>
          </w:p>
        </w:tc>
        <w:tc>
          <w:tcPr/>
          <w:p>
            <w:pPr>
              <w:pStyle w:val="Compact"/>
              <w:jc w:val="left"/>
            </w:pPr>
            <w:r>
              <w:t xml:space="preserve">0.50</w:t>
            </w:r>
          </w:p>
        </w:tc>
        <w:tc>
          <w:tcPr/>
          <w:p>
            <w:pPr>
              <w:pStyle w:val="Compact"/>
              <w:jc w:val="left"/>
            </w:pPr>
            <w:r>
              <w:t xml:space="preserve">0.3006</w:t>
            </w:r>
          </w:p>
        </w:tc>
        <w:tc>
          <w:tcPr/>
          <w:p>
            <w:pPr>
              <w:pStyle w:val="Compact"/>
              <w:jc w:val="left"/>
            </w:pPr>
            <w:r>
              <w:t xml:space="preserve">0.0030</w:t>
            </w:r>
          </w:p>
        </w:tc>
        <w:tc>
          <w:tcPr/>
          <w:p>
            <w:pPr>
              <w:pStyle w:val="Compact"/>
              <w:jc w:val="left"/>
            </w:pPr>
            <w:r>
              <w:t xml:space="preserve">0.0006</w:t>
            </w:r>
          </w:p>
        </w:tc>
      </w:tr>
      <w:tr>
        <w:tc>
          <w:tcPr/>
          <w:p>
            <w:pPr>
              <w:pStyle w:val="Compact"/>
              <w:jc w:val="left"/>
            </w:pPr>
            <w:r>
              <w:t xml:space="preserve">23</w:t>
            </w:r>
          </w:p>
        </w:tc>
        <w:tc>
          <w:tcPr/>
          <w:p>
            <w:pPr>
              <w:pStyle w:val="Compact"/>
              <w:jc w:val="left"/>
            </w:pPr>
            <w:r>
              <w:t xml:space="preserve">0.40</w:t>
            </w:r>
          </w:p>
        </w:tc>
        <w:tc>
          <w:tcPr/>
          <w:p>
            <w:pPr>
              <w:pStyle w:val="Compact"/>
              <w:jc w:val="left"/>
            </w:pPr>
            <w:r>
              <w:t xml:space="preserve">0.50</w:t>
            </w:r>
          </w:p>
        </w:tc>
        <w:tc>
          <w:tcPr/>
          <w:p>
            <w:pPr>
              <w:pStyle w:val="Compact"/>
              <w:jc w:val="left"/>
            </w:pPr>
            <w:r>
              <w:t xml:space="preserve">0.3991</w:t>
            </w:r>
          </w:p>
        </w:tc>
        <w:tc>
          <w:tcPr/>
          <w:p>
            <w:pPr>
              <w:pStyle w:val="Compact"/>
              <w:jc w:val="left"/>
            </w:pPr>
            <w:r>
              <w:t xml:space="preserve">0.0029</w:t>
            </w:r>
          </w:p>
        </w:tc>
        <w:tc>
          <w:tcPr/>
          <w:p>
            <w:pPr>
              <w:pStyle w:val="Compact"/>
              <w:jc w:val="left"/>
            </w:pPr>
            <w:r>
              <w:t xml:space="preserve">0.0009</w:t>
            </w:r>
          </w:p>
        </w:tc>
      </w:tr>
      <w:tr>
        <w:tc>
          <w:tcPr/>
          <w:p>
            <w:pPr>
              <w:pStyle w:val="Compact"/>
              <w:jc w:val="left"/>
            </w:pPr>
            <w:r>
              <w:t xml:space="preserve">24</w:t>
            </w:r>
          </w:p>
        </w:tc>
        <w:tc>
          <w:tcPr/>
          <w:p>
            <w:pPr>
              <w:pStyle w:val="Compact"/>
              <w:jc w:val="left"/>
            </w:pPr>
            <w:r>
              <w:t xml:space="preserve">0.50</w:t>
            </w:r>
          </w:p>
        </w:tc>
        <w:tc>
          <w:tcPr/>
          <w:p>
            <w:pPr>
              <w:pStyle w:val="Compact"/>
              <w:jc w:val="left"/>
            </w:pPr>
            <w:r>
              <w:t xml:space="preserve">0.50</w:t>
            </w:r>
          </w:p>
        </w:tc>
        <w:tc>
          <w:tcPr/>
          <w:p>
            <w:pPr>
              <w:pStyle w:val="Compact"/>
              <w:jc w:val="left"/>
            </w:pPr>
            <w:r>
              <w:t xml:space="preserve">0.5030</w:t>
            </w:r>
          </w:p>
        </w:tc>
        <w:tc>
          <w:tcPr/>
          <w:p>
            <w:pPr>
              <w:pStyle w:val="Compact"/>
              <w:jc w:val="left"/>
            </w:pPr>
            <w:r>
              <w:t xml:space="preserve">0.0026</w:t>
            </w:r>
          </w:p>
        </w:tc>
        <w:tc>
          <w:tcPr/>
          <w:p>
            <w:pPr>
              <w:pStyle w:val="Compact"/>
              <w:jc w:val="left"/>
            </w:pPr>
            <w:r>
              <w:t xml:space="preserve">0.0030</w:t>
            </w:r>
          </w:p>
        </w:tc>
      </w:tr>
      <w:tr>
        <w:tc>
          <w:tcPr/>
          <w:p>
            <w:pPr>
              <w:pStyle w:val="Compact"/>
              <w:jc w:val="left"/>
            </w:pPr>
            <w:r>
              <w:t xml:space="preserve">25</w:t>
            </w:r>
          </w:p>
        </w:tc>
        <w:tc>
          <w:tcPr/>
          <w:p>
            <w:pPr>
              <w:pStyle w:val="Compact"/>
              <w:jc w:val="left"/>
            </w:pPr>
            <w:r>
              <w:t xml:space="preserve">0.60</w:t>
            </w:r>
          </w:p>
        </w:tc>
        <w:tc>
          <w:tcPr/>
          <w:p>
            <w:pPr>
              <w:pStyle w:val="Compact"/>
              <w:jc w:val="left"/>
            </w:pPr>
            <w:r>
              <w:t xml:space="preserve">0.50</w:t>
            </w:r>
          </w:p>
        </w:tc>
        <w:tc>
          <w:tcPr/>
          <w:p>
            <w:pPr>
              <w:pStyle w:val="Compact"/>
              <w:jc w:val="left"/>
            </w:pPr>
            <w:r>
              <w:t xml:space="preserve">0.5984</w:t>
            </w:r>
          </w:p>
        </w:tc>
        <w:tc>
          <w:tcPr/>
          <w:p>
            <w:pPr>
              <w:pStyle w:val="Compact"/>
              <w:jc w:val="left"/>
            </w:pPr>
            <w:r>
              <w:t xml:space="preserve">0.0028</w:t>
            </w:r>
          </w:p>
        </w:tc>
        <w:tc>
          <w:tcPr/>
          <w:p>
            <w:pPr>
              <w:pStyle w:val="Compact"/>
              <w:jc w:val="left"/>
            </w:pPr>
            <w:r>
              <w:t xml:space="preserve">0.0016</w:t>
            </w:r>
          </w:p>
        </w:tc>
      </w:tr>
      <w:tr>
        <w:tc>
          <w:tcPr/>
          <w:p>
            <w:pPr>
              <w:pStyle w:val="Compact"/>
              <w:jc w:val="left"/>
            </w:pPr>
            <w:r>
              <w:t xml:space="preserve">26</w:t>
            </w:r>
          </w:p>
        </w:tc>
        <w:tc>
          <w:tcPr/>
          <w:p>
            <w:pPr>
              <w:pStyle w:val="Compact"/>
              <w:jc w:val="left"/>
            </w:pPr>
            <w:r>
              <w:t xml:space="preserve">0.70</w:t>
            </w:r>
          </w:p>
        </w:tc>
        <w:tc>
          <w:tcPr/>
          <w:p>
            <w:pPr>
              <w:pStyle w:val="Compact"/>
              <w:jc w:val="left"/>
            </w:pPr>
            <w:r>
              <w:t xml:space="preserve">0.50</w:t>
            </w:r>
          </w:p>
        </w:tc>
        <w:tc>
          <w:tcPr/>
          <w:p>
            <w:pPr>
              <w:pStyle w:val="Compact"/>
              <w:jc w:val="left"/>
            </w:pPr>
            <w:r>
              <w:t xml:space="preserve">0.6982</w:t>
            </w:r>
          </w:p>
        </w:tc>
        <w:tc>
          <w:tcPr/>
          <w:p>
            <w:pPr>
              <w:pStyle w:val="Compact"/>
              <w:jc w:val="left"/>
            </w:pPr>
            <w:r>
              <w:t xml:space="preserve">0.0023</w:t>
            </w:r>
          </w:p>
        </w:tc>
        <w:tc>
          <w:tcPr/>
          <w:p>
            <w:pPr>
              <w:pStyle w:val="Compact"/>
              <w:jc w:val="left"/>
            </w:pPr>
            <w:r>
              <w:t xml:space="preserve">0.0018</w:t>
            </w:r>
          </w:p>
        </w:tc>
      </w:tr>
      <w:tr>
        <w:tc>
          <w:tcPr/>
          <w:p>
            <w:pPr>
              <w:pStyle w:val="Compact"/>
              <w:jc w:val="left"/>
            </w:pPr>
            <w:r>
              <w:t xml:space="preserve">27</w:t>
            </w:r>
          </w:p>
        </w:tc>
        <w:tc>
          <w:tcPr/>
          <w:p>
            <w:pPr>
              <w:pStyle w:val="Compact"/>
              <w:jc w:val="left"/>
            </w:pPr>
            <w:r>
              <w:t xml:space="preserve">0.80</w:t>
            </w:r>
          </w:p>
        </w:tc>
        <w:tc>
          <w:tcPr/>
          <w:p>
            <w:pPr>
              <w:pStyle w:val="Compact"/>
              <w:jc w:val="left"/>
            </w:pPr>
            <w:r>
              <w:t xml:space="preserve">0.50</w:t>
            </w:r>
          </w:p>
        </w:tc>
        <w:tc>
          <w:tcPr/>
          <w:p>
            <w:pPr>
              <w:pStyle w:val="Compact"/>
              <w:jc w:val="left"/>
            </w:pPr>
            <w:r>
              <w:t xml:space="preserve">0.7999</w:t>
            </w:r>
          </w:p>
        </w:tc>
        <w:tc>
          <w:tcPr/>
          <w:p>
            <w:pPr>
              <w:pStyle w:val="Compact"/>
              <w:jc w:val="left"/>
            </w:pPr>
            <w:r>
              <w:t xml:space="preserve">0.0018</w:t>
            </w:r>
          </w:p>
        </w:tc>
        <w:tc>
          <w:tcPr/>
          <w:p>
            <w:pPr>
              <w:pStyle w:val="Compact"/>
              <w:jc w:val="left"/>
            </w:pPr>
            <w:r>
              <w:t xml:space="preserve">0.0001</w:t>
            </w:r>
          </w:p>
        </w:tc>
      </w:tr>
    </w:tbl>
    <w:bookmarkEnd w:id="44"/>
    <w:bookmarkStart w:id="45" w:name="k.4-cross-grid-pattern"/>
    <w:p>
      <w:pPr>
        <w:pStyle w:val="Heading2"/>
      </w:pPr>
      <w:r>
        <w:t xml:space="preserve">K.4 Cross-grid pattern</w:t>
      </w:r>
    </w:p>
    <w:p>
      <w:pPr>
        <w:pStyle w:val="FirstParagraph"/>
      </w:pPr>
      <w:r>
        <w:t xml:space="preserve">The unsafe-Secondary rate increases monotonically with π_Primary at every fixed κ — at higher base rates, more latent-true Primary thresholds exist for the misclassification path (both raters say Secondary on a Primary threshold) to act on. The over-escalation rate also increases with π_Primary, but the documentation-burden effect runs in the opposite direction at high π (because the Secondary subpopulation is smaller, the absolute number of over-escalated thresholds per 100 is constrained). At π = 0.50, the operational regime threshold of κ ≥ 0.60 still produces approximately 1.1% unsafe-Secondary rate — order-of-magnitude higher than at π = 0.10 — indicating that the κ tolerance regime is base-rate-sensitive. The pilot protocol’s stratification by institutional context is intended to surface base-rate variation as a measurable quantity rather than a hidden assumption.</w:t>
      </w:r>
    </w:p>
    <w:p>
      <w:pPr>
        <w:pStyle w:val="BodyText"/>
      </w:pPr>
      <w:r>
        <w:rPr>
          <w:iCs/>
          <w:i/>
        </w:rPr>
        <w:t xml:space="preserve">Figure K.1. Simulated unsafe-Secondary rate vs κ across base-rate scenarios (see</w:t>
      </w:r>
      <w:r>
        <w:rPr>
          <w:iCs/>
          <w:i/>
        </w:rPr>
        <w:t xml:space="preserve"> </w:t>
      </w:r>
      <w:r>
        <w:rPr>
          <w:rStyle w:val="VerbatimChar"/>
          <w:iCs/>
          <w:i/>
        </w:rPr>
        <w:t xml:space="preserve">outputs/figures/figure_supp_kappa_pi_grid.png</w:t>
      </w:r>
      <w:r>
        <w:rPr>
          <w:iCs/>
          <w:i/>
        </w:rPr>
        <w:t xml:space="preserve"> </w:t>
      </w:r>
      <w:r>
        <w:rPr>
          <w:iCs/>
          <w:i/>
        </w:rPr>
        <w:t xml:space="preserve">in the reproducibility artefact).</w:t>
      </w:r>
      <w:r>
        <w:t xml:space="preserve"> </w:t>
      </w:r>
      <w:r>
        <w:t xml:space="preserve">This figure visualises the κ × π sensitivity grid reported in Sub-tables K.05–K.50.</w:t>
      </w:r>
    </w:p>
    <w:bookmarkEnd w:id="45"/>
    <w:bookmarkStart w:id="46" w:name="k.5-reproducibility-instructions"/>
    <w:p>
      <w:pPr>
        <w:pStyle w:val="Heading2"/>
      </w:pPr>
      <w:r>
        <w:t xml:space="preserve">K.5 Reproducibility instructions</w:t>
      </w:r>
    </w:p>
    <w:p>
      <w:pPr>
        <w:pStyle w:val="FirstParagraph"/>
      </w:pPr>
      <w:r>
        <w:t xml:space="preserve">The artefact provides byte-level reproducibility from the master seed in</w:t>
      </w:r>
      <w:r>
        <w:t xml:space="preserve"> </w:t>
      </w:r>
      <w:r>
        <w:rPr>
          <w:rStyle w:val="VerbatimChar"/>
        </w:rPr>
        <w:t xml:space="preserve">inputs/seed.txt</w:t>
      </w:r>
      <w:r>
        <w:t xml:space="preserve">. To reproduce all outputs from a clean environment:</w:t>
      </w:r>
    </w:p>
    <w:p>
      <w:pPr>
        <w:pStyle w:val="SourceCode"/>
      </w:pPr>
      <w:r>
        <w:rPr>
          <w:rStyle w:val="VerbatimChar"/>
        </w:rPr>
        <w:t xml:space="preserve">pip install -r requirements.txt</w:t>
      </w:r>
      <w:r>
        <w:br/>
      </w:r>
      <w:r>
        <w:rPr>
          <w:rStyle w:val="VerbatimChar"/>
        </w:rPr>
        <w:t xml:space="preserve">python -m code.simulation</w:t>
      </w:r>
      <w:r>
        <w:br/>
      </w:r>
      <w:r>
        <w:rPr>
          <w:rStyle w:val="VerbatimChar"/>
        </w:rPr>
        <w:t xml:space="preserve">python -m code.figures</w:t>
      </w:r>
      <w:r>
        <w:br/>
      </w:r>
      <w:r>
        <w:rPr>
          <w:rStyle w:val="VerbatimChar"/>
        </w:rPr>
        <w:t xml:space="preserve">pytest tests/</w:t>
      </w:r>
    </w:p>
    <w:p>
      <w:pPr>
        <w:pStyle w:val="FirstParagraph"/>
      </w:pPr>
      <w:r>
        <w:t xml:space="preserve">Expected runtime: under 15 seconds on commodity hardware. Output verification is provided by</w:t>
      </w:r>
      <w:r>
        <w:t xml:space="preserve"> </w:t>
      </w:r>
      <w:r>
        <w:rPr>
          <w:rStyle w:val="VerbatimChar"/>
        </w:rPr>
        <w:t xml:space="preserve">MANIFEST.sha256</w:t>
      </w:r>
      <w:r>
        <w:t xml:space="preserve">; running</w:t>
      </w:r>
      <w:r>
        <w:t xml:space="preserve"> </w:t>
      </w:r>
      <w:r>
        <w:rPr>
          <w:rStyle w:val="VerbatimChar"/>
        </w:rPr>
        <w:t xml:space="preserve">sha256sum -c MANIFEST.sha256</w:t>
      </w:r>
      <w:r>
        <w:t xml:space="preserve"> </w:t>
      </w:r>
      <w:r>
        <w:t xml:space="preserve">from the repository root confirms byte-identical reproduction of all 52 archived files. The artefact’s</w:t>
      </w:r>
      <w:r>
        <w:t xml:space="preserve"> </w:t>
      </w:r>
      <w:r>
        <w:rPr>
          <w:rStyle w:val="VerbatimChar"/>
        </w:rPr>
        <w:t xml:space="preserve">docs/non_validation_disclaimer.md</w:t>
      </w:r>
      <w:r>
        <w:t xml:space="preserve"> </w:t>
      </w:r>
      <w:r>
        <w:t xml:space="preserve">reproduces verbatim the non-validation statement from this appendix.</w:t>
      </w:r>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Materials — Paper 3</dc:title>
  <dc:creator/>
  <cp:keywords/>
  <dcterms:created xsi:type="dcterms:W3CDTF">2026-04-26T12:13:00Z</dcterms:created>
  <dcterms:modified xsi:type="dcterms:W3CDTF">2026-04-26T12:13:00Z</dcterms:modified>
</cp:coreProperties>
</file>

<file path=docProps/custom.xml><?xml version="1.0" encoding="utf-8"?>
<Properties xmlns="http://schemas.openxmlformats.org/officeDocument/2006/custom-properties" xmlns:vt="http://schemas.openxmlformats.org/officeDocument/2006/docPropsVTypes"/>
</file>