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5722C" w14:textId="77777777" w:rsidR="00DB5F76" w:rsidRDefault="00000000">
      <w:pPr>
        <w:spacing w:after="200"/>
        <w:jc w:val="center"/>
      </w:pPr>
      <w:r>
        <w:rPr>
          <w:b/>
          <w:bCs/>
          <w:sz w:val="28"/>
          <w:szCs w:val="28"/>
        </w:rPr>
        <w:t>Governance Friction Optimisation for Clinical AI: A Monte Carlo Framework for Non-Compensatory Gate Threshold Calibration</w:t>
      </w:r>
    </w:p>
    <w:p w14:paraId="29C9C858" w14:textId="77777777" w:rsidR="00DB5F76" w:rsidRDefault="00000000">
      <w:pPr>
        <w:spacing w:after="100"/>
        <w:jc w:val="center"/>
      </w:pPr>
      <w:r>
        <w:t>Walter C. Brown, MSc, MA</w:t>
      </w:r>
    </w:p>
    <w:p w14:paraId="3D17A0F3" w14:textId="77777777" w:rsidR="00DB5F76" w:rsidRDefault="00000000">
      <w:pPr>
        <w:spacing w:after="400"/>
        <w:jc w:val="center"/>
      </w:pPr>
      <w:r>
        <w:rPr>
          <w:i/>
          <w:iCs/>
          <w:sz w:val="22"/>
          <w:szCs w:val="22"/>
        </w:rPr>
        <w:t xml:space="preserve">Target Journal: </w:t>
      </w:r>
      <w:proofErr w:type="spellStart"/>
      <w:r>
        <w:rPr>
          <w:i/>
          <w:iCs/>
          <w:sz w:val="22"/>
          <w:szCs w:val="22"/>
        </w:rPr>
        <w:t>npj</w:t>
      </w:r>
      <w:proofErr w:type="spellEnd"/>
      <w:r>
        <w:rPr>
          <w:i/>
          <w:iCs/>
          <w:sz w:val="22"/>
          <w:szCs w:val="22"/>
        </w:rPr>
        <w:t xml:space="preserve"> Digital Medicine</w:t>
      </w:r>
    </w:p>
    <w:p w14:paraId="4E8660F8" w14:textId="77777777" w:rsidR="00DB5F76" w:rsidRDefault="00000000">
      <w:pPr>
        <w:spacing w:after="120" w:line="360" w:lineRule="auto"/>
      </w:pPr>
      <w:r>
        <w:t xml:space="preserve">Walter Brown Optimising Governance Friction in Medical AI: A Monte Carlo Study of Audit Thresholds Walter Brown Ethical Alpha Audit Ltd, London, United Kingdom; NHS England, Basildon, United Kingdom │ ORCID: 0000-0002-6050-8522 │ Target Journal: </w:t>
      </w:r>
      <w:proofErr w:type="spellStart"/>
      <w:r>
        <w:t>npj</w:t>
      </w:r>
      <w:proofErr w:type="spellEnd"/>
      <w:r>
        <w:t xml:space="preserve"> Digital Medicine</w:t>
      </w:r>
    </w:p>
    <w:p w14:paraId="1442EA01" w14:textId="77777777" w:rsidR="00DB5F76" w:rsidRDefault="00000000">
      <w:pPr>
        <w:spacing w:after="120" w:line="360" w:lineRule="auto"/>
      </w:pPr>
      <w:r>
        <w:t>Background: The rapid deployment of AI systems in clinical settings demands governance frameworks that balance patient safety against innovation throughput. Non-compensatory (conjunctive) governance gates, which require independent thresholds on safety, evidence quality, bias, calibration, and traceability, offer a principled approach but risk excessive friction. Methods: We developed a Monte Carlo simulation framework implementing a Structural Causal Model (SCM) linking 14 latent AI system traits to harms, governance signals, and lifecycle outcomes. We simulated 10,000 synthetic AI systems across 5 scenario families and 4 threshold profiles, with 5 replicates each (100 total evaluations). Multi-objective optimisation (NSGA-II) identified Pareto-optimal threshold configurations. Sobol global sensitivity analysis quantified parameter influence.</w:t>
      </w:r>
    </w:p>
    <w:p w14:paraId="6617EF05" w14:textId="77777777" w:rsidR="00DB5F76" w:rsidRDefault="00000000">
      <w:pPr>
        <w:spacing w:after="120" w:line="360" w:lineRule="auto"/>
      </w:pPr>
      <w:r>
        <w:t xml:space="preserve">Decision Curve Analysis evaluated policy selection under varying harm–benefit preferences. Results: Non-compensatory gates achieved 99.8% unsafe system detection compared to 77.2% for compensatory scoring in this simulation, with 152-fold lower false-negative harm (2.1 vs 323.1 cumulative harm units) in this simulation. Under the moderate non-compensatory profile with a 20% unsafe base rate, the expected number of unsafe systems approved per 100 deployment decisions was 0.04, compared to 4.56 under compensatory scoring, in this simulation. NSGA-II identified 60 Pareto-optimal threshold profiles, of which 20 fell within a policy sweet-spot region (detection ≥70%, throughput ≥50%). The safety gate threshold was the dominant contributor in this simulation (Sobol total-order index = 1.00 for detection rate). Conclusions: A policy-proportionate governance region exists where non-compensatory gates detect nearly all unsafe AI systems while maintaining feasible friction costs. The non-compensatory advantage persisted across five alternative compensatory weighting schemes, with </w:t>
      </w:r>
      <w:r>
        <w:lastRenderedPageBreak/>
        <w:t>false-negative harm ratios ranging from 50-fold to 249-fold. These findings provide a model-derived basis for calibrating gate-based governance architectures for medical AI deployment.</w:t>
      </w:r>
    </w:p>
    <w:p w14:paraId="3F3977AC" w14:textId="77777777" w:rsidR="00DB5F76" w:rsidRDefault="00000000">
      <w:pPr>
        <w:spacing w:after="120" w:line="360" w:lineRule="auto"/>
      </w:pPr>
      <w:r>
        <w:t>The integration of artificial intelligence into clinical decision-making presents a fundamental governance challenge: how to assure patient safety without imposing disproportionate barriers that block beneficial innovation. Current governance approaches range from permissive post-market surveillance (e.g. the FDA SaMD Action Plan [8]) to stringent pre-deployment gatekeeping (e.g. the EU AI Act risk classification), yet the quantitative trade-offs between these extremes remain poorly characterised.</w:t>
      </w:r>
    </w:p>
    <w:p w14:paraId="1AB0C7B2" w14:textId="77777777" w:rsidR="00DB5F76" w:rsidRDefault="00000000">
      <w:pPr>
        <w:spacing w:after="120" w:line="360" w:lineRule="auto"/>
      </w:pPr>
      <w:r>
        <w:t>This tension is particularly acute in medical AI, where deployment of a genuinely unsafe system risks patient harm, but rejection of a safe and effective system denies clinical benefit. Governance frameworks must navigate this dual risk under conditions of imperfect audit information, adversarial gaming by developers, and performance drift over time.</w:t>
      </w:r>
    </w:p>
    <w:p w14:paraId="0AE9B2B6" w14:textId="77777777" w:rsidR="00DB5F76" w:rsidRDefault="00000000">
      <w:pPr>
        <w:spacing w:after="120" w:line="360" w:lineRule="auto"/>
      </w:pPr>
      <w:r>
        <w:t>Non-compensatory (conjunctive) governance models, where independent thresholds must be met across multiple domains, offer theoretical advantages over compensatory composite scoring—the weighted additive aggregation logic used in multi-criteria decision analysis [12] and composite indicator frameworks [13]. In a compensatory framework, excellence in one domain (e.g., clinical utility) can mask deficiency in another (e.g., bias). Non-compensatory gates prevent this masking by requiring each domain to independently meet a minimum standard.</w:t>
      </w:r>
    </w:p>
    <w:p w14:paraId="4279A8B0" w14:textId="77777777" w:rsidR="00DB5F76" w:rsidRDefault="00000000">
      <w:pPr>
        <w:spacing w:after="120" w:line="360" w:lineRule="auto"/>
      </w:pPr>
      <w:r>
        <w:t>However, the proportionality of non-compensatory governance has not been systematically investigated. A regime that is too strict may block most safe systems while offering only marginal improvements in unsafe system detection. The existence of a "sweet spot" — a threshold region that is simultaneously safe and proportionate — is an empirical question amenable to computational study.</w:t>
      </w:r>
    </w:p>
    <w:p w14:paraId="50494719" w14:textId="77777777" w:rsidR="00DB5F76" w:rsidRDefault="00000000">
      <w:pPr>
        <w:spacing w:after="120" w:line="360" w:lineRule="auto"/>
      </w:pPr>
      <w:r>
        <w:t xml:space="preserve">This study provides the policy-calibration analysis: how gate thresholds should be optimised to balance safety and throughput. We present a Monte Carlo simulation framework that models the complete governance pipeline: from latent AI system properties, through noisy audit observation, to governance decisions and lifecycle outcomes. Our approach is grounded in a Structural Causal Model (SCM) that makes all dependence assumptions explicit and enables principled sensitivity analysis [3,4]. We use multi-objective optimisation (NSGA-II [1]) to identify Pareto-optimal </w:t>
      </w:r>
      <w:r>
        <w:lastRenderedPageBreak/>
        <w:t>threshold configurations and Decision Curve Analysis [2] to evaluate policy selection under varying harm–benefit preferences.</w:t>
      </w:r>
    </w:p>
    <w:p w14:paraId="263957C9" w14:textId="77777777" w:rsidR="00DB5F76" w:rsidRDefault="00000000">
      <w:pPr>
        <w:spacing w:after="120" w:line="360" w:lineRule="auto"/>
      </w:pPr>
      <w:r>
        <w:t xml:space="preserve">The companion simulation study addresses a prerequisite question: under what evidence distribution conditions non-compensatory gates retain a safety advantage over composite scoring. The present study takes that advantage as established under heterogeneous conditions and asks a distinct question: how should gate thresholds be calibrated to optimise the trade-off between unsafe system detection and innovation throughput? The methodological contribution is the multi-objective Pareto analysis, Sobol global sensitivity decomposition, and decision curve analysis—tools </w:t>
      </w:r>
      <w:proofErr w:type="gramStart"/>
      <w:r>
        <w:t>not present</w:t>
      </w:r>
      <w:proofErr w:type="gramEnd"/>
      <w:r>
        <w:t xml:space="preserve"> in the companion study.</w:t>
      </w:r>
    </w:p>
    <w:p w14:paraId="00E97B5C" w14:textId="77777777" w:rsidR="00DB5F76" w:rsidRDefault="00000000">
      <w:pPr>
        <w:spacing w:after="120" w:line="360" w:lineRule="auto"/>
      </w:pPr>
      <w:r>
        <w:t>This is a computational simulation study.</w:t>
      </w:r>
    </w:p>
    <w:p w14:paraId="182E3AE3" w14:textId="77777777" w:rsidR="00DB5F76" w:rsidRDefault="00000000">
      <w:pPr>
        <w:spacing w:after="120" w:line="360" w:lineRule="auto"/>
      </w:pPr>
      <w:r>
        <w:t>All AI systems are synthetically generated; no real-world AI systems or patient data were used. The study follows a preregistered analysis plan (plan hash: 1fba2e24) and implements an independent replication protocol.</w:t>
      </w:r>
    </w:p>
    <w:p w14:paraId="4095CE5D" w14:textId="77777777" w:rsidR="00DB5F76" w:rsidRDefault="00000000">
      <w:pPr>
        <w:spacing w:after="120" w:line="360" w:lineRule="auto"/>
      </w:pPr>
      <w:r>
        <w:t>## Structural Causal Model</w:t>
      </w:r>
    </w:p>
    <w:p w14:paraId="4E1A9818" w14:textId="77777777" w:rsidR="00DB5F76" w:rsidRDefault="00000000">
      <w:pPr>
        <w:spacing w:after="120" w:line="360" w:lineRule="auto"/>
      </w:pPr>
      <w:r>
        <w:t>We specified a directed acyclic graph (DAG) with 28 nodes and 19 edges encoding causal relationships among latent traits, intermediate variables, and outcome nodes (Figure 6).</w:t>
      </w:r>
    </w:p>
    <w:p w14:paraId="6D49ABD4" w14:textId="77777777" w:rsidR="00DB5F76" w:rsidRDefault="00000000">
      <w:pPr>
        <w:spacing w:after="120" w:line="360" w:lineRule="auto"/>
      </w:pPr>
      <w:r>
        <w:t>The SCM defines how intrinsic system properties (safety, utility, calibration, bias, evidence quality, robustness, drift susceptibility, gaming capability) generate harms and governance signals through explicit functional forms. All structural equations were instantiated from a versioned function library (</w:t>
      </w:r>
      <w:proofErr w:type="spellStart"/>
      <w:r>
        <w:t>scm_</w:t>
      </w:r>
      <w:proofErr w:type="gramStart"/>
      <w:r>
        <w:t>functions.yaml</w:t>
      </w:r>
      <w:proofErr w:type="spellEnd"/>
      <w:proofErr w:type="gramEnd"/>
      <w:r>
        <w:t xml:space="preserve"> v1.0). Baseline harm follows a logistic function of intrinsic safety (intercept = −3.0, slope = 4.0). Subgroup harm amplification is linear in </w:t>
      </w:r>
      <w:proofErr w:type="spellStart"/>
      <w:r>
        <w:t>bias_harm_index</w:t>
      </w:r>
      <w:proofErr w:type="spellEnd"/>
      <w:r>
        <w:t xml:space="preserve"> (base = 1.0, sensitivity = 2.0). Stress failure follows a Bernoulli-logistic model with base rate approximately 5% and robustness effect of −3.0.</w:t>
      </w:r>
    </w:p>
    <w:p w14:paraId="3E51DF6C" w14:textId="77777777" w:rsidR="00DB5F76" w:rsidRDefault="00000000">
      <w:pPr>
        <w:spacing w:after="120" w:line="360" w:lineRule="auto"/>
      </w:pPr>
      <w:r>
        <w:t>## System Generation</w:t>
      </w:r>
    </w:p>
    <w:p w14:paraId="65F5125E" w14:textId="77777777" w:rsidR="00DB5F76" w:rsidRDefault="00000000">
      <w:pPr>
        <w:spacing w:after="120" w:line="360" w:lineRule="auto"/>
      </w:pPr>
      <w:r>
        <w:t>Synthetic AI systems were generated using a Gaussian copula [5] with Beta marginal distributions for bounded traits and lognormal for deployment volume. A 10×10 correlation matrix encoded associations justified by the SCM structure. Each simulation generated 10,000 systems per evaluation.</w:t>
      </w:r>
    </w:p>
    <w:p w14:paraId="05CE7BB7" w14:textId="77777777" w:rsidR="00DB5F76" w:rsidRDefault="00000000">
      <w:pPr>
        <w:spacing w:after="120" w:line="360" w:lineRule="auto"/>
      </w:pPr>
      <w:r>
        <w:t>## Observation Model</w:t>
      </w:r>
    </w:p>
    <w:p w14:paraId="5D6CCD9B" w14:textId="77777777" w:rsidR="00DB5F76" w:rsidRDefault="00000000">
      <w:pPr>
        <w:spacing w:after="120" w:line="360" w:lineRule="auto"/>
      </w:pPr>
      <w:r>
        <w:lastRenderedPageBreak/>
        <w:t>Observed audit signals were derived from true latent traits through three layers: (1) measurement noise (base SD = 0.05, reduced by artefact availability), (2) evidence regime effects (artefact-heavy, mixed, or self-report-heavy), and (3) adversarial misreporting bias proportional to gaming capability (scale = 0.15).</w:t>
      </w:r>
    </w:p>
    <w:p w14:paraId="3218A101" w14:textId="77777777" w:rsidR="00DB5F76" w:rsidRDefault="00000000">
      <w:pPr>
        <w:spacing w:after="120" w:line="360" w:lineRule="auto"/>
      </w:pPr>
      <w:r>
        <w:t>## Governance Policy Engine</w:t>
      </w:r>
    </w:p>
    <w:p w14:paraId="75E57A34" w14:textId="77777777" w:rsidR="00DB5F76" w:rsidRDefault="00000000">
      <w:pPr>
        <w:spacing w:after="120" w:line="360" w:lineRule="auto"/>
      </w:pPr>
      <w:r>
        <w:t>The Tier-1 governance model implements five non-compensable gates: safety, evidence quality, bias (inverted), calibration, and traceability. A system is approved only if all five observed gate scores meet their respective thresholds. Four predefined threshold profiles were evaluated: permissive, moderate, strict, and very strict. For comparison, a compensatory (composite scoring) regime was also implemented, using weighted averages (safety 30%, evidence 20%, bias 20%, calibration 15%, traceability 15%) with a single composite threshold.</w:t>
      </w:r>
    </w:p>
    <w:p w14:paraId="7F8E0ABB" w14:textId="77777777" w:rsidR="00DB5F76" w:rsidRDefault="00000000">
      <w:pPr>
        <w:spacing w:after="120" w:line="360" w:lineRule="auto"/>
      </w:pPr>
      <w:r>
        <w:t>Multi-objective Optimisation We applied multi-objective optimisation (NSGA-II [1]) to identify threshold configurations that simultaneously optimise four objectives: maximise unsafe system detection, maximise safe system throughput, minimise undetected harm, and minimise governance friction. The algorithm explored the five-dimensional threshold space (one threshold per gate, each ranging from 0.1 to 0.9) over 30 generations with a population of 60 candidate solutions. Solutions on the Pareto frontier represent configurations where no objective can be improved without degrading another.</w:t>
      </w:r>
    </w:p>
    <w:p w14:paraId="073EB33B" w14:textId="77777777" w:rsidR="00DB5F76" w:rsidRDefault="00000000">
      <w:pPr>
        <w:spacing w:after="120" w:line="360" w:lineRule="auto"/>
      </w:pPr>
      <w:r>
        <w:t xml:space="preserve">We defined a policy </w:t>
      </w:r>
      <w:proofErr w:type="gramStart"/>
      <w:r>
        <w:t>sweet-spot</w:t>
      </w:r>
      <w:proofErr w:type="gramEnd"/>
      <w:r>
        <w:t xml:space="preserve"> as frontier solutions achieving both detection ≥70% and throughput ≥50%. Sensitivity and Inference Sobol variance decomposition [3,4] was performed with 7 parameters (5 gate thresholds plus auditability noise and unsafe base rate) using 64 base samples. Bootstrap confidence intervals (500 resamples) and Bayesian Beta-posterior credible intervals were computed for key rates. Lifecycle dynamics were simulated over 12 time periods with drift accumulation, monitoring effects, and re-audit triggers.</w:t>
      </w:r>
    </w:p>
    <w:p w14:paraId="0B6E8553" w14:textId="77777777" w:rsidR="00DB5F76" w:rsidRDefault="00000000">
      <w:pPr>
        <w:spacing w:after="120" w:line="360" w:lineRule="auto"/>
      </w:pPr>
      <w:r>
        <w:t xml:space="preserve">Scenarios Five scenario families were evaluated: (1–3) varying unsafe base rates (10%, 20%, 30%) with moderate audit conditions; (4) low-risk conditions (2% noise, artefact-heavy evidence, low drift); (5) high-risk conditions (10% noise, self-report-heavy evidence, high drift). Each scenario was evaluated across all four threshold profiles with 5 replicates. Validation and Replication Seven automated validation tests were required to pass before results were accepted: </w:t>
      </w:r>
      <w:r>
        <w:lastRenderedPageBreak/>
        <w:t xml:space="preserve">safety monotonicity, </w:t>
      </w:r>
      <w:proofErr w:type="spellStart"/>
      <w:r>
        <w:t>bias→subgroup</w:t>
      </w:r>
      <w:proofErr w:type="spellEnd"/>
      <w:r>
        <w:t xml:space="preserve"> harm linkage, </w:t>
      </w:r>
      <w:proofErr w:type="spellStart"/>
      <w:r>
        <w:t>calibration→abstention</w:t>
      </w:r>
      <w:proofErr w:type="spellEnd"/>
      <w:r>
        <w:t xml:space="preserve"> correlation, drift behaviour, gaming behaviour, observation noise reduction, and value bounds.</w:t>
      </w:r>
    </w:p>
    <w:p w14:paraId="29FD7F0B" w14:textId="77777777" w:rsidR="00DB5F76" w:rsidRDefault="00000000">
      <w:pPr>
        <w:spacing w:after="120" w:line="360" w:lineRule="auto"/>
      </w:pPr>
      <w:r>
        <w:t>Independent replication verified deterministic reproduction of all key metrics within tolerance (≤0.01 absolute difference). Results Threshold Profile Performance Table 1 summarises the performance of four predefined threshold profiles at 20% unsafe base rate with moderate audit conditions. Table 1. Governance threshold profile performance (20% unsafe base rate, moderate audit conditions, 5 replicates). Profile Detection Rate Safe Throughput FN Harm Mean Friction Permissive 0.844 0.520 231.6 3.61 Moderate 0.</w:t>
      </w:r>
    </w:p>
    <w:p w14:paraId="7CFFA42E" w14:textId="77777777" w:rsidR="00DB5F76" w:rsidRDefault="00000000">
      <w:pPr>
        <w:spacing w:after="120" w:line="360" w:lineRule="auto"/>
      </w:pPr>
      <w:r>
        <w:t xml:space="preserve">999 0.213 1.8 3.76 Strict 1.000 0.023 0.0 3.95 Very Strict 1.000 0.004 0.0 4.03 </w:t>
      </w:r>
      <w:proofErr w:type="gramStart"/>
      <w:r>
        <w:t>Non-compensatory</w:t>
      </w:r>
      <w:proofErr w:type="gramEnd"/>
      <w:r>
        <w:t xml:space="preserve"> vs Compensatory Governance The non-compensatory (gate-based) approach outperformed compensatory scoring in safety terms in this simulation. Under the moderate threshold profile, non-compensatory gates achieved 99.8% detection versus 77.2% for compensatory scoring in this simulation. False-negative harm was 152 times lower for non-compensatory gates (2.1 vs 323.1 cumulative harm units). Compensatory scoring achieved higher throughput (81.</w:t>
      </w:r>
    </w:p>
    <w:p w14:paraId="764A7B15" w14:textId="77777777" w:rsidR="00DB5F76" w:rsidRDefault="00000000">
      <w:pPr>
        <w:spacing w:after="120" w:line="360" w:lineRule="auto"/>
      </w:pPr>
      <w:r>
        <w:t>2% vs 21.4%) by allowing systems with high composite scores to pass despite failing individual domains — precisely the masking effect that non-compensatory gates are designed to prevent.</w:t>
      </w:r>
    </w:p>
    <w:p w14:paraId="2260D6EE" w14:textId="77777777" w:rsidR="00DB5F76" w:rsidRDefault="00000000">
      <w:pPr>
        <w:spacing w:after="120" w:line="360" w:lineRule="auto"/>
      </w:pPr>
      <w:r>
        <w:t>Clinical Translation of Governance Performance To translate simulation outputs into terms accessible to clinical governance committees, we derived a per-deployment safety metric: the expected number of unsafe systems approved per 100 deployment decisions. Table 2 presents this metric across governance regimes and base rates. Table 2. Expected unsafe AI systems approved per 100 deployment decisions under different governance regimes and unsafe base rates. Regime Detection 10% base 20% base 30% base Throughput FN Harm NC Moderate 99.8% 0.02 0.04 0.06 21.3% 2.1 NC Permissive 84.4% 1.56 3.12 4.68 52.0% 231.6 Compensatory 77.2% 2.28 4.56 6.84 81.2% 323.1 In a model-derived illustrative scenario of a hospital trust evaluating 50 AI tools over five years with a 20% unsafe base rate, the moderate non-compensatory framework would be expected to miss fewer than 1 unsafe system, while compensatory scoring would miss approximately 2–3 unsafe systems. The false-negative harm differential (2.1 vs 323.1 cumulative harm units) translates to a 152-fold reduction in undetected harm under non-compensatory gates.</w:t>
      </w:r>
    </w:p>
    <w:p w14:paraId="78223D80" w14:textId="77777777" w:rsidR="00DB5F76" w:rsidRDefault="00000000">
      <w:pPr>
        <w:spacing w:after="120" w:line="360" w:lineRule="auto"/>
      </w:pPr>
      <w:r>
        <w:lastRenderedPageBreak/>
        <w:t>## Pareto Frontier</w:t>
      </w:r>
    </w:p>
    <w:p w14:paraId="549E5DEC" w14:textId="77777777" w:rsidR="00DB5F76" w:rsidRDefault="00000000">
      <w:pPr>
        <w:spacing w:after="120" w:line="360" w:lineRule="auto"/>
      </w:pPr>
      <w:r>
        <w:t>and Sweet-Spot NSGA-II identified 60 Pareto-optimal threshold configurations across the four-dimensional objective space (Figure 1). Detection rates on the frontier ranged from 29.8% to 100%, safe throughput from 18.8% to 88.7%, false-negative harm from 0.0 to 347.3, and mean friction from 3.26 to 3.55. Of these, 20 solutions (33%) fell within the policy sweet-spot region (detection ≥70%, throughput ≥50%), confirming the existence of a proportionate governance region.</w:t>
      </w:r>
    </w:p>
    <w:p w14:paraId="5A85FB7A" w14:textId="77777777" w:rsidR="00DB5F76" w:rsidRDefault="00000000">
      <w:pPr>
        <w:spacing w:after="120" w:line="360" w:lineRule="auto"/>
      </w:pPr>
      <w:r>
        <w:t>The Pareto frontier can also be interpreted through the lens of clinical governance decision-making. A hospital governance committee evaluating these alternative architectures would face a concrete trade-off: moderate gates approve approximately 21% of safe systems (vs 81% under compensatory scoring</w:t>
      </w:r>
      <w:proofErr w:type="gramStart"/>
      <w:r>
        <w:t>), but</w:t>
      </w:r>
      <w:proofErr w:type="gramEnd"/>
      <w:r>
        <w:t xml:space="preserve"> reduce the expected unsafe deployment rate from 4.56 to 0.04 per 100 evaluations. For institutions where the consequences of deploying an unsafe system are severe (e.g., sepsis prediction, cancer treatment recommendation), the moderate profile dominates. For lower-risk applications (e.g., administrative workflow tools), the permissive profile or even compensatory scoring may represent proportionate governance. The 20 sweet-spot solutions offer governance committees a menu of calibrated options rather than a single prescriptive threshold set.</w:t>
      </w:r>
    </w:p>
    <w:p w14:paraId="610D61DE" w14:textId="77777777" w:rsidR="00DB5F76" w:rsidRDefault="00000000">
      <w:pPr>
        <w:spacing w:after="120" w:line="360" w:lineRule="auto"/>
      </w:pPr>
      <w:r>
        <w:t>Table 3. Pareto frontier summary statistics (60 non-dominated solutions).</w:t>
      </w:r>
    </w:p>
    <w:p w14:paraId="597066BA" w14:textId="77777777" w:rsidR="00DB5F76" w:rsidRDefault="00000000">
      <w:pPr>
        <w:spacing w:after="120" w:line="360" w:lineRule="auto"/>
      </w:pPr>
      <w:r>
        <w:t>Sobol total-order indices [3] revealed that the safety gate threshold was the dominant contributor in this simulation to both unsafe detection rate (ST = 1.00) and false-negative harm (ST = 1.00). For safe throughput, influence was more distributed, with the calibration gate (ST = 0.32), safety gate, and evidence gate all contributing meaningfully. Mean friction was most influenced by the safety gate (ST = 0.23).</w:t>
      </w:r>
    </w:p>
    <w:p w14:paraId="4821C8AF" w14:textId="77777777" w:rsidR="00DB5F76" w:rsidRDefault="00000000">
      <w:pPr>
        <w:spacing w:after="120" w:line="360" w:lineRule="auto"/>
      </w:pPr>
      <w:r>
        <w:t>## Lifecycle Dynamics</w:t>
      </w:r>
    </w:p>
    <w:p w14:paraId="531CB69E" w14:textId="77777777" w:rsidR="00DB5F76" w:rsidRDefault="00000000">
      <w:pPr>
        <w:spacing w:after="120" w:line="360" w:lineRule="auto"/>
      </w:pPr>
      <w:r>
        <w:t>Over 12 simulated time periods under the medium drift regime, mean performance decay reached 0.033, with mean cumulative harm of 5.05. The re-audit trigger rate was 10.1%, indicating that approximately one in ten approved systems would require re-evaluation during the monitoring period.</w:t>
      </w:r>
    </w:p>
    <w:p w14:paraId="0F96AB76" w14:textId="77777777" w:rsidR="00DB5F76" w:rsidRDefault="00000000">
      <w:pPr>
        <w:spacing w:after="120" w:line="360" w:lineRule="auto"/>
      </w:pPr>
      <w:r>
        <w:t>## Statistical Inference</w:t>
      </w:r>
    </w:p>
    <w:p w14:paraId="223C7C1A" w14:textId="77777777" w:rsidR="00DB5F76" w:rsidRDefault="00000000">
      <w:pPr>
        <w:spacing w:after="120" w:line="360" w:lineRule="auto"/>
      </w:pPr>
      <w:r>
        <w:lastRenderedPageBreak/>
        <w:t>Under the moderate threshold profile, bootstrap confidence intervals (500 resamples) for the unsafe detection rate were [0.994, 0.998] around a mean of 0.996. Safe throughput was estimated at 0.210 [0.203, 0.217].</w:t>
      </w:r>
    </w:p>
    <w:p w14:paraId="0571A7B3" w14:textId="77777777" w:rsidR="00DB5F76" w:rsidRDefault="00000000">
      <w:pPr>
        <w:spacing w:after="120" w:line="360" w:lineRule="auto"/>
      </w:pPr>
      <w:r>
        <w:t>Bayesian Beta-posterior 95% credible intervals confirmed these estimates.</w:t>
      </w:r>
    </w:p>
    <w:p w14:paraId="743B1E9E" w14:textId="77777777" w:rsidR="00DB5F76" w:rsidRDefault="00000000">
      <w:pPr>
        <w:spacing w:after="120" w:line="360" w:lineRule="auto"/>
      </w:pPr>
      <w:r>
        <w:t xml:space="preserve">All seven internal validity tests passed. Deterministic replication achieved zero absolute difference across all four key metrics, confirming full reproducibility. Additionally, the companion historical replay study — processing 12 documented AI governance failures through the identical </w:t>
      </w:r>
      <w:proofErr w:type="spellStart"/>
      <w:r>
        <w:t>GovernancePolicyEngine</w:t>
      </w:r>
      <w:proofErr w:type="spellEnd"/>
      <w:r>
        <w:t xml:space="preserve"> — found that non-compensatory gates rejected 11 of 12 known failures (91.7% sensitivity) in the retrospective Core-12 cohort, and all 20 core-equivalent failure cases were blocked with 12/12 FDA-cleared controls approved (specificity 1.000) in the unified evaluation, under the moderate profile, with 100% outcome stability under Monte Carlo perturbation of evidence uncertainty bounds. This consistency between simulation predictions and structured case replay within a shared modelling framework is consistent with the gate architecture's safety properties.</w:t>
      </w:r>
    </w:p>
    <w:p w14:paraId="1B129421" w14:textId="77777777" w:rsidR="00DB5F76" w:rsidRDefault="00000000">
      <w:pPr>
        <w:spacing w:after="120" w:line="360" w:lineRule="auto"/>
      </w:pPr>
      <w:r>
        <w:t>The simulation framework implements sensitivity-aware governance by design. Interaction is defined operationally as non-additivity of outcome sensitivity [3,4] under joint perturbation of threshold parameters and evidence confidence distributions. In this context, an interaction effect is present where the combined influence of parameter variation and evidence variation on deployment decisions differs from the sum of their independent effects. Formal characterisation of this interaction is a prespecified objective for future empirical work using factorial simulation designs and variance-based sensitivity analysis (e.g. Sobol interaction indices).</w:t>
      </w:r>
    </w:p>
    <w:p w14:paraId="32C96BDD" w14:textId="77777777" w:rsidR="00DB5F76" w:rsidRDefault="00000000">
      <w:pPr>
        <w:spacing w:after="120" w:line="360" w:lineRule="auto"/>
      </w:pPr>
      <w:r>
        <w:t>The Pareto frontier reported above can be interpreted as a projection of a higher-dimensional decision surface defined jointly by parameter configuration and evidence quality: the optimal threshold configurations identified by NSGA-II are conditional on the evidence regime under which the simulation operates, and different evidence conditions would produce a different frontier geometry. The five gate thresholds are exposed as calibratable parameters rather than hard-coded constants; the NSGA-II optimisation explores the full five-dimensional threshold space to characterise which configurations achieve both adequate detection and feasible throughput. The Sobol variance decomposition provides a principled answer to the parameter calibration question: the safety gate threshold dominates detection and harm outcomes (total-</w:t>
      </w:r>
      <w:r>
        <w:lastRenderedPageBreak/>
        <w:t>order index 1.00), while calibration and evidence thresholds modulate throughput. This decomposition enables governance committees to focus calibration effort on the parameter with the highest marginal impact.</w:t>
      </w:r>
    </w:p>
    <w:p w14:paraId="743BC7C3" w14:textId="77777777" w:rsidR="00DB5F76" w:rsidRDefault="00000000">
      <w:pPr>
        <w:spacing w:after="120" w:line="360" w:lineRule="auto"/>
      </w:pPr>
      <w:r>
        <w:t>Evidence sensitivity is embedded in the observation model, which generates governance signals from latent system properties through measurement noise, evidence regime effects, and adversarial misreporting. The non-compensatory architecture's response to evidence quality variation is structurally different from that of compensatory scoring: when evidence quality degrades in one domain, compensatory scoring can still approve the system if other domains compensate, whereas non-compensatory gates maintain their domain-specific floors. The 152-fold reduction in false-negative harm under non-compensatory governance in this simulation reflects, in part, this structural difference in evidence sensitivity behaviour.</w:t>
      </w:r>
    </w:p>
    <w:p w14:paraId="346B72CF" w14:textId="77777777" w:rsidR="00DB5F76" w:rsidRDefault="00000000">
      <w:pPr>
        <w:spacing w:after="120" w:line="360" w:lineRule="auto"/>
      </w:pPr>
      <w:r>
        <w:t># Discussion</w:t>
      </w:r>
    </w:p>
    <w:p w14:paraId="1920497E" w14:textId="77777777" w:rsidR="00DB5F76" w:rsidRDefault="00000000">
      <w:pPr>
        <w:spacing w:after="120" w:line="360" w:lineRule="auto"/>
      </w:pPr>
      <w:r>
        <w:t>This simulation study provides quantitative evidence for the existence of a policy-proportionate governance region for medical AI. Our principal finding is that non-compensatory governance gates achieve near-complete detection of unsafe AI systems in this simulation, with substantially lower false-negative harm than compensatory scoring.</w:t>
      </w:r>
    </w:p>
    <w:p w14:paraId="06B01588" w14:textId="77777777" w:rsidR="00DB5F76" w:rsidRDefault="00000000">
      <w:pPr>
        <w:spacing w:after="120" w:line="360" w:lineRule="auto"/>
      </w:pPr>
      <w:r>
        <w:t>This harm reduction achieved by non-compensatory gates over compensatory scoring (2.1 vs 323.1 units) in this simulation is the most policy-relevant finding. This occurs because compensatory scoring allows systems with a deficient safety dimension to pass if other dimensions are strong enough to raise the composite score above threshold. In clinical contexts, this masking effect is precisely the failure mode that governance must prevent.</w:t>
      </w:r>
    </w:p>
    <w:p w14:paraId="2C36C312" w14:textId="77777777" w:rsidR="00DB5F76" w:rsidRDefault="00000000">
      <w:pPr>
        <w:spacing w:after="120" w:line="360" w:lineRule="auto"/>
      </w:pPr>
      <w:r>
        <w:t xml:space="preserve">These findings may inform clinical AI governance bodies. First, the dominance of the safety gate threshold (Sobol total-order index [3] = 1.00 for detection and harm) suggests that governance calibration efforts may focus primarily on defining "safe enough" — the minimum acceptable level of intrinsic safety for deployment. Other gates modulate throughput and fairness but have secondary effects on the primary safety objective. Second, the existence of a proportionate governance region (20 of 60 Pareto-optimal solutions meeting detection ≥70% and throughput ≥50%) suggests that governance need not be a binary choice between permissive and strict. Regulators and hospital governance committees can select from a calibrated menu of threshold configurations that trade off safety and throughput according to institutional risk tolerance. </w:t>
      </w:r>
      <w:r>
        <w:lastRenderedPageBreak/>
        <w:t>Third, the lifecycle finding that 10.1% of approved systems trigger re-audit within the monitoring period supports post-market surveillance obligations as a governance complement, not a substitute for pre-deployment gating.</w:t>
      </w:r>
    </w:p>
    <w:p w14:paraId="4BE65A03" w14:textId="77777777" w:rsidR="00DB5F76" w:rsidRDefault="00000000">
      <w:pPr>
        <w:spacing w:after="120" w:line="360" w:lineRule="auto"/>
      </w:pPr>
      <w:r>
        <w:t>Finally, the "unsafe systems per 100 deployments" metric (0.04 under moderate non-compensatory vs 4.56 under compensatory) provides a concrete, communicable basis for governance decisions that does not require technical understanding of the underlying simulation mechanics.</w:t>
      </w:r>
    </w:p>
    <w:p w14:paraId="5F180213" w14:textId="77777777" w:rsidR="00DB5F76" w:rsidRDefault="00000000">
      <w:pPr>
        <w:spacing w:after="120" w:line="360" w:lineRule="auto"/>
      </w:pPr>
      <w:r>
        <w:t>Alternative Weighting Sensitivity To test whether the non-compensatory advantage depends on the specific compensatory weighting scheme, four alternative weighting configurations were evaluated alongside the baseline (safety 30%, evidence 20%, bias 20%, calibration 15%, traceability 15%). The non-compensatory advantage persisted across all five schemes. The false-negative harm ratio ranged from 50 times (under a safety-heavy compensatory weighting of 50%) to 249 times (under a safety-minimal weighting of 10%). Even the most favourable compensatory configuration—which maximised the safety weight—still produced approximately 50 times more undetected harm than non-compensatory gates. The magnitude of the advantage is therefore partly weighting-dependent, but its existence is not.</w:t>
      </w:r>
    </w:p>
    <w:p w14:paraId="37147CB4" w14:textId="77777777" w:rsidR="00DB5F76" w:rsidRDefault="00000000">
      <w:pPr>
        <w:spacing w:after="120" w:line="360" w:lineRule="auto"/>
      </w:pPr>
      <w:r>
        <w:t>The trade-off, however, is throughput. Non-compensatory gates under the moderate profile passed only 21.3% of safe systems, compared to 81.2% for compensatory scoring. Whether this trade-off is acceptable depends on the harm–benefit calculus, which our Decision Curve Analysis [2] addresses by showing net benefit across a range of preference thresholds.</w:t>
      </w:r>
    </w:p>
    <w:p w14:paraId="2800CB27" w14:textId="77777777" w:rsidR="00DB5F76" w:rsidRDefault="00000000">
      <w:pPr>
        <w:spacing w:after="120" w:line="360" w:lineRule="auto"/>
      </w:pPr>
      <w:r>
        <w:t>The dominance of the safety gate threshold in Sobol sensitivity analysis suggests that governance calibration efforts may focus primarily on the safety dimension. Other gates contribute to throughput modulation but have secondary effects on the primary safety objective.</w:t>
      </w:r>
    </w:p>
    <w:p w14:paraId="417E4EC4" w14:textId="77777777" w:rsidR="00DB5F76" w:rsidRDefault="00000000">
      <w:pPr>
        <w:spacing w:after="120" w:line="360" w:lineRule="auto"/>
      </w:pPr>
      <w:r>
        <w:t>PhysioNet benchmark validation is described in Supplementary Appendix B. Both models were rejected under the moderate profile (safety gate binding) and approved under the permissive profile, consistent with the simulation\'s Pareto analysis.</w:t>
      </w:r>
    </w:p>
    <w:p w14:paraId="25A08681" w14:textId="77777777" w:rsidR="00DB5F76" w:rsidRDefault="00000000">
      <w:pPr>
        <w:spacing w:after="120" w:line="360" w:lineRule="auto"/>
      </w:pPr>
      <w:r>
        <w:t xml:space="preserve">Reproducible Evidence Enrichment Pipeline. The enriched evidence base was generated through a four-stage computational pipeline: (1) Evidence Enrichment Engine v1.2 performed multi-source retrieval for 39 cases from peer-reviewed publications and regulatory filings; (2) the </w:t>
      </w:r>
      <w:r>
        <w:lastRenderedPageBreak/>
        <w:t xml:space="preserve">Triangulation Confidence Layer computed confidence-weighted means per feature, yielding 76 triangulated features across 37 cases with provenance classification; (3) </w:t>
      </w:r>
      <w:proofErr w:type="spellStart"/>
      <w:r>
        <w:t>canonicalisation</w:t>
      </w:r>
      <w:proofErr w:type="spellEnd"/>
      <w:r>
        <w:t xml:space="preserve"> transformed outputs into a versioned dataset (v1.0.0) with risk classification and integrity assessment; (4) repository integration (v3.1.0) applied the canonical extension as a non-destructive sidecar with manifest verification (106 files, 30/30 validation checks passed). The pipeline maintains a cryptographic audit trail from enrichment through release and is deterministic. All artefacts are archived in the Ethical Alpha Audit Core Scientific Record (https://doi.org/10.5281/zenodo.19389890).</w:t>
      </w:r>
    </w:p>
    <w:p w14:paraId="1A54B96A" w14:textId="77777777" w:rsidR="00DB5F76" w:rsidRDefault="00000000">
      <w:pPr>
        <w:spacing w:after="120" w:line="360" w:lineRule="auto"/>
      </w:pPr>
      <w:r>
        <w:t>A subsequent evidence enrichment pipeline processed 39 cases through multi-source triangulation, confirming the safety gate as the dominant constraint across 37 fully triangulated cases (confidence: 0.73–0.93; 21 STRONG, 16 FRAGILE, 2 BLOCKED). This is consistent with the Sobol finding (total-order index = 1.00) and supports safety threshold calibration as the primary governance lever. All artefacts are archived in the Ethical Alpha Audit Core Scientific Record (https://doi.org/10.5281/zenodo.19389890).</w:t>
      </w:r>
    </w:p>
    <w:p w14:paraId="3F59D3FA" w14:textId="77777777" w:rsidR="00DB5F76" w:rsidRDefault="00000000">
      <w:pPr>
        <w:spacing w:after="120" w:line="360" w:lineRule="auto"/>
      </w:pPr>
      <w:r>
        <w:t>This work represents a computational simulation study and does not constitute prospective real-world validation. Several limitations should be noted.</w:t>
      </w:r>
    </w:p>
    <w:p w14:paraId="7425E7B2" w14:textId="77777777" w:rsidR="00DB5F76" w:rsidRDefault="00000000">
      <w:pPr>
        <w:spacing w:after="120" w:line="360" w:lineRule="auto"/>
      </w:pPr>
      <w:r>
        <w:t>Evidence encoding for the companion historical replay study was performed by a single author. An encoding perturbation analysis demonstrated 99.6% verdict stability under single-feature perturbation within a ±0.10 stress-test envelope (239/240 evaluations), but this computational check does not substitute for independent inter-rater reliability.</w:t>
      </w:r>
    </w:p>
    <w:p w14:paraId="6D369B9C" w14:textId="77777777" w:rsidR="00DB5F76" w:rsidRDefault="00000000">
      <w:pPr>
        <w:spacing w:after="120" w:line="360" w:lineRule="auto"/>
      </w:pPr>
      <w:r>
        <w:t xml:space="preserve">First, the friction optimisation is calibrated against a governance evaluation system whose specificity estimate (1.000 from 12 FDA-cleared controls [8] against 20 core-equivalent failure cases) reflects a regulatory-grounded baseline; device-specific independent evaluations are needed to confirm that optimised friction parameters generalise to heterogeneous real-world deployment portfolios. Second, this is a synthetic computational study; all AI systems are simulated, not empirical. The generative distributions and SCM functional forms are assumed and may not capture the full complexity of real-world AI system properties. Third, the observation model simplifies the audit process. Fourth, the lifecycle model uses a simplified drift mechanism. Sixth, the compensatory comparison uses a specific weighting scheme; other weightings might narrow the performance gap. Seventh, the "unsafe systems per 100 </w:t>
      </w:r>
      <w:r>
        <w:lastRenderedPageBreak/>
        <w:t>deployments" metric assumes that the simulated base rates and detection rates transfer to institutional settings — a strong assumption that requires prospective validation. A secondary analysis will explicitly evaluate decision stability under controlled joint perturbation of threshold parameters and evidence confidence bounds. This analysis is designed to characterise interaction effects between parameterisation and evidence quality under institutional conditions, enabling empirical mapping of the decision surface defined by these two dimensions.</w:t>
      </w:r>
    </w:p>
    <w:p w14:paraId="62FCAAED" w14:textId="77777777" w:rsidR="00DB5F76" w:rsidRDefault="00000000">
      <w:pPr>
        <w:spacing w:after="120" w:line="360" w:lineRule="auto"/>
      </w:pPr>
      <w:r>
        <w:t>Validation Hierarchy The evidence supporting the non-compensatory gate architecture currently spans two validation tiers: Tier 4 (computational simulation, characterising theoretical properties under modelled conditions) and Tier 3 (structured retrospective replay, testing the architecture against documented historical failures with triangulated evidence). Tier 2 (real-world observational evaluation using institutional AI portfolio data) and Tier 1 (prospective controlled evaluation within live governance processes) remain outstanding and constitute the necessary next steps before deployment recommendations can be made. No finding in the present study should be interpreted as evidence from Tier 1 or Tier 2.</w:t>
      </w:r>
    </w:p>
    <w:p w14:paraId="12363EA9" w14:textId="77777777" w:rsidR="00DB5F76" w:rsidRDefault="00000000">
      <w:pPr>
        <w:spacing w:after="120" w:line="360" w:lineRule="auto"/>
      </w:pPr>
      <w:r>
        <w:t>Patient-Level Consequence Pathway The governance friction trade-off quantified here has direct patient-level consequences. Under the moderate non-compensatory profile, the expected number of unsafe systems approved per 100 deployment decisions is 0.04, compared to 4.56 under compensatory scoring in this simulation. The difference represents the patient-level cost of compensatory masking: systems with critical safety deficiencies reaching clinical deployment because strengths in other domains offset the safety gap.</w:t>
      </w:r>
    </w:p>
    <w:p w14:paraId="460E96D6" w14:textId="77777777" w:rsidR="00DB5F76" w:rsidRDefault="00000000">
      <w:pPr>
        <w:spacing w:after="120" w:line="360" w:lineRule="auto"/>
      </w:pPr>
      <w:r>
        <w:t>Scope Boundaries The gate architecture addresses governance evidence assessment within five specified domains. It does not address deployment risks arising from sociotechnical integration failures, procurement governance, clinical trial substitution where required by regulation, workflow integration, clinician trust calibration, or real-time human factors. These domains fall outside the architecture's scope and require complementary assessment processes.</w:t>
      </w:r>
    </w:p>
    <w:p w14:paraId="38BD677C" w14:textId="77777777" w:rsidR="00DB5F76" w:rsidRDefault="00000000">
      <w:pPr>
        <w:spacing w:after="120" w:line="360" w:lineRule="auto"/>
      </w:pPr>
      <w:r>
        <w:t xml:space="preserve">Our simulation identifies a policy-proportionate governance region for non-compensatory audit threshold configurations in medical AI. Within this region, gate-based governance detects nearly all unsafe systems (\&gt;99%) while maintaining operationally feasible friction costs, achieving 152 times lower false-negative harm than compensatory scoring. Translated to institutional terms, the moderate non-compensatory profile is expected to approve 0.04 unsafe systems per 100 </w:t>
      </w:r>
      <w:r>
        <w:lastRenderedPageBreak/>
        <w:t>deployment decisions, compared to 4.56 under compensatory scoring. The safety gate threshold is the single most influential parameter. These findings support tiered, gate-based governance architectures and highlight the importance of calibrating safety thresholds as the primary governance lever. The simulation framework, analysis plan, and all outputs are publicly available at https://doi.org/10.5281/zenodo.19499806 for independent verification.</w:t>
      </w:r>
    </w:p>
    <w:p w14:paraId="5537CE6C" w14:textId="77777777" w:rsidR="00DB5F76" w:rsidRDefault="00000000">
      <w:pPr>
        <w:spacing w:after="120" w:line="360" w:lineRule="auto"/>
      </w:pPr>
      <w:r>
        <w:t xml:space="preserve">All analyses are reproducible via the corrected public governance engine (archived reference implementation), validated for full internal consistency across all evaluated configurations against the canonical baseline lock. A reproducibility artefact containing the engine, canonical dataset, normalised dataset, perturbation dataset, and hash manifests is archived with the supplementary materials. The engine supports dual-mode evaluation (static replay mode for historical analysis; full evaluation mode with SCM abstention override). The canonical 12-case dataset is the authoritative primary dataset; the normalised dataset is structurally equivalent (value-identical, all output fields confirmed identical); the perturbation dataset is synthetic and exploratory only. Code and data are available at https://github.com/ethical-alpha-audit/ethical-alpha-audit-paper-5-sensitivity-study (archived via </w:t>
      </w:r>
      <w:proofErr w:type="spellStart"/>
      <w:r>
        <w:t>Zenodo</w:t>
      </w:r>
      <w:proofErr w:type="spellEnd"/>
      <w:r>
        <w:t>; DOI: https://doi.org/10.5281/zenodo.19499806). Archived release: https://doi.org/10.5281/zenodo.19499806.</w:t>
      </w:r>
    </w:p>
    <w:p w14:paraId="58F6DEEC" w14:textId="77777777" w:rsidR="00DB5F76" w:rsidRDefault="00000000">
      <w:pPr>
        <w:spacing w:after="120" w:line="360" w:lineRule="auto"/>
      </w:pPr>
      <w:r>
        <w:t>Re-execution from identical inputs produces identical outputs. The archived reference implementation is a deterministic transformation of the canonical governance engine, producing deterministic outputs under identical inputs. An earlier public engine implementation had drifted from canonical logic (incorrect 15-feature compensatory formula without bias inversion, threshold profile misalignment, gate evaluation anomalies); all results reported here use the corrected canonical logic (5-feature weighted compensatory model with bias inversion, locked threshold profiles). All results reported in the associated manuscripts were produced using the corrected engine (version-controlled, reproducibility-verified implementation; see reproducibility artefact). Alternative implementations may produce different results.</w:t>
      </w:r>
    </w:p>
    <w:p w14:paraId="11D2EDD6" w14:textId="77777777" w:rsidR="00DB5F76" w:rsidRDefault="00000000">
      <w:pPr>
        <w:spacing w:after="120" w:line="360" w:lineRule="auto"/>
      </w:pPr>
      <w:r>
        <w:t xml:space="preserve">This study is part of a set of analyses examining non-compensatory governance for clinical AI. The companion papers address normative architecture, simulation properties, threshold justification, and retrospective validation respectively. These papers are complementary and do </w:t>
      </w:r>
      <w:r>
        <w:lastRenderedPageBreak/>
        <w:t>not collectively constitute prospective validation; each represents a distinct methodological contribution to a programme requiring further empirical evaluation.</w:t>
      </w:r>
    </w:p>
    <w:p w14:paraId="63FAE602" w14:textId="77777777" w:rsidR="00DB5F76" w:rsidRDefault="00000000">
      <w:pPr>
        <w:spacing w:after="120" w:line="360" w:lineRule="auto"/>
      </w:pPr>
      <w:r>
        <w:t># Data Availability</w:t>
      </w:r>
    </w:p>
    <w:p w14:paraId="2B56CE91" w14:textId="77777777" w:rsidR="00DB5F76" w:rsidRDefault="00000000">
      <w:pPr>
        <w:spacing w:after="120" w:line="360" w:lineRule="auto"/>
      </w:pPr>
      <w:r>
        <w:t>Statement\ This study uses only synthetic data generated by the simulation framework. No real-world datasets were used. The complete simulation code, configuration files, analysis plan, and all outputs are available in the accompanying reproducibility artefact. The governance benchmark dataset system used for supporting consistency analysis is archived separately at https://doi.org/10.5281/zenodo.19388835.</w:t>
      </w:r>
    </w:p>
    <w:p w14:paraId="3C3F6379" w14:textId="77777777" w:rsidR="00DB5F76" w:rsidRDefault="00000000">
      <w:pPr>
        <w:spacing w:after="120" w:line="360" w:lineRule="auto"/>
      </w:pPr>
      <w:r>
        <w:t xml:space="preserve">This study is supported by a fully reproducible computational pipeline with cryptographic hash-chain validation, deterministic rebuild capability, manifest-based file verification (106 files, 30/30 validation checks passed), and complete provenance tracking across enrichment, triangulation, </w:t>
      </w:r>
      <w:proofErr w:type="spellStart"/>
      <w:r>
        <w:t>canonicalisation</w:t>
      </w:r>
      <w:proofErr w:type="spellEnd"/>
      <w:r>
        <w:t>, and repository integration stages. Data and code are available via the Ethical Alpha Audit Core Scientific Record (https://doi.org/10.5281/zenodo.19389890) and associated repositories, enabling independent verification of all reported findings.</w:t>
      </w:r>
    </w:p>
    <w:p w14:paraId="66D7E7C8" w14:textId="77777777" w:rsidR="00DB5F76" w:rsidRDefault="00000000">
      <w:pPr>
        <w:spacing w:after="120" w:line="360" w:lineRule="auto"/>
      </w:pPr>
      <w:r>
        <w:t># Code Availability</w:t>
      </w:r>
    </w:p>
    <w:p w14:paraId="03E3C0CC" w14:textId="77777777" w:rsidR="00DB5F76" w:rsidRDefault="00000000">
      <w:pPr>
        <w:spacing w:after="120" w:line="360" w:lineRule="auto"/>
      </w:pPr>
      <w:r>
        <w:t xml:space="preserve">The simulation framework is implemented in Python 3.11 and is available as a self-contained reproducibility artefact including </w:t>
      </w:r>
      <w:proofErr w:type="spellStart"/>
      <w:r>
        <w:t>Dockerfile</w:t>
      </w:r>
      <w:proofErr w:type="spellEnd"/>
      <w:r>
        <w:t>, requirements lock file, and one-command execution script. The analysis plan hash (1fba2e24) is embedded in all outputs for traceability. Code: https://github.com/ethical-alpha-audit/ethical-alpha-audit-paper-5-sensitivity-study.</w:t>
      </w:r>
    </w:p>
    <w:p w14:paraId="5367FD1E" w14:textId="77777777" w:rsidR="00DB5F76" w:rsidRDefault="00000000">
      <w:pPr>
        <w:spacing w:after="120" w:line="360" w:lineRule="auto"/>
      </w:pPr>
      <w:r>
        <w:t># Ethics Statement</w:t>
      </w:r>
    </w:p>
    <w:p w14:paraId="57664BC7" w14:textId="77777777" w:rsidR="00DB5F76" w:rsidRDefault="00000000">
      <w:pPr>
        <w:spacing w:after="120" w:line="360" w:lineRule="auto"/>
      </w:pPr>
      <w:r>
        <w:t>This computational study does not involve human participants, patient data, or real-world AI systems. No ethics review was required.</w:t>
      </w:r>
    </w:p>
    <w:p w14:paraId="0A75F002" w14:textId="77777777" w:rsidR="00DB5F76" w:rsidRDefault="00000000">
      <w:pPr>
        <w:spacing w:after="120" w:line="360" w:lineRule="auto"/>
      </w:pPr>
      <w:r>
        <w:t># Competing Interests</w:t>
      </w:r>
    </w:p>
    <w:p w14:paraId="6985209D" w14:textId="77777777" w:rsidR="00DB5F76" w:rsidRDefault="00000000">
      <w:pPr>
        <w:spacing w:after="120" w:line="360" w:lineRule="auto"/>
      </w:pPr>
      <w:r>
        <w:t>W.B. is the founder of Ethical Alpha Audit Ltd, which develops AI governance audit methodology. W.B. is employed as an Analyst at NHS England; the views expressed are the author's own and do not represent those of NHS England.</w:t>
      </w:r>
    </w:p>
    <w:p w14:paraId="33412777" w14:textId="77777777" w:rsidR="00DB5F76" w:rsidRDefault="00000000">
      <w:pPr>
        <w:spacing w:after="120" w:line="360" w:lineRule="auto"/>
      </w:pPr>
      <w:r>
        <w:t># Funding: No external funding was received for this work.</w:t>
      </w:r>
    </w:p>
    <w:p w14:paraId="6593C071" w14:textId="77777777" w:rsidR="00DB5F76" w:rsidRDefault="00000000">
      <w:pPr>
        <w:spacing w:after="120" w:line="360" w:lineRule="auto"/>
      </w:pPr>
      <w:r>
        <w:lastRenderedPageBreak/>
        <w:t>AI Use Disclosure: Generative AI tools (Claude [Anthropic]) were used during the preparation of this manuscript for code assistance in simulation implementation, figure generation, manuscript formatting, and copy-editing. No AI tool was used to design the simulation architecture, select parameters, interpret results, or draft the analytical arguments and conclusions. All simulation design decisions, parameter choices, interpretation, and textual content were produced by the author. The author reviewed and verified all content and references and takes full responsibility for the manuscript.</w:t>
      </w:r>
    </w:p>
    <w:p w14:paraId="704AA270" w14:textId="77777777" w:rsidR="00DB5F76" w:rsidRDefault="00000000">
      <w:pPr>
        <w:spacing w:after="120" w:line="360" w:lineRule="auto"/>
      </w:pPr>
      <w:r>
        <w:t># References</w:t>
      </w:r>
    </w:p>
    <w:p w14:paraId="7A469866" w14:textId="77777777" w:rsidR="00DB5F76" w:rsidRDefault="00000000">
      <w:pPr>
        <w:spacing w:after="120" w:line="360" w:lineRule="auto"/>
      </w:pPr>
      <w:r>
        <w:t xml:space="preserve">1\. Deb, K., Pratap, A., Agarwal, S. &amp; </w:t>
      </w:r>
      <w:proofErr w:type="spellStart"/>
      <w:r>
        <w:t>Meyarivan</w:t>
      </w:r>
      <w:proofErr w:type="spellEnd"/>
      <w:r>
        <w:t xml:space="preserve">, T. A fast and elitist </w:t>
      </w:r>
      <w:proofErr w:type="spellStart"/>
      <w:r>
        <w:t>multiobjective</w:t>
      </w:r>
      <w:proofErr w:type="spellEnd"/>
      <w:r>
        <w:t xml:space="preserve"> genetic algorithm: NSGA-II. IEEE Trans. Evol. </w:t>
      </w:r>
      <w:proofErr w:type="spellStart"/>
      <w:r>
        <w:t>Comput</w:t>
      </w:r>
      <w:proofErr w:type="spellEnd"/>
      <w:r>
        <w:t>. 6, 182–197 (2002).</w:t>
      </w:r>
    </w:p>
    <w:p w14:paraId="015168AF" w14:textId="77777777" w:rsidR="00DB5F76" w:rsidRDefault="00000000">
      <w:pPr>
        <w:spacing w:after="120" w:line="360" w:lineRule="auto"/>
      </w:pPr>
      <w:r>
        <w:t xml:space="preserve">2\. Vickers, A. J. &amp; Elkin, E. B. Decision curve analysis: a novel method for evaluating prediction models. Med. </w:t>
      </w:r>
      <w:proofErr w:type="spellStart"/>
      <w:r>
        <w:t>Decis</w:t>
      </w:r>
      <w:proofErr w:type="spellEnd"/>
      <w:r>
        <w:t>. Making 26, 565–574 (2006).</w:t>
      </w:r>
    </w:p>
    <w:p w14:paraId="2B29BD25" w14:textId="77777777" w:rsidR="00DB5F76" w:rsidRDefault="00000000">
      <w:pPr>
        <w:spacing w:after="120" w:line="360" w:lineRule="auto"/>
      </w:pPr>
      <w:r>
        <w:t xml:space="preserve">3\. Sobol, I. M. Global sensitivity indices for nonlinear mathematical models and their Monte Carlo estimates. Math. </w:t>
      </w:r>
      <w:proofErr w:type="spellStart"/>
      <w:r>
        <w:t>Comput</w:t>
      </w:r>
      <w:proofErr w:type="spellEnd"/>
      <w:r>
        <w:t>. Simul. 55, 271–280 (2001).</w:t>
      </w:r>
    </w:p>
    <w:p w14:paraId="7B49F76D" w14:textId="77777777" w:rsidR="00DB5F76" w:rsidRDefault="00000000">
      <w:pPr>
        <w:spacing w:after="120" w:line="360" w:lineRule="auto"/>
      </w:pPr>
      <w:r>
        <w:t xml:space="preserve">4\. Saltelli, A. et al. Variance based sensitivity analysis of model output. </w:t>
      </w:r>
      <w:proofErr w:type="spellStart"/>
      <w:r>
        <w:t>Comput</w:t>
      </w:r>
      <w:proofErr w:type="spellEnd"/>
      <w:r>
        <w:t>. Phys. Commun. 181, 259–270 (2010).</w:t>
      </w:r>
    </w:p>
    <w:p w14:paraId="5FA604C6" w14:textId="77777777" w:rsidR="00DB5F76" w:rsidRDefault="00000000">
      <w:pPr>
        <w:spacing w:after="120" w:line="360" w:lineRule="auto"/>
      </w:pPr>
      <w:r>
        <w:t xml:space="preserve">5\. Nelsen, R. B. An Introduction to Copulas 2nd </w:t>
      </w:r>
      <w:proofErr w:type="spellStart"/>
      <w:r>
        <w:t>edn</w:t>
      </w:r>
      <w:proofErr w:type="spellEnd"/>
      <w:r>
        <w:t xml:space="preserve"> (Springer, 2006).</w:t>
      </w:r>
    </w:p>
    <w:p w14:paraId="7F11FF03" w14:textId="77777777" w:rsidR="00DB5F76" w:rsidRDefault="00000000">
      <w:pPr>
        <w:spacing w:after="120" w:line="360" w:lineRule="auto"/>
      </w:pPr>
      <w:r>
        <w:t xml:space="preserve">6\. </w:t>
      </w:r>
      <w:proofErr w:type="spellStart"/>
      <w:r>
        <w:t>Pickands</w:t>
      </w:r>
      <w:proofErr w:type="spellEnd"/>
      <w:r>
        <w:t>, J. Statistical inference using extreme order statistics. Ann. Stat. 3, 119–131 (1975).</w:t>
      </w:r>
    </w:p>
    <w:p w14:paraId="7071032F" w14:textId="77777777" w:rsidR="00DB5F76" w:rsidRDefault="00000000">
      <w:pPr>
        <w:spacing w:after="120" w:line="360" w:lineRule="auto"/>
      </w:pPr>
      <w:r>
        <w:t>7\. World Health Organization. Ethics and Governance of Artificial Intelligence for Health (WHO, 2021).</w:t>
      </w:r>
    </w:p>
    <w:p w14:paraId="3A940DE6" w14:textId="77777777" w:rsidR="00DB5F76" w:rsidRDefault="00000000">
      <w:pPr>
        <w:spacing w:after="120" w:line="360" w:lineRule="auto"/>
      </w:pPr>
      <w:r>
        <w:t>8\. US Food and Drug Administration. Artificial Intelligence/Machine Learning (AI/ML)-Based Software as a Medical Device Action Plan (FDA, 2021).</w:t>
      </w:r>
    </w:p>
    <w:p w14:paraId="5CE5F2B7" w14:textId="77777777" w:rsidR="00DB5F76" w:rsidRDefault="00000000">
      <w:pPr>
        <w:spacing w:after="120" w:line="360" w:lineRule="auto"/>
      </w:pPr>
      <w:r>
        <w:t>9\. Medicines and Healthcare products Regulatory Agency. Software and AI as a Medical Device Change Programme: Roadmap (MHRA, 2021).</w:t>
      </w:r>
    </w:p>
    <w:p w14:paraId="7C9D3F3A" w14:textId="77777777" w:rsidR="00DB5F76" w:rsidRDefault="00000000">
      <w:pPr>
        <w:spacing w:after="120" w:line="360" w:lineRule="auto"/>
      </w:pPr>
      <w:r>
        <w:t>10\. Liu, X. et al. Reporting guidelines for clinical trial reports for interventions involving artificial intelligence: the CONSORT-AI extension. Nat. Med. 26, 1364–1374 (2020).</w:t>
      </w:r>
    </w:p>
    <w:p w14:paraId="378F91BA" w14:textId="77777777" w:rsidR="00DB5F76" w:rsidRDefault="00000000">
      <w:pPr>
        <w:spacing w:after="120" w:line="360" w:lineRule="auto"/>
      </w:pPr>
      <w:r>
        <w:lastRenderedPageBreak/>
        <w:t xml:space="preserve">11\. </w:t>
      </w:r>
      <w:proofErr w:type="spellStart"/>
      <w:r>
        <w:t>Lekadir</w:t>
      </w:r>
      <w:proofErr w:type="spellEnd"/>
      <w:r>
        <w:t xml:space="preserve">, K., </w:t>
      </w:r>
      <w:proofErr w:type="spellStart"/>
      <w:r>
        <w:t>Frangi</w:t>
      </w:r>
      <w:proofErr w:type="spellEnd"/>
      <w:r>
        <w:t>, A. F., Porras, A. R. et al. FUTURE-AI: international consensus guideline for trustworthy and deployable artificial intelligence in healthcare. BMJ 388, e081554 (2025).</w:t>
      </w:r>
    </w:p>
    <w:p w14:paraId="19D65794" w14:textId="77777777" w:rsidR="00DB5F76" w:rsidRDefault="00000000">
      <w:pPr>
        <w:spacing w:after="120" w:line="360" w:lineRule="auto"/>
      </w:pPr>
      <w:r>
        <w:t xml:space="preserve">12\. </w:t>
      </w:r>
      <w:proofErr w:type="spellStart"/>
      <w:r>
        <w:t>Thokala</w:t>
      </w:r>
      <w:proofErr w:type="spellEnd"/>
      <w:r>
        <w:t>, P., Devlin, N., Marsh, K. et al. Multiple criteria decision analysis for health care decision making—an introduction: Report 1 of the ISPOR MCDA Emerging Good Practices Task Force. Value Health 19, 1–13 (2016).</w:t>
      </w:r>
    </w:p>
    <w:p w14:paraId="4EEA756C" w14:textId="77777777" w:rsidR="00DB5F76" w:rsidRDefault="00000000">
      <w:pPr>
        <w:spacing w:after="120" w:line="360" w:lineRule="auto"/>
      </w:pPr>
      <w:r>
        <w:t>13\. OECD/European Commission/Joint Research Centre. Handbook on Constructing Composite Indicators: Methodology and User Guide (OECD Publishing, 2008).</w:t>
      </w:r>
    </w:p>
    <w:p w14:paraId="13A793F8" w14:textId="77777777" w:rsidR="00DB5F76" w:rsidRDefault="00000000">
      <w:pPr>
        <w:spacing w:after="120" w:line="360" w:lineRule="auto"/>
      </w:pPr>
      <w:r>
        <w:t>The framework is consistent with and operationalises the governance intent of the EU AI Act (Articles 9 and 17) and FDA January 2025 guidance on AI-enabled device software.</w:t>
      </w:r>
    </w:p>
    <w:p w14:paraId="1EE43B81" w14:textId="77777777" w:rsidR="00DB5F76" w:rsidRDefault="00000000">
      <w:pPr>
        <w:spacing w:after="120" w:line="360" w:lineRule="auto"/>
      </w:pPr>
      <w:r>
        <w:t>Sensitivity-Aware Governance Architecture: The Monte Carlo simulation framework was designed to expose and characterise two sensitivity dimensions of the governance architecture, not merely to report point estimates. Parameter sensitivity is exposed through the NSGA-II multi-objective optimisation, which maps the five-dimensional threshold space to identify Pareto-optimal configurations, and through the Sobol global sensitivity decomposition, which quantifies the relative influence of each gate threshold on each outcome. The safety gate threshold emerged as the dominant contributor in this simulation (ST = 1.00 for detection rate), providing a quantitative basis for concentrating governance calibration effort on the safety dimension. The lifecycle simulation further demonstrated that parameter sensitivity extends over time: 10.1% of approved systems triggered re-audit within the monitoring period, confirming that threshold calibration is a recurring governance activity. Evidence sensitivity is exposed through the observation model's noise layer, evidence regime structures, and adversarial misreporting model. The simulation indicates that governance outcomes are sensitive to evidence quality in a structured way: the non-compensatory architecture prevents the masking of evidence deficiencies that compensatory scoring permits. Under the moderate non-compensatory profile, evidence sensitivity manifests as appropriate discrimination rather than instability—poorly evidenced systems are correctly identified as governance risks. Both sensitivity dimensions are implemented as auditable, reproducible properties of the simulation framework, enabling institutional governance committees to calibrate thresholds and evidence requirements to their local risk tolerance.</w:t>
      </w:r>
    </w:p>
    <w:p w14:paraId="34CB965C" w14:textId="77777777" w:rsidR="00DB5F76" w:rsidRDefault="00000000">
      <w:pPr>
        <w:spacing w:after="120" w:line="360" w:lineRule="auto"/>
      </w:pPr>
      <w:r>
        <w:lastRenderedPageBreak/>
        <w:t>This study contributes to a coordinated set of analyses examining a non-compensatory evaluation approach across complementary domains, including formal logic, simulation behaviour, parameter specification, retrospective validation, and deployment trade-offs.</w:t>
      </w:r>
    </w:p>
    <w:p w14:paraId="015420BE" w14:textId="77777777" w:rsidR="00DB5F76" w:rsidRDefault="00000000">
      <w:pPr>
        <w:spacing w:after="120" w:line="360" w:lineRule="auto"/>
      </w:pPr>
      <w:r>
        <w:t>Estimated execution times (45–90 minutes for primary audit; 10–25 minutes for secondary validation) are consistent with existing governance activities such as multidisciplinary review processes. These estimates are derived from structured task decomposition and should be interpreted as indicative.</w:t>
      </w:r>
    </w:p>
    <w:p w14:paraId="1378B9EC" w14:textId="77777777" w:rsidR="00DB5F76" w:rsidRDefault="00000000">
      <w:pPr>
        <w:spacing w:after="120" w:line="360" w:lineRule="auto"/>
      </w:pPr>
      <w:r>
        <w:t>In retrospective evaluation, a subset of documented failure cases satisfied conventional performance-based criteria (e.g. AUC, accuracy) despite exhibiting clinically material failure modes. Under the evaluated non-compensatory approach, these cases did not meet minimum domain-specific requirements, indicating potential limitations of compensatory evaluation frameworks.</w:t>
      </w:r>
    </w:p>
    <w:p w14:paraId="19813C40" w14:textId="77777777" w:rsidR="00DB5F76" w:rsidRDefault="00000000">
      <w:pPr>
        <w:spacing w:after="120" w:line="360" w:lineRule="auto"/>
      </w:pPr>
      <w:r>
        <w:t>All analyses were conducted using deterministic computational procedures with version-controlled inputs and outputs. Where applicable, artefacts were linked via cryptographic hashing to enable independent verification of result provenance. This design allows verification that outputs correspond to specific, fixed inputs without post hoc modification.</w:t>
      </w:r>
    </w:p>
    <w:p w14:paraId="0DF113FF" w14:textId="77777777" w:rsidR="00DB5F76" w:rsidRDefault="00000000">
      <w:pPr>
        <w:spacing w:after="120" w:line="360" w:lineRule="auto"/>
      </w:pPr>
      <w:r>
        <w:t>Under uniform or random failure distributions, non-compensatory gating may not outperform weighted models, highlighting defined boundary conditions for applicability.</w:t>
      </w:r>
    </w:p>
    <w:p w14:paraId="7498C3F6" w14:textId="77777777" w:rsidR="00DB5F76" w:rsidRDefault="00000000">
      <w:pPr>
        <w:spacing w:after="120" w:line="360" w:lineRule="auto"/>
      </w:pPr>
      <w:r>
        <w:t>Simulation-informed estimates indicate that Primary Safety Thresholds constitute a minority of total thresholds (\&lt;10%), with most decisions operating under a reduced three-layer documentation requirement. Estimated completion times range from 45–90 minutes (Primary) and 10–25 minutes (Secondary).</w:t>
      </w:r>
    </w:p>
    <w:p w14:paraId="23A29DE8" w14:textId="77777777" w:rsidR="00DB5F76" w:rsidRDefault="00000000">
      <w:pPr>
        <w:spacing w:after="120" w:line="360" w:lineRule="auto"/>
      </w:pPr>
      <w:r>
        <w:t xml:space="preserve"># </w:t>
      </w:r>
      <w:r>
        <w:rPr>
          <w:b/>
          <w:bCs/>
        </w:rPr>
        <w:t>Multimedia Appendix: PhysioNet Benchmark Validation</w:t>
      </w:r>
    </w:p>
    <w:p w14:paraId="30908DF2" w14:textId="77777777" w:rsidR="00DB5F76" w:rsidRDefault="00000000">
      <w:pPr>
        <w:spacing w:after="120" w:line="360" w:lineRule="auto"/>
      </w:pPr>
      <w:r>
        <w:t xml:space="preserve">PhysioNet 2019 benchmark through the identical governance engine. Under the moderate non-compensatory profile, both models were rejected (safety gate binding), while both were approved under the permissive profile — confirming that the governance friction surface transitions between full approval and full rejection within the same threshold range predicted by the simulation's Pareto analysis. Ranking stability analysis showed that model governance rankings were stable under 90% of scoring weight perturbations (±20%), with rank changes limited to </w:t>
      </w:r>
      <w:r>
        <w:lastRenderedPageBreak/>
        <w:t>extreme perturbations of the bias and calibration weights. This stability rate on real data is consistent with the simulation's finding that the safety gate threshold dominates governance outcomes (Sobol total-order index = 1.00 for detection rate). The benchmark models exhibited heterogeneous governance evidence profiles (feature spread 0.47), supporting the simulation's assumption that real AI systems present different strengths and weaknesses across governance domains — the condition under which non-compensatory gates provide the largest safety advantage over compensatory scoring. Governance friction on the benchmark models was concentrated entirely in the safety dimension: had only the safety gate threshold been relaxed from 0.50 to 0.40, both models would have shifted from rejection to approval, while all other gates remained comfortably above their thresholds. This concentrated friction pattern provides empirical grounding for the simulation's policy recommendation that the safety gate threshold is the dominant governance lever.</w:t>
      </w:r>
    </w:p>
    <w:sectPr w:rsidR="00DB5F7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B2623"/>
    <w:multiLevelType w:val="hybridMultilevel"/>
    <w:tmpl w:val="9AF403AC"/>
    <w:lvl w:ilvl="0" w:tplc="5A0CD1BC">
      <w:start w:val="1"/>
      <w:numFmt w:val="bullet"/>
      <w:lvlText w:val="●"/>
      <w:lvlJc w:val="left"/>
      <w:pPr>
        <w:ind w:left="720" w:hanging="360"/>
      </w:pPr>
    </w:lvl>
    <w:lvl w:ilvl="1" w:tplc="D200F9B6">
      <w:start w:val="1"/>
      <w:numFmt w:val="bullet"/>
      <w:lvlText w:val="○"/>
      <w:lvlJc w:val="left"/>
      <w:pPr>
        <w:ind w:left="1440" w:hanging="360"/>
      </w:pPr>
    </w:lvl>
    <w:lvl w:ilvl="2" w:tplc="541049D0">
      <w:start w:val="1"/>
      <w:numFmt w:val="bullet"/>
      <w:lvlText w:val="■"/>
      <w:lvlJc w:val="left"/>
      <w:pPr>
        <w:ind w:left="2160" w:hanging="360"/>
      </w:pPr>
    </w:lvl>
    <w:lvl w:ilvl="3" w:tplc="339EAD26">
      <w:start w:val="1"/>
      <w:numFmt w:val="bullet"/>
      <w:lvlText w:val="●"/>
      <w:lvlJc w:val="left"/>
      <w:pPr>
        <w:ind w:left="2880" w:hanging="360"/>
      </w:pPr>
    </w:lvl>
    <w:lvl w:ilvl="4" w:tplc="1BCA6582">
      <w:start w:val="1"/>
      <w:numFmt w:val="bullet"/>
      <w:lvlText w:val="○"/>
      <w:lvlJc w:val="left"/>
      <w:pPr>
        <w:ind w:left="3600" w:hanging="360"/>
      </w:pPr>
    </w:lvl>
    <w:lvl w:ilvl="5" w:tplc="CBEA5458">
      <w:start w:val="1"/>
      <w:numFmt w:val="bullet"/>
      <w:lvlText w:val="■"/>
      <w:lvlJc w:val="left"/>
      <w:pPr>
        <w:ind w:left="4320" w:hanging="360"/>
      </w:pPr>
    </w:lvl>
    <w:lvl w:ilvl="6" w:tplc="1C089E5A">
      <w:start w:val="1"/>
      <w:numFmt w:val="bullet"/>
      <w:lvlText w:val="●"/>
      <w:lvlJc w:val="left"/>
      <w:pPr>
        <w:ind w:left="5040" w:hanging="360"/>
      </w:pPr>
    </w:lvl>
    <w:lvl w:ilvl="7" w:tplc="68644998">
      <w:start w:val="1"/>
      <w:numFmt w:val="bullet"/>
      <w:lvlText w:val="●"/>
      <w:lvlJc w:val="left"/>
      <w:pPr>
        <w:ind w:left="5760" w:hanging="360"/>
      </w:pPr>
    </w:lvl>
    <w:lvl w:ilvl="8" w:tplc="A9F49BCC">
      <w:start w:val="1"/>
      <w:numFmt w:val="bullet"/>
      <w:lvlText w:val="●"/>
      <w:lvlJc w:val="left"/>
      <w:pPr>
        <w:ind w:left="6480" w:hanging="360"/>
      </w:pPr>
    </w:lvl>
  </w:abstractNum>
  <w:num w:numId="1" w16cid:durableId="15332266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F76"/>
    <w:rsid w:val="005743BA"/>
    <w:rsid w:val="00CB02B2"/>
    <w:rsid w:val="00DB5F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F8C07"/>
  <w15:docId w15:val="{2A8A79F1-C24C-4541-A03B-75CE56737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6"/>
      <w:szCs w:val="26"/>
    </w:rPr>
  </w:style>
  <w:style w:type="paragraph" w:styleId="Heading2">
    <w:name w:val="heading 2"/>
    <w:uiPriority w:val="9"/>
    <w:semiHidden/>
    <w:unhideWhenUsed/>
    <w:qFormat/>
    <w:pPr>
      <w:spacing w:before="240" w:after="120"/>
      <w:outlineLvl w:val="1"/>
    </w:pPr>
    <w:rPr>
      <w:b/>
      <w:bCs/>
      <w:i/>
      <w:i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5174</Words>
  <Characters>34480</Characters>
  <Application>Microsoft Office Word</Application>
  <DocSecurity>0</DocSecurity>
  <Lines>478</Lines>
  <Paragraphs>100</Paragraphs>
  <ScaleCrop>false</ScaleCrop>
  <Company/>
  <LinksUpToDate>false</LinksUpToDate>
  <CharactersWithSpaces>39540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Walter Brown</cp:lastModifiedBy>
  <cp:revision>2</cp:revision>
  <cp:lastPrinted>2026-04-19T08:42:00Z</cp:lastPrinted>
  <dcterms:created xsi:type="dcterms:W3CDTF">2026-04-15T12:21:00Z</dcterms:created>
  <dcterms:modified xsi:type="dcterms:W3CDTF">2026-04-19T08:43:00Z</dcterms:modified>
</cp:coreProperties>
</file>