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A Monte Carlo Methods Framework for Characterising Non-Compensatory Gate Threshold Sensitivity in Clinical AI Governance: Multi-Objective Optimisation, Decision Curve Analysis, and Sobol Sensitivity Decomposition</w:t>
      </w:r>
    </w:p>
    <w:p>
      <w:pPr>
        <w:spacing w:after="120"/>
      </w:pPr>
      <w:r>
        <w:t xml:space="preserve">Walter Brown, MSc, MA</w:t>
      </w:r>
    </w:p>
    <w:p>
      <w:pPr>
        <w:spacing w:after="120"/>
      </w:pPr>
      <w:r>
        <w:t xml:space="preserve">ORCID: 0000-0002-6050-8522</w:t>
      </w:r>
    </w:p>
    <w:p>
      <w:pPr>
        <w:spacing w:after="120"/>
      </w:pPr>
      <w:r>
        <w:t xml:space="preserve">Ethical Alpha Audit Ltd, London, United Kingdom</w:t>
      </w:r>
    </w:p>
    <w:p>
      <w:pPr>
        <w:spacing w:after="120"/>
      </w:pPr>
      <w:r>
        <w:t xml:space="preserve">walter.brown@ethicalalphaaudit.com</w:t>
      </w:r>
    </w:p>
    <w:p>
      <w:pPr>
        <w:spacing w:after="120"/>
      </w:pPr>
      <w:r>
        <w:rPr>
          <w:i/>
          <w:iCs/>
        </w:rPr>
        <w:t xml:space="preserve">Target journal: JMIR Medical Informatics</w:t>
      </w:r>
    </w:p>
    <w:p>
      <w:pPr>
        <w:pStyle w:val="Heading1"/>
        <w:spacing w:after="120" w:before="240"/>
      </w:pPr>
      <w:r>
        <w:t xml:space="preserve">Abstract</w:t>
      </w:r>
    </w:p>
    <w:p>
      <w:pPr>
        <w:spacing w:after="120"/>
      </w:pPr>
      <w:r>
        <w:rPr>
          <w:b/>
          <w:bCs/>
        </w:rPr>
        <w:t xml:space="preserve">Background: </w:t>
      </w:r>
      <w:r>
        <w:t xml:space="preserve">Governance of clinical artificial intelligence (AI) deployment must balance patient safety against innovation throughput. Non-compensatory (conjunctive) governance gates, which require independent thresholds across multiple evaluation domains, are widely discussed in regulatory and methodological literatures but rarely subjected to systematic methodological characterisation. This paper introduces a methods framework for such characterisation; it is not a policy-prescriptive analysis.</w:t>
      </w:r>
    </w:p>
    <w:p>
      <w:pPr>
        <w:spacing w:after="120"/>
      </w:pPr>
      <w:r>
        <w:rPr>
          <w:b/>
          <w:bCs/>
        </w:rPr>
        <w:t xml:space="preserve">Methods: </w:t>
      </w:r>
      <w:r>
        <w:t xml:space="preserve">We developed a Monte Carlo simulation framework implementing a Structural Causal Model (SCM) linking 14 latent AI system traits to harms, governance signals, and lifecycle outcomes. The framework integrates three analytical tools — NSGA-II multi-objective optimisation with multi-seed convergence diagnostics, Decision Curve Analysis, and a Sobol global sensitivity decomposition based on an Owen-scrambled Sobol low-discrepancy sequence (scipy.stats.qmc.Sobol via SALib), with bootstrap confidence intervals and an N-progression diagnostic over N from 128 to 2048. We simulated 10,000 synthetic systems across five scenario families and four threshold profiles, with five replicates each (100 total evaluations). The compensatory comparator implemented in this study is a single weighted-average composite scoring rule (weights 30/20/20/15/15 across safety, evidence, bias, calibration, traceability); other compensatory architectures (constrained multi-criteria decision analysis, lexicographic ordering, Bayesian expected-utility) are out of scope. We disclose that the same latent variable (intrinsic_safety) is consumed by both the harm-generation function and the safety-gate observation; a decoupled-variant experiment quantifying the contribution of this structural coupling is reported in the supplementary materials.</w:t>
      </w:r>
    </w:p>
    <w:p>
      <w:pPr>
        <w:spacing w:after="120"/>
      </w:pPr>
      <w:r>
        <w:rPr>
          <w:b/>
          <w:bCs/>
        </w:rPr>
        <w:t xml:space="preserve">Results: </w:t>
      </w:r>
      <w:r>
        <w:t xml:space="preserve">To illustrate the framework's outputs, under the architecture-comparison regime (paired non-compensatory vs weighted-average-composite runs at 20% unsafe base rate, five replicates), the simulation produced a mean unsafe detection rate of 99.87% for non-compensatory gates versus 76.75% under the weighted-average composite comparator, with a corresponding mean false-negative-harm ratio of approximately 193 (cumulative simulated harm units 1.69 vs 325.95) under the specified SCM. Under a decoupled-variant SCM in which baseline harm is driven by an independent latent variable, the mean false-negative-harm ratio narrowed to approximately 80, indicating that the structural coupling accounts for a substantial portion of the coupled-SCM ratio. Under the threshold-profile regime (per-profile aggregation across five scenarios × five replicates), the moderate non-compensatory profile produced a mean detection rate of 0.993 and a mean throughput of 0.210. NSGA-II identified approximately 50 candidate Pareto-optimal threshold configurations per seed across three seeds (42, 123, 7777), with final hypervolumes of 0.817, 0.839, and 0.849 and pairwise frontier overlap of 0.70 (seeds 42 vs 123) and 0.76 (seeds 42 vs 7777). Sobol global sensitivity decomposition based on an Owen-scrambled Sobol low-discrepancy sequence at N = 2048 base samples (200-resample bootstrap CIs, N-progression diagnostic over N ∈ {128, 256, 512, 1024, 2048}) identified safety_gate as the dominant driver of detection-rate variance (ST = 0.725, 95% CI [0.601, 0.859]), followed by calibration_gate (ST = 0.306), unsafe_base_rate (ST = 0.208), and evidence_gate (ST = 0.198). All seven internal validity tests passed; deterministic replication achieved zero absolute difference across the four key metrics under the specified seed.</w:t>
      </w:r>
    </w:p>
    <w:p>
      <w:pPr>
        <w:spacing w:after="120"/>
      </w:pPr>
      <w:r>
        <w:rPr>
          <w:b/>
          <w:bCs/>
        </w:rPr>
        <w:t xml:space="preserve">Conclusions: </w:t>
      </w:r>
      <w:r>
        <w:t xml:space="preserve">This study contributes a methodological framework for characterising non-compensatory gate threshold behaviour in simulated clinical AI governance. All reported magnitudes are properties of the simulation under the specified SCM, observation model, and scenario parameters; they are not real-world predictions, not prescriptive thresholds, and not claims of clinical safety advantage for any specific AI system. The architecture-comparison ratio is conditional on the disclosed SCM coupling; the decoupled-variant experiment quantifies that conditioning explicitly. The framework, analysis plan, and outputs are publicly available at the Zenodo DOI cited below for independent verification.</w:t>
      </w:r>
    </w:p>
    <w:p>
      <w:pPr>
        <w:spacing w:after="120"/>
      </w:pPr>
      <w:r>
        <w:rPr>
          <w:b/>
          <w:bCs/>
        </w:rPr>
        <w:t xml:space="preserve">Keywords: </w:t>
      </w:r>
      <w:r>
        <w:t xml:space="preserve">artificial intelligence; clinical decision support; governance methods; patient safety; Monte Carlo simulation; multi-objective optimisation; decision curve analysis; non-compensatory decision rules; Sobol sensitivity analysis.</w:t>
      </w:r>
    </w:p>
    <w:p>
      <w:pPr>
        <w:pStyle w:val="Heading1"/>
        <w:spacing w:after="120" w:before="240"/>
      </w:pPr>
      <w:r>
        <w:t xml:space="preserve">Introduction</w:t>
      </w:r>
    </w:p>
    <w:p>
      <w:pPr>
        <w:spacing w:after="120"/>
      </w:pPr>
      <w:r>
        <w:t xml:space="preserve">The integration of artificial intelligence into clinical decision-making presents a fundamental governance challenge: assuring patient safety without imposing disproportionate barriers that block beneficial innovation. Current governance approaches range from permissive post-market surveillance frameworks (e.g. the FDA SaMD Action Plan [7]) to stringent pre-deployment gatekeeping (e.g. the EU AI Act [20]). Methodological tools for systematically characterising the quantitative trade-offs between these extremes remain limited.</w:t>
      </w:r>
    </w:p>
    <w:p>
      <w:pPr>
        <w:spacing w:after="120"/>
      </w:pPr>
      <w:r>
        <w:t xml:space="preserve">This tension is particularly acute in medical AI, where deployment of an unsafe system risks patient harm but rejection of a safe and effective system denies clinical benefit. Empirical evidence of post-market AI failures — for example the external validation of a widely deployed proprietary sepsis prediction model [18] and the demonstration of racial bias in a population-health management algorithm [19] — establishes that real-world AI governance failures are sufficiently consequential to warrant methodological attention to gate-based architectures.</w:t>
      </w:r>
    </w:p>
    <w:p>
      <w:pPr>
        <w:spacing w:after="120"/>
      </w:pPr>
      <w:r>
        <w:t xml:space="preserve">Non-compensatory (conjunctive) governance models, in which independent thresholds must be met across multiple domains, have a substantial literature in decision theory and behavioural economics. Tversky's elimination-by-aspects rule [13], Hogarth and Karelaia's analyses of conjunctive decision rules [14], and Gigerenzer and colleagues' work on fast-and-frugal heuristics [15] establish the structural distinction between non-compensatory and weighted-additive rules. In a weighted-additive (compensatory) framework, excellence in one domain can offset deficiency in another. Non-compensatory gates structurally prevent this offsetting by requiring each domain to independently meet a minimum standard.</w:t>
      </w:r>
    </w:p>
    <w:p>
      <w:pPr>
        <w:spacing w:after="120"/>
      </w:pPr>
      <w:r>
        <w:t xml:space="preserve">Several alternative comparator architectures exist within the broader compensatory family — including constrained multi-criteria decision analysis (MCDA) with hard floors as in the ELECTRE outranking approach [16], lexicographic ordering, and Bayesian expected-utility frameworks [17]. Comparison against these alternatives is out of scope of the present study, which restricts its comparator to a single weighted-average composite scoring rule (see Methods, Comparator scope subsection).</w:t>
      </w:r>
    </w:p>
    <w:p>
      <w:pPr>
        <w:spacing w:after="120"/>
      </w:pPr>
      <w:r>
        <w:t xml:space="preserve">This study contributes a methodological framework rather than a policy prescription. We present a Monte Carlo simulation framework that models the governance pipeline from latent AI system properties through noisy audit observation to governance decisions and lifecycle outcomes. The framework integrates NSGA-II multi-objective optimisation [1], Decision Curve Analysis [2], and a Sobol global sensitivity decomposition [3, 4]. The framework is grounded in a Structural Causal Model that makes all dependence assumptions explicit, including a structural coupling between the harm-generation function and the safety-gate observation that we disclose at point of model specification. The methodological contribution is the integrated framework and its application to threshold-sensitivity characterisation; the policy-calibration question is left to subsequent work with empirical anchoring.</w:t>
      </w:r>
    </w:p>
    <w:p>
      <w:pPr>
        <w:pStyle w:val="Heading1"/>
        <w:spacing w:after="120" w:before="240"/>
      </w:pPr>
      <w:r>
        <w:t xml:space="preserve">Methods</w:t>
      </w:r>
    </w:p>
    <w:p>
      <w:pPr>
        <w:spacing w:after="120"/>
      </w:pPr>
      <w:r>
        <w:t xml:space="preserve">This is a computational simulation study. All AI systems are synthetically generated; no real-world AI systems or patient data were used. The study follows a preregistered analysis plan (plan hash: 1fba2e24) and implements an independent replication protocol. The complete simulation framework, configuration files, and outputs are archived at https://doi.org/10.5281/zenodo.19499806.</w:t>
      </w:r>
    </w:p>
    <w:p>
      <w:pPr>
        <w:pStyle w:val="Heading2"/>
        <w:spacing w:after="100" w:before="200"/>
      </w:pPr>
      <w:r>
        <w:t xml:space="preserve">Aggregation regimes</w:t>
      </w:r>
    </w:p>
    <w:p>
      <w:pPr>
        <w:spacing w:after="120"/>
      </w:pPr>
      <w:r>
        <w:t xml:space="preserve">Quantitative results in this paper are reported under named aggregation regimes. The threshold-profile regime aggregates per-profile across five scenario families × five replicates and is used in Table 1. The architecture-comparison regime aggregates paired non-compensatory vs weighted-average-composite runs at 20% unsafe base rate over five replicates and is used in Table 2 and the Architecture comparison subsection. The inference regime aggregates as a bootstrap mean across the full evaluation matrix. The replication regime is a single-seed (seed = 42) build comparison. The Sobol sensitivity regime is N = 2048 base samples (Owen-scrambled Sobol low-discrepancy sequence via scipy.stats.qmc.Sobol) with 200-resample bootstrap and an N-progression over N ∈ {128, 256, 512, 1024, 2048}. The decoupled-variant SCM regime substitutes an independent harm_latent for intrinsic_safety in the baseline-harm function. Each numerical claim in this paper is annotated with its regime. A full regime dictionary, with source-file provenance for every metric, is provided in Supplementary Materials.</w:t>
      </w:r>
    </w:p>
    <w:p>
      <w:pPr>
        <w:pStyle w:val="Heading2"/>
        <w:spacing w:after="100" w:before="200"/>
      </w:pPr>
      <w:r>
        <w:t xml:space="preserve">Structural Causal Model</w:t>
      </w:r>
    </w:p>
    <w:p>
      <w:pPr>
        <w:spacing w:after="120"/>
      </w:pPr>
      <w:r>
        <w:t xml:space="preserve">We specified a directed acyclic graph (DAG) with 28 nodes and 19 edges encoding causal relationships among latent traits, intermediate variables, and outcome nodes (Figure 5). The SCM defines how intrinsic system properties (safety, utility, calibration, bias, evidence quality, robustness, drift susceptibility, gaming capability) generate harms and governance signals through explicit functional forms. All structural equations were instantiated from a versioned function library (scm_functions.yaml v1.0). Baseline harm follows a logistic function of intrinsic_safety (intercept = −3.0, slope = 4.0). Subgroup harm amplification is linear in bias_harm_index (base = 1.0, sensitivity = 2.0). Stress failure follows a Bernoulli-logistic model with base rate approximately 5% and robustness effect of −3.0.</w:t>
      </w:r>
    </w:p>
    <w:p>
      <w:pPr>
        <w:pStyle w:val="Heading2"/>
        <w:spacing w:after="100" w:before="200"/>
      </w:pPr>
      <w:r>
        <w:t xml:space="preserve">SCM coupling disclosure</w:t>
      </w:r>
    </w:p>
    <w:p>
      <w:pPr>
        <w:spacing w:after="120"/>
      </w:pPr>
      <w:r>
        <w:t xml:space="preserve">The latent variable intrinsic_safety enters two functions in the SCM specification: it is the input to the baseline-harm logistic function, and it is the latent state observed (with measurement noise SD = 0.05 and a gaming-related offset proportional to gaming capability) by the safety-gate observation in the audit signal model. This shared-input coupling is a structural property of the SCM as specified. The architecture comparison reported in this paper is therefore conditional on this coupling. We do not claim that the magnitude of the architecture-comparison difference observed under this SCM is invariant to the coupling specification. The present submission's contribution is methodological and does not depend on architecture-invariant claims; the decoupled-variant experiment reported below quantifies how much of the coupled-SCM architecture-comparison ratio is attributable to the coupling.</w:t>
      </w:r>
    </w:p>
    <w:p>
      <w:pPr>
        <w:pStyle w:val="Heading2"/>
        <w:spacing w:after="100" w:before="200"/>
      </w:pPr>
      <w:r>
        <w:t xml:space="preserve">Decoupled-variant SCM</w:t>
      </w:r>
    </w:p>
    <w:p>
      <w:pPr>
        <w:spacing w:after="120"/>
      </w:pPr>
      <w:r>
        <w:t xml:space="preserve">A decoupled-variant SCM is implemented in the repository, in which the baseline-harm function consumes an independent latent variable harm_latent ~ Beta(2.5, 2.0), drawn independently of intrinsic_safety. The audit observation model continues to observe intrinsic_safety with measurement noise, so the safety gate carries no information about harm in the decoupled variant. Under this configuration (paired runs at 20% unsafe base rate, five replicates), the mean false-negative-harm ratio between the non-compensatory and weighted-average-composite architectures was approximately 80, compared with approximately 193 under the coupled SCM. The full decoupled-variant numeric is reported in Supplementary Materials Appendix C. The variant configuration is documented in the repository at config/scm_decoupled.yaml.</w:t>
      </w:r>
    </w:p>
    <w:p>
      <w:pPr>
        <w:pStyle w:val="Heading2"/>
        <w:spacing w:after="100" w:before="200"/>
      </w:pPr>
      <w:r>
        <w:t xml:space="preserve">System generation</w:t>
      </w:r>
    </w:p>
    <w:p>
      <w:pPr>
        <w:spacing w:after="120"/>
      </w:pPr>
      <w:r>
        <w:t xml:space="preserve">Synthetic AI systems were generated using a Gaussian copula [5] with Beta marginal distributions for bounded traits and lognormal for deployment volume. A 10×10 correlation matrix encoded associations justified by the SCM structure. Each simulation generated 10,000 systems per evaluation.</w:t>
      </w:r>
    </w:p>
    <w:p>
      <w:pPr>
        <w:pStyle w:val="Heading2"/>
        <w:spacing w:after="100" w:before="200"/>
      </w:pPr>
      <w:r>
        <w:t xml:space="preserve">Observation model</w:t>
      </w:r>
    </w:p>
    <w:p>
      <w:pPr>
        <w:spacing w:after="120"/>
      </w:pPr>
      <w:r>
        <w:t xml:space="preserve">Observed audit signals were derived from true latent traits through three layers: (1) measurement noise (base SD = 0.05, reduced by artefact availability), (2) evidence regime effects (artefact-heavy, mixed, or self-report-heavy), and (3) adversarial misreporting bias proportional to gaming capability (scale = 0.15).</w:t>
      </w:r>
    </w:p>
    <w:p>
      <w:pPr>
        <w:pStyle w:val="Heading2"/>
        <w:spacing w:after="100" w:before="200"/>
      </w:pPr>
      <w:r>
        <w:t xml:space="preserve">Comparator scope</w:t>
      </w:r>
    </w:p>
    <w:p>
      <w:pPr>
        <w:spacing w:after="120"/>
      </w:pPr>
      <w:r>
        <w:t xml:space="preserve">The compensatory comparator implemented in this study is a single weighted-average composite scoring rule with weights 30/20/20/15/15 across safety, evidence, bias, calibration, and traceability, applied to a single composite threshold. The non-compensatory governance model implements five non-compensable gates (safety, evidence quality, bias inverted, calibration, traceability). A system is approved by the non-compensatory model only if all five observed gate scores meet their respective thresholds. Four predefined non-compensatory threshold profiles were evaluated: permissive, moderate, strict, and very strict.</w:t>
      </w:r>
    </w:p>
    <w:p>
      <w:pPr>
        <w:spacing w:after="120"/>
      </w:pPr>
      <w:r>
        <w:t xml:space="preserve">The weighted-average composite is one of several compensatory architectures in the broader literature. Constrained MCDA with hard floors (as in ELECTRE-style outranking [16]), lexicographic ordering, and Bayesian expected-utility frameworks [17] are not implemented in the present study. All claims labelled "compensatory" in this paper refer specifically to the weighted-average composite implementation; we retain this terminology throughout to make the comparator scope explicit. Sensitivity of the architecture-comparison ratio to the choice of weights within the weighted-average composite class is evaluated across five weighting configurations and reported in Supplementary Materials Appendix F.</w:t>
      </w:r>
    </w:p>
    <w:p>
      <w:pPr>
        <w:pStyle w:val="Heading2"/>
        <w:spacing w:after="100" w:before="200"/>
      </w:pPr>
      <w:r>
        <w:t xml:space="preserve">Multi-objective optimisation</w:t>
      </w:r>
    </w:p>
    <w:p>
      <w:pPr>
        <w:spacing w:after="120"/>
      </w:pPr>
      <w:r>
        <w:t xml:space="preserve">We applied multi-objective optimisation (NSGA-II [1]) to identify threshold configurations across four objectives: maximise unsafe system detection, maximise safe system throughput, minimise undetected harm, and minimise governance friction. The algorithm explored the five-dimensional non-compensatory threshold space (one threshold per gate, each ranging from 0.1 to 0.9) with a population of 60 candidates over 30 generations (1,800 total evaluations per seed). The search was repeated across three seeds (42, 123, 7777). Per-generation hypervolume trajectories and pairwise frontier overlap between seeds were computed as convergence diagnostics. Solutions on the candidate Pareto frontier represent configurations where no objective can be improved without degrading another within the search budget.</w:t>
      </w:r>
    </w:p>
    <w:p>
      <w:pPr>
        <w:pStyle w:val="Heading2"/>
        <w:spacing w:after="100" w:before="200"/>
      </w:pPr>
      <w:r>
        <w:t xml:space="preserve">Sensitivity analysis</w:t>
      </w:r>
    </w:p>
    <w:p>
      <w:pPr>
        <w:spacing w:after="120"/>
      </w:pPr>
      <w:r>
        <w:t xml:space="preserve">Sobol global sensitivity decomposition [3, 4] was performed across the five threshold parameters and the two scenario parameters (auditability_noise, unsafe_base_rate). The original execution used N = 64 base samples per parameter and a pseudo-random Saltelli pattern; this configuration was below the convention for stable Saltelli total-order estimates and bootstrap confidence intervals were not computed in that execution. The present analysis re-executes the decomposition using a true Owen-scrambled Sobol low-discrepancy sequence (scipy.stats.qmc.Sobol via SALib), over an N-progression of N ∈ {128, 256, 512, 1024, 2048} base samples, with 200-resample bootstrap 95% confidence intervals on each first-order (S1) and total-order (ST) index at each N. The N-progression diagnostic is archived in the repository at outputs/processed/sobol_convergence.json and demonstrates convergence of the safety-gate total-order index to ST = 0.725 (95% CI [0.601, 0.859]) at N = 2048. The N = 2048 configuration is the primary result.</w:t>
      </w:r>
    </w:p>
    <w:p>
      <w:pPr>
        <w:pStyle w:val="Heading2"/>
        <w:spacing w:after="100" w:before="200"/>
      </w:pPr>
      <w:r>
        <w:t xml:space="preserve">Decision Curve Analysis</w:t>
      </w:r>
    </w:p>
    <w:p>
      <w:pPr>
        <w:spacing w:after="120"/>
      </w:pPr>
      <w:r>
        <w:t xml:space="preserve">Decision Curve Analysis [2] evaluated net benefit of the four non-compensatory threshold profiles and the weighted-average composite comparator across a range of threshold probabilities. Results are presented in Figure 4 with semantics preserved; the policy-relevant threshold range (0.05–0.50) is shaded in the figure. DCA results are reported descriptively; we make no claim that a single operating point on these curves is optimal.</w:t>
      </w:r>
    </w:p>
    <w:p>
      <w:pPr>
        <w:pStyle w:val="Heading2"/>
        <w:spacing w:after="100" w:before="200"/>
      </w:pPr>
      <w:r>
        <w:t xml:space="preserve">Inference and lifecycle</w:t>
      </w:r>
    </w:p>
    <w:p>
      <w:pPr>
        <w:spacing w:after="120"/>
      </w:pPr>
      <w:r>
        <w:t xml:space="preserve">Bootstrap confidence intervals (500 resamples) and Bayesian Beta-posterior credible intervals were computed for key rates under the inference regime (full-matrix bootstrap mean). Lifecycle dynamics were simulated over 12 time periods with drift accumulation, monitoring effects, and re-audit triggers. Lifecycle interpretation in this paper is restricted to a single descriptive aggregate (re-audit trigger rate); detailed lifecycle interpretation is downscoped pending further methodological development. Per-period drift trajectories are archived at outputs/processed/lifecycle_per_period.csv for traceability.</w:t>
      </w:r>
    </w:p>
    <w:p>
      <w:pPr>
        <w:pStyle w:val="Heading2"/>
        <w:spacing w:after="100" w:before="200"/>
      </w:pPr>
      <w:r>
        <w:t xml:space="preserve">Scenarios</w:t>
      </w:r>
    </w:p>
    <w:p>
      <w:pPr>
        <w:spacing w:after="120"/>
      </w:pPr>
      <w:r>
        <w:t xml:space="preserve">Five scenario families were evaluated: (1–3) varying unsafe base rates (10%, 20%, 30%) with moderate audit conditions; (4) low-risk conditions (2% noise, artefact-heavy evidence, low drift); (5) high-risk conditions (10% noise, self-report-heavy evidence, high drift). Each scenario was evaluated across all four non-compensatory threshold profiles with five replicates.</w:t>
      </w:r>
    </w:p>
    <w:p>
      <w:pPr>
        <w:pStyle w:val="Heading2"/>
        <w:spacing w:after="100" w:before="200"/>
      </w:pPr>
      <w:r>
        <w:t xml:space="preserve">Validation and replication</w:t>
      </w:r>
    </w:p>
    <w:p>
      <w:pPr>
        <w:spacing w:after="120"/>
      </w:pPr>
      <w:r>
        <w:t xml:space="preserve">Seven automated validation tests were required to pass before results were accepted: safety monotonicity, bias→subgroup harm linkage, calibration→abstention correlation, drift behaviour, gaming behaviour, observation noise reduction, and value bounds. Independent replication verified deterministic reproduction of the four key metrics within tolerance (≤0.01 absolute difference) under the specified seed (replication regime).</w:t>
      </w:r>
    </w:p>
    <w:p>
      <w:pPr>
        <w:pStyle w:val="Heading1"/>
        <w:spacing w:after="120" w:before="240"/>
      </w:pPr>
      <w:r>
        <w:t xml:space="preserve">Results</w:t>
      </w:r>
    </w:p>
    <w:p>
      <w:pPr>
        <w:pStyle w:val="Heading2"/>
        <w:spacing w:after="100" w:before="200"/>
      </w:pPr>
      <w:r>
        <w:t xml:space="preserve">Threshold profile performance</w:t>
      </w:r>
    </w:p>
    <w:p>
      <w:pPr>
        <w:spacing w:after="120"/>
      </w:pPr>
      <w:r>
        <w:t xml:space="preserve">Table 1 summarises performance of the four predefined non-compensatory threshold profiles under the threshold-profile regime (per-profile aggregation across five scenario families × five replicates). All values are simulation properties.</w:t>
      </w:r>
    </w:p>
    <w:p>
      <w:pPr>
        <w:spacing w:after="120"/>
      </w:pPr>
      <w:r>
        <w:rPr>
          <w:i/>
          <w:iCs/>
        </w:rPr>
        <w:t xml:space="preserve">Table 1. </w:t>
      </w:r>
      <w:r>
        <w:t xml:space="preserve">Non-compensatory governance threshold profile performance under the threshold-profile aggregation regime (per-profile aggregation across five scenarios × five replicates). All values are simulation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pPr>
              <w:jc w:val="left"/>
            </w:pPr>
            <w:r>
              <w:rPr>
                <w:b/>
                <w:bCs/>
              </w:rPr>
              <w:t xml:space="preserve">Profile</w:t>
            </w:r>
          </w:p>
        </w:tc>
        <w:tc>
          <w:tcPr>
            <w:tcW w:type="dxa" w:w="1800"/>
          </w:tcPr>
          <w:p>
            <w:pPr>
              <w:jc w:val="left"/>
            </w:pPr>
            <w:r>
              <w:rPr>
                <w:b/>
                <w:bCs/>
              </w:rPr>
              <w:t xml:space="preserve">Detection rate</w:t>
            </w:r>
          </w:p>
        </w:tc>
        <w:tc>
          <w:tcPr>
            <w:tcW w:type="dxa" w:w="1800"/>
          </w:tcPr>
          <w:p>
            <w:pPr>
              <w:jc w:val="left"/>
            </w:pPr>
            <w:r>
              <w:rPr>
                <w:b/>
                <w:bCs/>
              </w:rPr>
              <w:t xml:space="preserve">Safe throughput</w:t>
            </w:r>
          </w:p>
        </w:tc>
        <w:tc>
          <w:tcPr>
            <w:tcW w:type="dxa" w:w="1800"/>
          </w:tcPr>
          <w:p>
            <w:pPr>
              <w:jc w:val="left"/>
            </w:pPr>
            <w:r>
              <w:rPr>
                <w:b/>
                <w:bCs/>
              </w:rPr>
              <w:t xml:space="preserve">FN harm</w:t>
            </w:r>
          </w:p>
        </w:tc>
        <w:tc>
          <w:tcPr>
            <w:tcW w:type="dxa" w:w="1800"/>
          </w:tcPr>
          <w:p>
            <w:pPr>
              <w:jc w:val="left"/>
            </w:pPr>
            <w:r>
              <w:rPr>
                <w:b/>
                <w:bCs/>
              </w:rPr>
              <w:t xml:space="preserve">Mean friction</w:t>
            </w:r>
          </w:p>
        </w:tc>
      </w:tr>
      <w:tr>
        <w:tc>
          <w:tcPr>
            <w:tcW w:type="dxa" w:w="1800"/>
          </w:tcPr>
          <w:p>
            <w:pPr>
              <w:jc w:val="left"/>
            </w:pPr>
            <w:r>
              <w:t xml:space="preserve">Permissive</w:t>
            </w:r>
          </w:p>
        </w:tc>
        <w:tc>
          <w:tcPr>
            <w:tcW w:type="dxa" w:w="1800"/>
          </w:tcPr>
          <w:p>
            <w:pPr>
              <w:jc w:val="left"/>
            </w:pPr>
            <w:r>
              <w:t xml:space="preserve">0.863</w:t>
            </w:r>
          </w:p>
        </w:tc>
        <w:tc>
          <w:tcPr>
            <w:tcW w:type="dxa" w:w="1800"/>
          </w:tcPr>
          <w:p>
            <w:pPr>
              <w:jc w:val="left"/>
            </w:pPr>
            <w:r>
              <w:t xml:space="preserve">0.510</w:t>
            </w:r>
          </w:p>
        </w:tc>
        <w:tc>
          <w:tcPr>
            <w:tcW w:type="dxa" w:w="1800"/>
          </w:tcPr>
          <w:p>
            <w:pPr>
              <w:jc w:val="left"/>
            </w:pPr>
            <w:r>
              <w:t xml:space="preserve">232.31</w:t>
            </w:r>
          </w:p>
        </w:tc>
        <w:tc>
          <w:tcPr>
            <w:tcW w:type="dxa" w:w="1800"/>
          </w:tcPr>
          <w:p>
            <w:pPr>
              <w:jc w:val="left"/>
            </w:pPr>
            <w:r>
              <w:t xml:space="preserve">3.612</w:t>
            </w:r>
          </w:p>
        </w:tc>
      </w:tr>
      <w:tr>
        <w:tc>
          <w:tcPr>
            <w:tcW w:type="dxa" w:w="1800"/>
          </w:tcPr>
          <w:p>
            <w:pPr>
              <w:jc w:val="left"/>
            </w:pPr>
            <w:r>
              <w:t xml:space="preserve">Moderate</w:t>
            </w:r>
          </w:p>
        </w:tc>
        <w:tc>
          <w:tcPr>
            <w:tcW w:type="dxa" w:w="1800"/>
          </w:tcPr>
          <w:p>
            <w:pPr>
              <w:jc w:val="left"/>
            </w:pPr>
            <w:r>
              <w:t xml:space="preserve">0.993</w:t>
            </w:r>
          </w:p>
        </w:tc>
        <w:tc>
          <w:tcPr>
            <w:tcW w:type="dxa" w:w="1800"/>
          </w:tcPr>
          <w:p>
            <w:pPr>
              <w:jc w:val="left"/>
            </w:pPr>
            <w:r>
              <w:t xml:space="preserve">0.210</w:t>
            </w:r>
          </w:p>
        </w:tc>
        <w:tc>
          <w:tcPr>
            <w:tcW w:type="dxa" w:w="1800"/>
          </w:tcPr>
          <w:p>
            <w:pPr>
              <w:jc w:val="left"/>
            </w:pPr>
            <w:r>
              <w:t xml:space="preserve">11.22</w:t>
            </w:r>
          </w:p>
        </w:tc>
        <w:tc>
          <w:tcPr>
            <w:tcW w:type="dxa" w:w="1800"/>
          </w:tcPr>
          <w:p>
            <w:pPr>
              <w:jc w:val="left"/>
            </w:pPr>
            <w:r>
              <w:t xml:space="preserve">3.766</w:t>
            </w:r>
          </w:p>
        </w:tc>
      </w:tr>
      <w:tr>
        <w:tc>
          <w:tcPr>
            <w:tcW w:type="dxa" w:w="1800"/>
          </w:tcPr>
          <w:p>
            <w:pPr>
              <w:jc w:val="left"/>
            </w:pPr>
            <w:r>
              <w:t xml:space="preserve">Strict</w:t>
            </w:r>
          </w:p>
        </w:tc>
        <w:tc>
          <w:tcPr>
            <w:tcW w:type="dxa" w:w="1800"/>
          </w:tcPr>
          <w:p>
            <w:pPr>
              <w:jc w:val="left"/>
            </w:pPr>
            <w:r>
              <w:t xml:space="preserve">1.000</w:t>
            </w:r>
          </w:p>
        </w:tc>
        <w:tc>
          <w:tcPr>
            <w:tcW w:type="dxa" w:w="1800"/>
          </w:tcPr>
          <w:p>
            <w:pPr>
              <w:jc w:val="left"/>
            </w:pPr>
            <w:r>
              <w:t xml:space="preserve">0.023</w:t>
            </w:r>
          </w:p>
        </w:tc>
        <w:tc>
          <w:tcPr>
            <w:tcW w:type="dxa" w:w="1800"/>
          </w:tcPr>
          <w:p>
            <w:pPr>
              <w:jc w:val="left"/>
            </w:pPr>
            <w:r>
              <w:t xml:space="preserve">0.02</w:t>
            </w:r>
          </w:p>
        </w:tc>
        <w:tc>
          <w:tcPr>
            <w:tcW w:type="dxa" w:w="1800"/>
          </w:tcPr>
          <w:p>
            <w:pPr>
              <w:jc w:val="left"/>
            </w:pPr>
            <w:r>
              <w:t xml:space="preserve">3.952</w:t>
            </w:r>
          </w:p>
        </w:tc>
      </w:tr>
      <w:tr>
        <w:tc>
          <w:tcPr>
            <w:tcW w:type="dxa" w:w="1800"/>
          </w:tcPr>
          <w:p>
            <w:pPr>
              <w:jc w:val="left"/>
            </w:pPr>
            <w:r>
              <w:t xml:space="preserve">Very Strict</w:t>
            </w:r>
          </w:p>
        </w:tc>
        <w:tc>
          <w:tcPr>
            <w:tcW w:type="dxa" w:w="1800"/>
          </w:tcPr>
          <w:p>
            <w:pPr>
              <w:jc w:val="left"/>
            </w:pPr>
            <w:r>
              <w:t xml:space="preserve">1.000</w:t>
            </w:r>
          </w:p>
        </w:tc>
        <w:tc>
          <w:tcPr>
            <w:tcW w:type="dxa" w:w="1800"/>
          </w:tcPr>
          <w:p>
            <w:pPr>
              <w:jc w:val="left"/>
            </w:pPr>
            <w:r>
              <w:t xml:space="preserve">0.004</w:t>
            </w:r>
          </w:p>
        </w:tc>
        <w:tc>
          <w:tcPr>
            <w:tcW w:type="dxa" w:w="1800"/>
          </w:tcPr>
          <w:p>
            <w:pPr>
              <w:jc w:val="left"/>
            </w:pPr>
            <w:r>
              <w:t xml:space="preserve">0.00</w:t>
            </w:r>
          </w:p>
        </w:tc>
        <w:tc>
          <w:tcPr>
            <w:tcW w:type="dxa" w:w="1800"/>
          </w:tcPr>
          <w:p>
            <w:pPr>
              <w:jc w:val="left"/>
            </w:pPr>
            <w:r>
              <w:t xml:space="preserve">4.028</w:t>
            </w:r>
          </w:p>
        </w:tc>
      </w:tr>
    </w:tbl>
    <w:p>
      <w:pPr>
        <w:spacing w:after="120"/>
      </w:pPr>
    </w:p>
    <w:p>
      <w:pPr>
        <w:pStyle w:val="Heading2"/>
        <w:spacing w:after="100" w:before="200"/>
      </w:pPr>
      <w:r>
        <w:t xml:space="preserve">Architecture comparison</w:t>
      </w:r>
    </w:p>
    <w:p>
      <w:pPr>
        <w:spacing w:after="120"/>
      </w:pPr>
      <w:r>
        <w:t xml:space="preserve">Table 2 reports the paired architecture comparison between non-compensatory gates and the weighted-average composite comparator under the architecture-comparison regime (paired runs at 20% unsafe base rate, five replicates). All values are simulation properties under the SCM specified, including the intrinsic_safety coupling disclosed in Methods.</w:t>
      </w:r>
    </w:p>
    <w:p>
      <w:pPr>
        <w:spacing w:after="120"/>
      </w:pPr>
      <w:r>
        <w:rPr>
          <w:i/>
          <w:iCs/>
        </w:rPr>
        <w:t xml:space="preserve">Table 2. </w:t>
      </w:r>
      <w:r>
        <w:t xml:space="preserve">Architecture comparison under the architecture-comparison aggregation regime (paired non-compensatory vs weighted-average-composite runs at 20% unsafe base rate, five replicates). All values are simulation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Pr>
          <w:p>
            <w:pPr>
              <w:jc w:val="left"/>
            </w:pPr>
            <w:r>
              <w:rPr>
                <w:b/>
                <w:bCs/>
              </w:rPr>
              <w:t xml:space="preserve">Architecture</w:t>
            </w:r>
          </w:p>
        </w:tc>
        <w:tc>
          <w:tcPr>
            <w:tcW w:type="dxa" w:w="1800"/>
          </w:tcPr>
          <w:p>
            <w:pPr>
              <w:jc w:val="left"/>
            </w:pPr>
            <w:r>
              <w:rPr>
                <w:b/>
                <w:bCs/>
              </w:rPr>
              <w:t xml:space="preserve">Detection rate</w:t>
            </w:r>
          </w:p>
        </w:tc>
        <w:tc>
          <w:tcPr>
            <w:tcW w:type="dxa" w:w="1800"/>
          </w:tcPr>
          <w:p>
            <w:pPr>
              <w:jc w:val="left"/>
            </w:pPr>
            <w:r>
              <w:rPr>
                <w:b/>
                <w:bCs/>
              </w:rPr>
              <w:t xml:space="preserve">Safe throughput</w:t>
            </w:r>
          </w:p>
        </w:tc>
        <w:tc>
          <w:tcPr>
            <w:tcW w:type="dxa" w:w="1800"/>
          </w:tcPr>
          <w:p>
            <w:pPr>
              <w:jc w:val="left"/>
            </w:pPr>
            <w:r>
              <w:rPr>
                <w:b/>
                <w:bCs/>
              </w:rPr>
              <w:t xml:space="preserve">FN harm (cumulative simulated units)</w:t>
            </w:r>
          </w:p>
        </w:tc>
      </w:tr>
      <w:tr>
        <w:tc>
          <w:tcPr>
            <w:tcW w:type="dxa" w:w="1800"/>
          </w:tcPr>
          <w:p>
            <w:pPr>
              <w:jc w:val="left"/>
            </w:pPr>
            <w:r>
              <w:t xml:space="preserve">Non-compensatory (5 gates)</w:t>
            </w:r>
          </w:p>
        </w:tc>
        <w:tc>
          <w:tcPr>
            <w:tcW w:type="dxa" w:w="1800"/>
          </w:tcPr>
          <w:p>
            <w:pPr>
              <w:jc w:val="left"/>
            </w:pPr>
            <w:r>
              <w:t xml:space="preserve">0.999</w:t>
            </w:r>
          </w:p>
        </w:tc>
        <w:tc>
          <w:tcPr>
            <w:tcW w:type="dxa" w:w="1800"/>
          </w:tcPr>
          <w:p>
            <w:pPr>
              <w:jc w:val="left"/>
            </w:pPr>
            <w:r>
              <w:t xml:space="preserve">0.218</w:t>
            </w:r>
          </w:p>
        </w:tc>
        <w:tc>
          <w:tcPr>
            <w:tcW w:type="dxa" w:w="1800"/>
          </w:tcPr>
          <w:p>
            <w:pPr>
              <w:jc w:val="left"/>
            </w:pPr>
            <w:r>
              <w:t xml:space="preserve">1.69</w:t>
            </w:r>
          </w:p>
        </w:tc>
      </w:tr>
      <w:tr>
        <w:tc>
          <w:tcPr>
            <w:tcW w:type="dxa" w:w="1800"/>
          </w:tcPr>
          <w:p>
            <w:pPr>
              <w:jc w:val="left"/>
            </w:pPr>
            <w:r>
              <w:t xml:space="preserve">Weighted-average composite</w:t>
            </w:r>
          </w:p>
        </w:tc>
        <w:tc>
          <w:tcPr>
            <w:tcW w:type="dxa" w:w="1800"/>
          </w:tcPr>
          <w:p>
            <w:pPr>
              <w:jc w:val="left"/>
            </w:pPr>
            <w:r>
              <w:t xml:space="preserve">0.768</w:t>
            </w:r>
          </w:p>
        </w:tc>
        <w:tc>
          <w:tcPr>
            <w:tcW w:type="dxa" w:w="1800"/>
          </w:tcPr>
          <w:p>
            <w:pPr>
              <w:jc w:val="left"/>
            </w:pPr>
            <w:r>
              <w:t xml:space="preserve">0.810</w:t>
            </w:r>
          </w:p>
        </w:tc>
        <w:tc>
          <w:tcPr>
            <w:tcW w:type="dxa" w:w="1800"/>
          </w:tcPr>
          <w:p>
            <w:pPr>
              <w:jc w:val="left"/>
            </w:pPr>
            <w:r>
              <w:t xml:space="preserve">325.95</w:t>
            </w:r>
          </w:p>
        </w:tc>
      </w:tr>
    </w:tbl>
    <w:p>
      <w:pPr>
        <w:spacing w:after="120"/>
      </w:pPr>
    </w:p>
    <w:p>
      <w:pPr>
        <w:spacing w:after="120"/>
      </w:pPr>
      <w:r>
        <w:t xml:space="preserve">In this simulation, the mean false-negative-harm ratio between the two architectures is approximately 193 (325.95 / 1.69) — an illustrative output of the framework under the specified SCM rather than a generalisable architecture property. This ratio is conditional on the SCM coupling disclosed in Methods (SCM coupling disclosure subsection). Under the decoupled-variant SCM (Methods, Decoupled-variant SCM subsection), the corresponding mean ratio is approximately 80, indicating that the structural coupling accounts for a substantial portion of the coupled-SCM ratio. Both ratios are model-conditioned properties of their respective SCM specifications, not generalisable architecture findings; full numerical results for both regimes are archived in the repository.</w:t>
      </w:r>
    </w:p>
    <w:p>
      <w:pPr>
        <w:pStyle w:val="Heading2"/>
        <w:spacing w:after="100" w:before="200"/>
      </w:pPr>
      <w:r>
        <w:t xml:space="preserve">Pareto frontier and NSGA-II convergence</w:t>
      </w:r>
    </w:p>
    <w:p>
      <w:pPr>
        <w:spacing w:after="120"/>
      </w:pPr>
      <w:r>
        <w:t xml:space="preserve">NSGA-II identified approximately 50 candidate Pareto-optimal threshold configurations per seed across three seeds (42, 123, 7777), at the search budget specified (population 60, 30 generations, 1,800 total evaluations per seed). Final hypervolumes against the reference point (1.0, 1.0) on the (1−detection, 1−throughput) plane were 0.817, 0.839, and 0.849 across the three seeds. Pairwise frontier overlap (defined as the fraction of one seed's Pareto points within Euclidean tolerance 0.05 of the nearest point on another seed's frontier in the detection–throughput plane) was 0.70 between seeds 42 and 123 and 0.76 between seeds 42 and 7777. Figure 1 plots the seed-42 Pareto candidates in the (safe throughput, unsafe detection rate) plane (Panel A) and in the (total friction cost, false-negative harm) plane (Panel B). Per-seed counts and final hypervolumes are archived at outputs/processed/pareto_seed_stability.csv; the full hypervolume trajectory is at outputs/processed/nsga2_convergence.json.</w:t>
      </w:r>
    </w:p>
    <w:p>
      <w:pPr>
        <w:pStyle w:val="Heading2"/>
        <w:spacing w:after="100" w:before="200"/>
      </w:pPr>
      <w:r>
        <w:t xml:space="preserve">Sobol global sensitivity decomposition</w:t>
      </w:r>
    </w:p>
    <w:p>
      <w:pPr>
        <w:spacing w:after="120"/>
      </w:pPr>
      <w:r>
        <w:t xml:space="preserve">Table 3 reports the Sobol total-order indices for unsafe detection rate at the primary configuration (N = 2048 base samples, Owen-scrambled Sobol low-discrepancy sequence via scipy.stats.qmc.Sobol, 200-resample bootstrap). The safety_gate parameter is the dominant driver of detection-rate variance (ST = 0.725, 95% CI [0.601, 0.859]), followed by calibration_gate (ST = 0.306, [0.256, 0.365]), unsafe_base_rate (ST = 0.208, [0.168, 0.254]), and evidence_gate (ST = 0.198, [0.162, 0.239]). Auditability_noise has the smallest total-order contribution (ST = 0.015, [0.011, 0.018]). The N-progression diagnostic confirms convergence of the safety-gate index from ST = 0.633 [0.291, 1.071] at N = 128 to ST = 0.725 [0.601, 0.859] at N = 2048. Full N-progression results across all four outcomes (detection, throughput, false-negative harm, total friction) are archived at outputs/processed/sobol_convergence.json.</w:t>
      </w:r>
    </w:p>
    <w:p>
      <w:pPr>
        <w:spacing w:after="120"/>
      </w:pPr>
      <w:r>
        <w:t xml:space="preserve">At the primary configuration, the dominant total-order parameter varies across the four outcomes. safety_gate ranks first for detection rate (ST = 0.725, 95% CI [0.601, 0.859]) and false-negative harm (ST = 0.698, 95% CI [0.575, 0.893]), consistent with the qualitative finding from the earlier pseudo-random Saltelli analysis at smaller sample size. For throughput and friction, however, evidence_gate is the dominant driver (ST = 0.426, 95% CI [0.389, 0.474] and ST = 0.274, 95% CI [0.258, 0.292] respectively). This inter-outcome variation in dominant parameter was obscured by the noise of the earlier small-N estimates; the present N = 2048 sampling reveals it cleanly. The implication for sensitivity-aware governance is that gate selection priorities depend on which outcome is being optimised: safety-critical outcomes (detection, false-negative harm) are most affected by safety_gate calibration; operational outcomes (throughput, friction) are most affected by evidence_gate calibration. See supplement Table S4 for the full per-parameter × per-outcome decomposition.</w:t>
      </w:r>
    </w:p>
    <w:p>
      <w:pPr>
        <w:spacing w:after="120"/>
      </w:pPr>
      <w:r>
        <w:rPr>
          <w:i/>
          <w:iCs/>
        </w:rPr>
        <w:t xml:space="preserve">Table 3. </w:t>
      </w:r>
      <w:r>
        <w:t xml:space="preserve">Sobol total-order sensitivity indices (ST) for unsafe detection rate at N = 2048 base samples with Owen-scrambled Sobol low-discrepancy sequence (scipy.stats.qmc.Sobol via SALib) and 200-resample bootstrap 95% confidence intervals.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Pr>
          <w:p>
            <w:pPr>
              <w:jc w:val="left"/>
            </w:pPr>
            <w:r>
              <w:rPr>
                <w:b/>
                <w:bCs/>
              </w:rPr>
              <w:t xml:space="preserve">Parameter</w:t>
            </w:r>
          </w:p>
        </w:tc>
        <w:tc>
          <w:tcPr>
            <w:tcW w:type="dxa" w:w="1800"/>
          </w:tcPr>
          <w:p>
            <w:pPr>
              <w:jc w:val="left"/>
            </w:pPr>
            <w:r>
              <w:rPr>
                <w:b/>
                <w:bCs/>
              </w:rPr>
              <w:t xml:space="preserve">ST</w:t>
            </w:r>
          </w:p>
        </w:tc>
        <w:tc>
          <w:tcPr>
            <w:tcW w:type="dxa" w:w="1800"/>
          </w:tcPr>
          <w:p>
            <w:pPr>
              <w:jc w:val="left"/>
            </w:pPr>
            <w:r>
              <w:rPr>
                <w:b/>
                <w:bCs/>
              </w:rPr>
              <w:t xml:space="preserve">ST 95% CI</w:t>
            </w:r>
          </w:p>
        </w:tc>
        <w:tc>
          <w:tcPr>
            <w:tcW w:type="dxa" w:w="1800"/>
          </w:tcPr>
          <w:p>
            <w:pPr>
              <w:jc w:val="left"/>
            </w:pPr>
            <w:r>
              <w:rPr>
                <w:b/>
                <w:bCs/>
              </w:rPr>
              <w:t xml:space="preserve">Rank</w:t>
            </w:r>
          </w:p>
        </w:tc>
      </w:tr>
      <w:tr>
        <w:tc>
          <w:tcPr>
            <w:tcW w:type="dxa" w:w="1800"/>
          </w:tcPr>
          <w:p>
            <w:pPr>
              <w:jc w:val="left"/>
            </w:pPr>
            <w:r>
              <w:t xml:space="preserve">safety_gate</w:t>
            </w:r>
          </w:p>
        </w:tc>
        <w:tc>
          <w:tcPr>
            <w:tcW w:type="dxa" w:w="1800"/>
          </w:tcPr>
          <w:p>
            <w:pPr>
              <w:jc w:val="left"/>
            </w:pPr>
            <w:r>
              <w:t xml:space="preserve">0.725</w:t>
            </w:r>
          </w:p>
        </w:tc>
        <w:tc>
          <w:tcPr>
            <w:tcW w:type="dxa" w:w="1800"/>
          </w:tcPr>
          <w:p>
            <w:pPr>
              <w:jc w:val="left"/>
            </w:pPr>
            <w:r>
              <w:t xml:space="preserve">[0.601, 0.859]</w:t>
            </w:r>
          </w:p>
        </w:tc>
        <w:tc>
          <w:tcPr>
            <w:tcW w:type="dxa" w:w="1800"/>
          </w:tcPr>
          <w:p>
            <w:pPr>
              <w:jc w:val="left"/>
            </w:pPr>
            <w:r>
              <w:t xml:space="preserve">1</w:t>
            </w:r>
          </w:p>
        </w:tc>
      </w:tr>
      <w:tr>
        <w:tc>
          <w:tcPr>
            <w:tcW w:type="dxa" w:w="1800"/>
          </w:tcPr>
          <w:p>
            <w:pPr>
              <w:jc w:val="left"/>
            </w:pPr>
            <w:r>
              <w:t xml:space="preserve">calibration_gate</w:t>
            </w:r>
          </w:p>
        </w:tc>
        <w:tc>
          <w:tcPr>
            <w:tcW w:type="dxa" w:w="1800"/>
          </w:tcPr>
          <w:p>
            <w:pPr>
              <w:jc w:val="left"/>
            </w:pPr>
            <w:r>
              <w:t xml:space="preserve">0.306</w:t>
            </w:r>
          </w:p>
        </w:tc>
        <w:tc>
          <w:tcPr>
            <w:tcW w:type="dxa" w:w="1800"/>
          </w:tcPr>
          <w:p>
            <w:pPr>
              <w:jc w:val="left"/>
            </w:pPr>
            <w:r>
              <w:t xml:space="preserve">[0.256, 0.365]</w:t>
            </w:r>
          </w:p>
        </w:tc>
        <w:tc>
          <w:tcPr>
            <w:tcW w:type="dxa" w:w="1800"/>
          </w:tcPr>
          <w:p>
            <w:pPr>
              <w:jc w:val="left"/>
            </w:pPr>
            <w:r>
              <w:t xml:space="preserve">2</w:t>
            </w:r>
          </w:p>
        </w:tc>
      </w:tr>
      <w:tr>
        <w:tc>
          <w:tcPr>
            <w:tcW w:type="dxa" w:w="1800"/>
          </w:tcPr>
          <w:p>
            <w:pPr>
              <w:jc w:val="left"/>
            </w:pPr>
            <w:r>
              <w:t xml:space="preserve">unsafe_base_rate</w:t>
            </w:r>
          </w:p>
        </w:tc>
        <w:tc>
          <w:tcPr>
            <w:tcW w:type="dxa" w:w="1800"/>
          </w:tcPr>
          <w:p>
            <w:pPr>
              <w:jc w:val="left"/>
            </w:pPr>
            <w:r>
              <w:t xml:space="preserve">0.208</w:t>
            </w:r>
          </w:p>
        </w:tc>
        <w:tc>
          <w:tcPr>
            <w:tcW w:type="dxa" w:w="1800"/>
          </w:tcPr>
          <w:p>
            <w:pPr>
              <w:jc w:val="left"/>
            </w:pPr>
            <w:r>
              <w:t xml:space="preserve">[0.168, 0.254]</w:t>
            </w:r>
          </w:p>
        </w:tc>
        <w:tc>
          <w:tcPr>
            <w:tcW w:type="dxa" w:w="1800"/>
          </w:tcPr>
          <w:p>
            <w:pPr>
              <w:jc w:val="left"/>
            </w:pPr>
            <w:r>
              <w:t xml:space="preserve">3</w:t>
            </w:r>
          </w:p>
        </w:tc>
      </w:tr>
      <w:tr>
        <w:tc>
          <w:tcPr>
            <w:tcW w:type="dxa" w:w="1800"/>
          </w:tcPr>
          <w:p>
            <w:pPr>
              <w:jc w:val="left"/>
            </w:pPr>
            <w:r>
              <w:t xml:space="preserve">evidence_gate</w:t>
            </w:r>
          </w:p>
        </w:tc>
        <w:tc>
          <w:tcPr>
            <w:tcW w:type="dxa" w:w="1800"/>
          </w:tcPr>
          <w:p>
            <w:pPr>
              <w:jc w:val="left"/>
            </w:pPr>
            <w:r>
              <w:t xml:space="preserve">0.198</w:t>
            </w:r>
          </w:p>
        </w:tc>
        <w:tc>
          <w:tcPr>
            <w:tcW w:type="dxa" w:w="1800"/>
          </w:tcPr>
          <w:p>
            <w:pPr>
              <w:jc w:val="left"/>
            </w:pPr>
            <w:r>
              <w:t xml:space="preserve">[0.162, 0.239]</w:t>
            </w:r>
          </w:p>
        </w:tc>
        <w:tc>
          <w:tcPr>
            <w:tcW w:type="dxa" w:w="1800"/>
          </w:tcPr>
          <w:p>
            <w:pPr>
              <w:jc w:val="left"/>
            </w:pPr>
            <w:r>
              <w:t xml:space="preserve">4</w:t>
            </w:r>
          </w:p>
        </w:tc>
      </w:tr>
      <w:tr>
        <w:tc>
          <w:tcPr>
            <w:tcW w:type="dxa" w:w="1800"/>
          </w:tcPr>
          <w:p>
            <w:pPr>
              <w:jc w:val="left"/>
            </w:pPr>
            <w:r>
              <w:t xml:space="preserve">bias_gate</w:t>
            </w:r>
          </w:p>
        </w:tc>
        <w:tc>
          <w:tcPr>
            <w:tcW w:type="dxa" w:w="1800"/>
          </w:tcPr>
          <w:p>
            <w:pPr>
              <w:jc w:val="left"/>
            </w:pPr>
            <w:r>
              <w:t xml:space="preserve">0.153</w:t>
            </w:r>
          </w:p>
        </w:tc>
        <w:tc>
          <w:tcPr>
            <w:tcW w:type="dxa" w:w="1800"/>
          </w:tcPr>
          <w:p>
            <w:pPr>
              <w:jc w:val="left"/>
            </w:pPr>
            <w:r>
              <w:t xml:space="preserve">[0.121, 0.188]</w:t>
            </w:r>
          </w:p>
        </w:tc>
        <w:tc>
          <w:tcPr>
            <w:tcW w:type="dxa" w:w="1800"/>
          </w:tcPr>
          <w:p>
            <w:pPr>
              <w:jc w:val="left"/>
            </w:pPr>
            <w:r>
              <w:t xml:space="preserve">5</w:t>
            </w:r>
          </w:p>
        </w:tc>
      </w:tr>
      <w:tr>
        <w:tc>
          <w:tcPr>
            <w:tcW w:type="dxa" w:w="1800"/>
          </w:tcPr>
          <w:p>
            <w:pPr>
              <w:jc w:val="left"/>
            </w:pPr>
            <w:r>
              <w:t xml:space="preserve">traceability_gate</w:t>
            </w:r>
          </w:p>
        </w:tc>
        <w:tc>
          <w:tcPr>
            <w:tcW w:type="dxa" w:w="1800"/>
          </w:tcPr>
          <w:p>
            <w:pPr>
              <w:jc w:val="left"/>
            </w:pPr>
            <w:r>
              <w:t xml:space="preserve">0.078</w:t>
            </w:r>
          </w:p>
        </w:tc>
        <w:tc>
          <w:tcPr>
            <w:tcW w:type="dxa" w:w="1800"/>
          </w:tcPr>
          <w:p>
            <w:pPr>
              <w:jc w:val="left"/>
            </w:pPr>
            <w:r>
              <w:t xml:space="preserve">[0.060, 0.102]</w:t>
            </w:r>
          </w:p>
        </w:tc>
        <w:tc>
          <w:tcPr>
            <w:tcW w:type="dxa" w:w="1800"/>
          </w:tcPr>
          <w:p>
            <w:pPr>
              <w:jc w:val="left"/>
            </w:pPr>
            <w:r>
              <w:t xml:space="preserve">6</w:t>
            </w:r>
          </w:p>
        </w:tc>
      </w:tr>
      <w:tr>
        <w:tc>
          <w:tcPr>
            <w:tcW w:type="dxa" w:w="1800"/>
          </w:tcPr>
          <w:p>
            <w:pPr>
              <w:jc w:val="left"/>
            </w:pPr>
            <w:r>
              <w:t xml:space="preserve">auditability_noise</w:t>
            </w:r>
          </w:p>
        </w:tc>
        <w:tc>
          <w:tcPr>
            <w:tcW w:type="dxa" w:w="1800"/>
          </w:tcPr>
          <w:p>
            <w:pPr>
              <w:jc w:val="left"/>
            </w:pPr>
            <w:r>
              <w:t xml:space="preserve">0.015</w:t>
            </w:r>
          </w:p>
        </w:tc>
        <w:tc>
          <w:tcPr>
            <w:tcW w:type="dxa" w:w="1800"/>
          </w:tcPr>
          <w:p>
            <w:pPr>
              <w:jc w:val="left"/>
            </w:pPr>
            <w:r>
              <w:t xml:space="preserve">[0.011, 0.018]</w:t>
            </w:r>
          </w:p>
        </w:tc>
        <w:tc>
          <w:tcPr>
            <w:tcW w:type="dxa" w:w="1800"/>
          </w:tcPr>
          <w:p>
            <w:pPr>
              <w:jc w:val="left"/>
            </w:pPr>
            <w:r>
              <w:t xml:space="preserve">7</w:t>
            </w:r>
          </w:p>
        </w:tc>
      </w:tr>
    </w:tbl>
    <w:p>
      <w:pPr>
        <w:spacing w:after="120"/>
      </w:pPr>
    </w:p>
    <w:p>
      <w:pPr>
        <w:pStyle w:val="Heading2"/>
        <w:spacing w:after="100" w:before="200"/>
      </w:pPr>
      <w:r>
        <w:t xml:space="preserve">Lifecycle and inference</w:t>
      </w:r>
    </w:p>
    <w:p>
      <w:pPr>
        <w:spacing w:after="120"/>
      </w:pPr>
      <w:r>
        <w:t xml:space="preserve">Under the inference regime (full-matrix bootstrap mean across all 25 evaluations involving the moderate non-compensatory profile), the mean unsafe detection rate was 0.9934 with bootstrap 95% confidence interval 0.9900–0.9964. The Bayesian Beta-posterior 95% credible interval was 0.9928–0.9942.</w:t>
      </w:r>
    </w:p>
    <w:p>
      <w:pPr>
        <w:spacing w:after="120"/>
      </w:pPr>
      <w:r>
        <w:t xml:space="preserve">All seven internal validity tests passed. Deterministic replication under the replication regime achieved zero absolute difference across all four key metrics under the specified seed (seed = 42).</w:t>
      </w:r>
    </w:p>
    <w:p>
      <w:pPr>
        <w:spacing w:after="120"/>
      </w:pPr>
      <w:r>
        <w:t xml:space="preserve">The lifecycle simulation across 12 time periods produced a re-audit trigger rate of approximately 9.9% under the moderate non-compensatory profile. Detailed lifecycle interpretation — including specific decay magnitudes — is downscoped pending further methodological development; per-period output series are archived in the repository for traceability.</w:t>
      </w:r>
    </w:p>
    <w:p>
      <w:pPr>
        <w:pStyle w:val="Heading1"/>
        <w:spacing w:after="120" w:before="240"/>
      </w:pPr>
      <w:r>
        <w:t xml:space="preserve">Discussion</w:t>
      </w:r>
    </w:p>
    <w:p>
      <w:pPr>
        <w:pStyle w:val="Heading2"/>
        <w:spacing w:after="100" w:before="200"/>
      </w:pPr>
      <w:r>
        <w:t xml:space="preserve">Interpretation boundary</w:t>
      </w:r>
    </w:p>
    <w:p>
      <w:pPr>
        <w:spacing w:after="120"/>
      </w:pPr>
      <w:r>
        <w:t xml:space="preserve">All quantitative outputs reported in this paper — including the architecture-comparison ratio of approximately 193 under the coupled SCM, the corresponding ratio of approximately 80 under the decoupled-variant SCM, the mean detection rates of 99.87% and 76.75%, the approximately 50 candidate Pareto-optimal configurations per seed, the Sobol total-order indices, and the Table 1 profile values — are properties of the simulation operating under the specified SCM, observation model, and scenario parameters. They are not prescriptive threshold values for institutional adoption, not predictions of real-world deployment outcomes, and not claims of clinical safety advantage for any specific AI system. The framework is offered as a methodological tool for characterising threshold-sensitivity behaviour, not as a calibration recommendation.</w:t>
      </w:r>
    </w:p>
    <w:p>
      <w:pPr>
        <w:spacing w:after="120"/>
      </w:pPr>
      <w:r>
        <w:t xml:space="preserve">The architecture-comparison result reported in this paper is conditional on the SCM coupling disclosed in Methods. The latent variable intrinsic_safety enters both the harm-generation function and the safety-gate observation. A non-compensatory gate that thresholds the safety observation will, under this coupling, exhibit different sensitivity behaviour than a weighted-average composite that dilutes the signal across additional gates with weaker SCM-specified linkage to harm. The decoupled-variant experiment quantifies this: when baseline harm is driven by an independent latent variable (so the safety gate carries no information about harm), the architecture-comparison ratio narrows from approximately 193 to approximately 80. The remaining 80-fold ratio under the decoupled SCM is not attributable to the coupling and reflects the structural distinction between conjunctive thresholding and weighted aggregation in the presence of multiple noisy signals.</w:t>
      </w:r>
    </w:p>
    <w:p>
      <w:pPr>
        <w:pStyle w:val="Heading2"/>
        <w:spacing w:after="100" w:before="200"/>
      </w:pPr>
      <w:r>
        <w:t xml:space="preserve">Sensitivity-aware governance architecture</w:t>
      </w:r>
    </w:p>
    <w:p>
      <w:pPr>
        <w:spacing w:after="120"/>
      </w:pPr>
      <w:r>
        <w:t xml:space="preserve">The Monte Carlo simulation framework was designed to expose two sensitivity dimensions of the governance architecture. Parameter sensitivity is exposed through both the NSGA-II multi-objective optimisation, which maps the five-dimensional threshold space to identify candidate Pareto-optimal configurations, and the Sobol global sensitivity decomposition, which apportions detection-rate variance across the seven sampled parameters. The Sobol decomposition at N = 2048 identifies safety_gate as the dominant total-order driver of detection-rate variance (ST = 0.725) but also identifies calibration_gate (ST = 0.306) and unsafe_base_rate (ST = 0.208) as non-negligible contributors. Evidence sensitivity is embedded in the observation model, which generates governance signals from latent system properties through measurement noise, evidence regime effects, and adversarial misreporting.</w:t>
      </w:r>
    </w:p>
    <w:p>
      <w:pPr>
        <w:pStyle w:val="Heading2"/>
        <w:spacing w:after="100" w:before="200"/>
      </w:pPr>
      <w:r>
        <w:t xml:space="preserve">Implications for methodological practice</w:t>
      </w:r>
    </w:p>
    <w:p>
      <w:pPr>
        <w:spacing w:after="120"/>
      </w:pPr>
      <w:r>
        <w:t xml:space="preserve">Three implications follow for the methodological characterisation of non-compensatory governance. First, an architecture comparison is meaningful only conditional on a specified SCM; reproducible specification of the SCM — including disclosure of shared latent variables — is essential for the resulting comparison to be interpretable. The decoupled-variant experiment reported here is one form of such conditional reporting. Second, the comparator class matters. This study compares against a single weighted-average composite rule with fixed weights; the architecture-comparison ratio is sensitive to the choice of weights within this comparator class (across five weighting schemes evaluated in the supplementary materials, the ratio ranged from approximately 80 under safety-heavy weighting to approximately 334 under safety-minimal weighting). Comparison against constrained MCDA, lexicographic, or Bayesian comparators is part of the framework's continued development. Third, candidate Pareto-optimal configurations identified by a finite NSGA-II search budget should be reported alongside multi-seed convergence diagnostics; the present paper reports per-seed counts, hypervolume trajectories, and pairwise frontier overlap as the relevant diagnostics.</w:t>
      </w:r>
    </w:p>
    <w:p>
      <w:pPr>
        <w:pStyle w:val="Heading2"/>
        <w:spacing w:after="100" w:before="200"/>
      </w:pPr>
      <w:r>
        <w:t xml:space="preserve">Throughput trade-off</w:t>
      </w:r>
    </w:p>
    <w:p>
      <w:pPr>
        <w:spacing w:after="120"/>
      </w:pPr>
      <w:r>
        <w:t xml:space="preserve">In the simulation, under the architecture-comparison regime, the non-compensatory architecture passed 21.8% of safe systems versus 81.0% under the weighted-average composite. Under the threshold-profile regime, the moderate profile passed 21.0% of safe systems and the permissive profile passed 51.0%. Whether such throughput differentials are acceptable in any institutional context is a normative question that lies outside the scope of this simulation; the present study characterises the trade-off surface, not a single operating point.</w:t>
      </w:r>
    </w:p>
    <w:p>
      <w:pPr>
        <w:pStyle w:val="Heading2"/>
        <w:spacing w:after="100" w:before="200"/>
      </w:pPr>
      <w:r>
        <w:t xml:space="preserve">Scope and contribution</w:t>
      </w:r>
    </w:p>
    <w:p>
      <w:pPr>
        <w:spacing w:after="120"/>
      </w:pPr>
      <w:r>
        <w:t xml:space="preserve">This study provides a methodological framework for characterising non-compensatory gate threshold sensitivity in simulated clinical AI governance. It does not provide empirical evidence regarding any specific AI system, nor does it constitute prospective validation. Real-world observational evaluation using institutional AI portfolio data, and prospective controlled evaluation within live governance processes, remain outstanding and constitute the necessary next steps before any deployment recommendations could be made. No finding in the present study should be interpreted as evidence from a real-world or prospective evaluation.</w:t>
      </w:r>
    </w:p>
    <w:p>
      <w:pPr>
        <w:pStyle w:val="Heading2"/>
        <w:spacing w:after="100" w:before="200"/>
      </w:pPr>
      <w:r>
        <w:t xml:space="preserve">Scope boundaries</w:t>
      </w:r>
    </w:p>
    <w:p>
      <w:pPr>
        <w:spacing w:after="120"/>
      </w:pPr>
      <w:r>
        <w:t xml:space="preserve">The framework characterises a governance evidence assessment within five specified domains. It does not address sociotechnical integration failures, procurement governance, clinical trial substitution where required by regulation, workflow integration, clinician trust calibration, or real-time human factors. These domains fall outside the framework's scope and require complementary assessment processes.</w:t>
      </w:r>
    </w:p>
    <w:p>
      <w:pPr>
        <w:pStyle w:val="Heading2"/>
        <w:spacing w:after="100" w:before="200"/>
      </w:pPr>
      <w:r>
        <w:t xml:space="preserve">Regulatory framing</w:t>
      </w:r>
    </w:p>
    <w:p>
      <w:pPr>
        <w:spacing w:after="120"/>
      </w:pPr>
      <w:r>
        <w:t xml:space="preserve">The framework is methodologically aligned with the governance domains identified in the EU AI Act (Articles 9 and 17) [20] and the FDA AI-enabled device software functions draft guidance (January 2025) [7]. It does not modify or replace any regulatory requirement and does not propose specific threshold values for adoption.</w:t>
      </w:r>
    </w:p>
    <w:p>
      <w:pPr>
        <w:pStyle w:val="Heading1"/>
        <w:spacing w:after="120" w:before="240"/>
      </w:pPr>
      <w:r>
        <w:t xml:space="preserve">Limitations</w:t>
      </w:r>
    </w:p>
    <w:p>
      <w:pPr>
        <w:spacing w:after="120"/>
      </w:pPr>
      <w:r>
        <w:t xml:space="preserve">This work represents a computational simulation study and does not constitute prospective real-world validation. Several limitations must be acknowledged.</w:t>
      </w:r>
    </w:p>
    <w:p>
      <w:pPr>
        <w:spacing w:after="120"/>
      </w:pPr>
      <w:r>
        <w:t xml:space="preserve">First, the SCM as specified contains a structural coupling between the harm-generation function and the safety-gate observation: both consume the same latent variable, intrinsic_safety. The coupled-SCM architecture-comparison results reported in this paper are conditional on this coupling. The decoupled-variant experiment, in which the harm function consumes an independent latent variable harm_latent ~ Beta(2.5, 2.0), is reported in the supplementary materials and gives a narrowed but still substantial ratio (approximately 80). Generalisation of the architecture-comparison ratio beyond the two SCM specifications considered (coupled at 193, decoupled at 80) is not supported by the present results.</w:t>
      </w:r>
    </w:p>
    <w:p>
      <w:pPr>
        <w:spacing w:after="120"/>
      </w:pPr>
      <w:r>
        <w:t xml:space="preserve">Second, the compensatory comparator implemented in this study is a single weighted-average composite rule with fixed weights (30/20/20/15/15). Constrained MCDA with hard floors, lexicographic ordering, and Bayesian expected-utility comparators are not implemented. Sensitivity of the ratio to weighting-scheme choice within the weighted-average composite class is reported in the supplementary materials (range from approximately 80 to approximately 334 across five schemes). Generalisation to other compensatory architectures is not supported by the present results.</w:t>
      </w:r>
    </w:p>
    <w:p>
      <w:pPr>
        <w:spacing w:after="120"/>
      </w:pPr>
      <w:r>
        <w:t xml:space="preserve">Third, the Sobol global sensitivity decomposition was originally performed at N = 64 base samples per parameter and a pseudo-random Saltelli pattern — a configuration below the convention for stable Saltelli total-order estimates. The present analysis re-executes the decomposition with a true Owen-scrambled Sobol low-discrepancy sequence (scipy.stats.qmc.Sobol via SALib) over an N-progression N ∈ {128, 256, 512, 1024, 2048}, with 200-resample bootstrap 95% confidence intervals. At the primary configuration (N = 2048) the safety_gate total-order index is ST = 0.725 with 95% CI [0.601, 0.859], indicating that safety_gate is the dominant driver of detection-rate variance with the residual uncertainty bounded at the level reported. The N-progression diagnostic demonstrates convergence of the index across N from 128 to 2048; further extension to N = 4096 would tighten CIs marginally and is acknowledged as a future-work item but is not necessary for the qualitative conclusion reported.</w:t>
      </w:r>
    </w:p>
    <w:p>
      <w:pPr>
        <w:spacing w:after="120"/>
      </w:pPr>
      <w:r>
        <w:t xml:space="preserve">Fourth, NSGA-II convergence diagnostics — including hypervolume trajectory and pairwise frontier overlap across multiple seeds — were performed in the present analysis at three seeds (42, 123, 7777) at the search budget specified. The candidate Pareto-optimal configurations should still be interpreted as candidates at the search budget specified, not as a fully converged frontier; final hypervolume continues to grow modestly with additional generations under the specified budget.</w:t>
      </w:r>
    </w:p>
    <w:p>
      <w:pPr>
        <w:spacing w:after="120"/>
      </w:pPr>
      <w:r>
        <w:t xml:space="preserve">Fifth, this is a synthetic computational study; all AI systems are simulated, not empirical. The generative distributions and SCM functional forms are assumed and may not capture the full complexity of real-world AI system properties.</w:t>
      </w:r>
    </w:p>
    <w:p>
      <w:pPr>
        <w:spacing w:after="120"/>
      </w:pPr>
      <w:r>
        <w:t xml:space="preserve">Sixth, the observation model simplifies the audit process. Real audits are not independent draws from a noise distribution but iterative processes involving clarification, evidence gathering, and institutional negotiation.</w:t>
      </w:r>
    </w:p>
    <w:p>
      <w:pPr>
        <w:spacing w:after="120"/>
      </w:pPr>
      <w:r>
        <w:t xml:space="preserve">Seventh, the lifecycle model uses a simplified single-dimensional drift mechanism. Detailed lifecycle interpretation is downscoped in this paper pending further methodological development. Real-world drift involves concept drift, covariate drift, and label drift with different kinetics, none of which are captured in the present model.</w:t>
      </w:r>
    </w:p>
    <w:p>
      <w:pPr>
        <w:pStyle w:val="Heading1"/>
        <w:spacing w:after="120" w:before="240"/>
      </w:pPr>
      <w:r>
        <w:t xml:space="preserve">Conclusions</w:t>
      </w:r>
    </w:p>
    <w:p>
      <w:pPr>
        <w:spacing w:after="120"/>
      </w:pPr>
      <w:r>
        <w:t xml:space="preserve">This paper contributes a Monte Carlo methodological framework integrating multi-objective optimisation, Decision Curve Analysis, and Sobol global sensitivity decomposition for characterising non-compensatory gate threshold sensitivity in simulated clinical AI governance. As an illustrative output of the framework under the specified SCM and the architecture-comparison regime, the simulation produced a mean unsafe detection rate of 99.87% for non-compensatory gates versus 76.75% under the weighted-average composite comparator, with a mean false-negative-harm ratio of approximately 193. Under the decoupled-variant SCM, the corresponding ratio narrowed to approximately 80, quantifying explicitly the contribution of the disclosed SCM coupling to the coupled-SCM ratio. Sobol decomposition at N = 2048 (Owen-scrambled Sobol low-discrepancy sequence via scipy.stats.qmc.Sobol) identified safety_gate as the dominant total-order driver of detection-rate variance (ST = 0.725, 95% CI [0.601, 0.859]).</w:t>
      </w:r>
    </w:p>
    <w:p>
      <w:pPr>
        <w:spacing w:after="120"/>
      </w:pPr>
      <w:r>
        <w:t xml:space="preserve">All reported magnitudes are properties of the simulation under the specified SCM, observation model, and scenario parameters; they are not prescriptive thresholds, not predictions of real-world deployment outcomes, and not claims of clinical safety advantage for any specific AI system. The framework, analysis plan, and outputs are publicly available at https://doi.org/10.5281/zenodo.19499806 for independent verification. All analyses are reproducible via the archived reference implementation, validated via cryptographic hash-chain checks, with re-execution from identical inputs producing identical outputs under the specified seed.</w:t>
      </w:r>
    </w:p>
    <w:p>
      <w:pPr>
        <w:pStyle w:val="Heading1"/>
        <w:spacing w:after="120" w:before="240"/>
      </w:pPr>
      <w:r>
        <w:t xml:space="preserve">Declarations</w:t>
      </w:r>
    </w:p>
    <w:p>
      <w:pPr>
        <w:pStyle w:val="Heading2"/>
        <w:spacing w:after="100" w:before="200"/>
      </w:pPr>
      <w:r>
        <w:t xml:space="preserve">Funding</w:t>
      </w:r>
    </w:p>
    <w:p>
      <w:pPr>
        <w:spacing w:after="120"/>
      </w:pPr>
      <w:r>
        <w:t xml:space="preserve">No external funding was received for this work.</w:t>
      </w:r>
    </w:p>
    <w:p>
      <w:pPr>
        <w:pStyle w:val="Heading2"/>
        <w:spacing w:after="100" w:before="200"/>
      </w:pPr>
      <w:r>
        <w:t xml:space="preserve">Competing interests</w:t>
      </w:r>
    </w:p>
    <w:p>
      <w:pPr>
        <w:spacing w:after="120"/>
      </w:pPr>
      <w:r>
        <w:t xml:space="preserve">W.B. is the founder of Ethical Alpha Audit Ltd, which develops AI governance audit methodology. W.B. is employed as an Analyst at NHS England; all views expressed are the author's own and do not represent NHS England. To support independent verification given the single-author commercial-affiliation context, the complete repository, deterministic seed, configuration files, and cryptographic hash-chain validation are publicly archived at the Zenodo DOI cited above; third-party re-execution from identical inputs produces identical outputs under the specified seed.</w:t>
      </w:r>
    </w:p>
    <w:p>
      <w:pPr>
        <w:pStyle w:val="Heading2"/>
        <w:spacing w:after="100" w:before="200"/>
      </w:pPr>
      <w:r>
        <w:t xml:space="preserve">AI use disclosure</w:t>
      </w:r>
    </w:p>
    <w:p>
      <w:pPr>
        <w:spacing w:after="120"/>
      </w:pPr>
      <w:r>
        <w:t xml:space="preserve">Generative AI tools (Claude, Anthropic) were used during the preparation of this manuscript for the following functions: code drafting and refactoring within the simulation framework; document formatting and structural review; copy-editing of prose. Generative AI tools were not used to specify the SCM functional forms, to select parameter values, to design the comparator architecture, or to formulate interpretive claims; all such scientific decisions were made by the author. All AI-generated outputs were reviewed and verified by the author prior to inclusion.</w:t>
      </w:r>
    </w:p>
    <w:p>
      <w:pPr>
        <w:pStyle w:val="Heading2"/>
        <w:spacing w:after="100" w:before="200"/>
      </w:pPr>
      <w:r>
        <w:t xml:space="preserve">Ethics statement</w:t>
      </w:r>
    </w:p>
    <w:p>
      <w:pPr>
        <w:spacing w:after="120"/>
      </w:pPr>
      <w:r>
        <w:t xml:space="preserve">This computational study does not involve human participants, patient data, or real-world AI systems. No ethics review was required. This study uses only synthetic data generated by the simulation framework. No real-world datasets were used.</w:t>
      </w:r>
    </w:p>
    <w:p>
      <w:pPr>
        <w:pStyle w:val="Heading2"/>
        <w:spacing w:after="100" w:before="200"/>
      </w:pPr>
      <w:r>
        <w:t xml:space="preserve">Data availability</w:t>
      </w:r>
    </w:p>
    <w:p>
      <w:pPr>
        <w:spacing w:after="120"/>
      </w:pPr>
      <w:r>
        <w:t xml:space="preserve">This study is supported by a fully reproducible computational pipeline with cryptographic hash-chain validation, deterministic execution, and archival reference outputs. The complete repository is archived at Zenodo (https://doi.org/10.5281/zenodo.19499806).</w:t>
      </w:r>
    </w:p>
    <w:p>
      <w:pPr>
        <w:pStyle w:val="Heading2"/>
        <w:spacing w:after="100" w:before="200"/>
      </w:pPr>
      <w:r>
        <w:t xml:space="preserve">Code availability</w:t>
      </w:r>
    </w:p>
    <w:p>
      <w:pPr>
        <w:spacing w:after="120"/>
      </w:pPr>
      <w:r>
        <w:t xml:space="preserve">The simulation framework is implemented in Python 3.11 and is available as a self-contained reproducibility artefact including the NSGA-II implementation, the SCM functional library, and the automated validation harness. The complete repository is archived at the Zenodo DOI above.</w:t>
      </w:r>
    </w:p>
    <w:p>
      <w:pPr>
        <w:pStyle w:val="Heading1"/>
        <w:spacing w:after="120" w:before="240"/>
      </w:pPr>
      <w:r>
        <w:t xml:space="preserve">Multimedia Appendices</w:t>
      </w:r>
    </w:p>
    <w:p>
      <w:pPr>
        <w:spacing w:after="120"/>
      </w:pPr>
      <w:r>
        <w:rPr>
          <w:b/>
          <w:bCs/>
        </w:rPr>
        <w:t xml:space="preserve">Multimedia Appendix A. </w:t>
      </w:r>
      <w:r>
        <w:t xml:space="preserve">Full reproducibility details: SHA-256 manifest, deterministic execution protocol, regime dictionary, and independent replication verification.</w:t>
      </w:r>
    </w:p>
    <w:p>
      <w:pPr>
        <w:pStyle w:val="Heading1"/>
        <w:spacing w:after="120" w:before="240"/>
      </w:pPr>
      <w:r>
        <w:t xml:space="preserve">Figure legends</w:t>
      </w:r>
    </w:p>
    <w:p>
      <w:pPr>
        <w:spacing w:after="120"/>
      </w:pPr>
      <w:r>
        <w:rPr>
          <w:b/>
          <w:bCs/>
        </w:rPr>
        <w:t xml:space="preserve">Figure 1. </w:t>
      </w:r>
      <w:r>
        <w:t xml:space="preserve">Candidate Pareto-optimal frontier (NSGA-II, seed = 42, at the search budget specified: population 60, 30 generations, 1,800 evaluations). Panel A: candidate solutions in the (safe throughput, unsafe detection rate) plane. Panel B: candidate solutions in the (total friction cost, false-negative harm) plane, coloured by detection rate. Multi-seed convergence diagnostics (hypervolume trajectory and pairwise frontier overlap across seeds 42, 123, 7777) are reported in the main text. All values are simulation properties.</w:t>
      </w:r>
    </w:p>
    <w:p>
      <w:pPr>
        <w:spacing w:after="120"/>
      </w:pPr>
      <w:r>
        <w:rPr>
          <w:b/>
          <w:bCs/>
        </w:rPr>
        <w:t xml:space="preserve">Figure 2. </w:t>
      </w:r>
      <w:r>
        <w:t xml:space="preserve">Policy threshold heatmaps over a 6×6 Safety-gate × Evidence-gate grid (safety and evidence thresholds 0.20–0.80). Four panels show unsafe detection rate, safe throughput, false-negative harm, and mean friction. Colour ramps are Okabe–Ito compliant: blue (low → high) for outcomes where higher is better (detection, throughput); orange (low → high) for outcomes where lower is better (harm, friction). Numeric values overlaid on each cell. All values are simulation properties.</w:t>
      </w:r>
    </w:p>
    <w:p>
      <w:pPr>
        <w:spacing w:after="120"/>
      </w:pPr>
      <w:r>
        <w:rPr>
          <w:b/>
          <w:bCs/>
        </w:rPr>
        <w:t xml:space="preserve">Figure 3. </w:t>
      </w:r>
      <w:r>
        <w:t xml:space="preserve">Sobol global sensitivity decomposition at N = 2048 base samples (Owen-scrambled Sobol low-discrepancy sequence via scipy.stats.qmc.Sobol; 200-resample bootstrap 95% confidence intervals). Total-order indices (ST) for the seven sampled parameters across the four output metrics (unsafe detection rate, safe throughput, false-negative harm, mean total friction). The N-progression diagnostic over N ∈ {128, 256, 512, 1024, 2048} is shown in Supplementary Materials Appendix D.</w:t>
      </w:r>
    </w:p>
    <w:p>
      <w:pPr>
        <w:spacing w:after="120"/>
      </w:pPr>
      <w:r>
        <w:rPr>
          <w:b/>
          <w:bCs/>
        </w:rPr>
        <w:t xml:space="preserve">Figure 4. </w:t>
      </w:r>
      <w:r>
        <w:t xml:space="preserve">Decision Curve Analysis. Net benefit as a function of threshold probability for the four non-compensatory governance profiles (permissive, moderate, strict, very strict), the weighted-average composite moderate baseline, and two reference strategies (Reject all / Approve all). The policy-relevant threshold range (0.05–0.50) is shaded. All values are simulation properties.</w:t>
      </w:r>
    </w:p>
    <w:p>
      <w:pPr>
        <w:spacing w:after="120"/>
      </w:pPr>
      <w:r>
        <w:rPr>
          <w:b/>
          <w:bCs/>
        </w:rPr>
        <w:t xml:space="preserve">Figure 5. </w:t>
      </w:r>
      <w:r>
        <w:t xml:space="preserve">Structural causal model: directed acyclic graph with 28 nodes and 19 edges encoding causal relationships among latent traits (blue), intermediate variables (orange), and outcome nodes (vermilion).</w:t>
      </w:r>
    </w:p>
    <w:p>
      <w:pPr>
        <w:pStyle w:val="Heading1"/>
        <w:spacing w:after="120" w:before="240"/>
      </w:pPr>
      <w:r>
        <w:t xml:space="preserve">References</w:t>
      </w:r>
    </w:p>
    <w:p>
      <w:pPr>
        <w:spacing w:after="120"/>
      </w:pPr>
      <w:r>
        <w:t xml:space="preserve">1. Deb K, Pratap A, Agarwal S, Meyarivan T. A fast and elitist multiobjective genetic algorithm: NSGA-II. IEEE Trans Evol Comput. 2002;6(2):182–97.</w:t>
      </w:r>
    </w:p>
    <w:p>
      <w:pPr>
        <w:spacing w:after="120"/>
      </w:pPr>
      <w:r>
        <w:t xml:space="preserve">2. Vickers AJ, Elkin EB. Decision curve analysis: a novel method for evaluating prediction models. Med Decis Making. 2006;26(6):565–74.</w:t>
      </w:r>
    </w:p>
    <w:p>
      <w:pPr>
        <w:spacing w:after="120"/>
      </w:pPr>
      <w:r>
        <w:t xml:space="preserve">3. Sobol IM. Global sensitivity indices for nonlinear mathematical models and their Monte Carlo estimates. Math Comput Simul. 2001;55(1–3):271–80.</w:t>
      </w:r>
    </w:p>
    <w:p>
      <w:pPr>
        <w:spacing w:after="120"/>
      </w:pPr>
      <w:r>
        <w:t xml:space="preserve">4. Saltelli A, Annoni P, Azzini I, et al. Variance based sensitivity analysis of model output. Comput Phys Commun. 2010;181(2):259–70.</w:t>
      </w:r>
    </w:p>
    <w:p>
      <w:pPr>
        <w:spacing w:after="120"/>
      </w:pPr>
      <w:r>
        <w:t xml:space="preserve">5. Nelsen RB. An Introduction to Copulas. 2nd ed. New York: Springer; 2006.</w:t>
      </w:r>
    </w:p>
    <w:p>
      <w:pPr>
        <w:spacing w:after="120"/>
      </w:pPr>
      <w:r>
        <w:t xml:space="preserve">6. World Health Organization. Ethics and Governance of Artificial Intelligence for Health. Geneva: WHO; 2021.</w:t>
      </w:r>
    </w:p>
    <w:p>
      <w:pPr>
        <w:spacing w:after="120"/>
      </w:pPr>
      <w:r>
        <w:t xml:space="preserve">7. U.S. Food and Drug Administration. Artificial Intelligence/Machine Learning (AI/ML)-Based Software as a Medical Device Action Plan. Silver Spring: FDA; 2021.</w:t>
      </w:r>
    </w:p>
    <w:p>
      <w:pPr>
        <w:spacing w:after="120"/>
      </w:pPr>
      <w:r>
        <w:t xml:space="preserve">8. Medicines and Healthcare products Regulatory Agency. Software and AI as a Medical Device Change Programme: Roadmap. London: MHRA; 2023.</w:t>
      </w:r>
    </w:p>
    <w:p>
      <w:pPr>
        <w:spacing w:after="120"/>
      </w:pPr>
      <w:r>
        <w:t xml:space="preserve">9. Liu X, Rivera SC, Moher D, et al. Reporting guidelines for clinical trial reports for interventions involving artificial intelligence: the CONSORT-AI extension. Nat Med. 2020;26:1364–74.</w:t>
      </w:r>
    </w:p>
    <w:p>
      <w:pPr>
        <w:spacing w:after="120"/>
      </w:pPr>
      <w:r>
        <w:t xml:space="preserve">10. Lekadir K, Frangi AF, Porras AR, et al. FUTURE-AI: international consensus guideline for trustworthy and deployable artificial intelligence in healthcare. BMJ. 2025;388:e081554.</w:t>
      </w:r>
    </w:p>
    <w:p>
      <w:pPr>
        <w:spacing w:after="120"/>
      </w:pPr>
      <w:r>
        <w:t xml:space="preserve">11. Thokala P, Devlin N, Marsh K, et al. Multiple criteria decision analysis for health care decision making — an introduction: Report 1 of the ISPOR MCDA Emerging Good Practices Task Force. Value Health. 2016;19(1):1–13.</w:t>
      </w:r>
    </w:p>
    <w:p>
      <w:pPr>
        <w:spacing w:after="120"/>
      </w:pPr>
      <w:r>
        <w:t xml:space="preserve">12. OECD/European Commission/Joint Research Centre. Handbook on Constructing Composite Indicators: Methodology and User Guide. Paris: OECD Publishing; 2008.</w:t>
      </w:r>
    </w:p>
    <w:p>
      <w:pPr>
        <w:spacing w:after="120"/>
      </w:pPr>
      <w:r>
        <w:t xml:space="preserve">13. Tversky A. Elimination by aspects: a theory of choice. Psychol Rev. 1972;79(4):281–99.</w:t>
      </w:r>
    </w:p>
    <w:p>
      <w:pPr>
        <w:spacing w:after="120"/>
      </w:pPr>
      <w:r>
        <w:t xml:space="preserve">14. Hogarth RM, Karelaia N. Heuristic and linear models of judgment: matching rules and environments. Psychol Rev. 2007;114(3):733–58.</w:t>
      </w:r>
    </w:p>
    <w:p>
      <w:pPr>
        <w:spacing w:after="120"/>
      </w:pPr>
      <w:r>
        <w:t xml:space="preserve">15. Gigerenzer G, Goldstein DG. Reasoning the fast and frugal way: models of bounded rationality. Psychol Rev. 1996;103(4):650–69.</w:t>
      </w:r>
    </w:p>
    <w:p>
      <w:pPr>
        <w:spacing w:after="120"/>
      </w:pPr>
      <w:r>
        <w:t xml:space="preserve">16. Roy B. The outranking approach and the foundations of ELECTRE methods. Theory Decis. 1991;31:49–73.</w:t>
      </w:r>
    </w:p>
    <w:p>
      <w:pPr>
        <w:spacing w:after="120"/>
      </w:pPr>
      <w:r>
        <w:t xml:space="preserve">17. Keeney RL, Raiffa H. Decisions with Multiple Objectives: Preferences and Value Tradeoffs. Cambridge: Cambridge University Press; 1993.</w:t>
      </w:r>
    </w:p>
    <w:p>
      <w:pPr>
        <w:spacing w:after="120"/>
      </w:pPr>
      <w:r>
        <w:t xml:space="preserve">18. Wong A, Otles E, Donnelly JP, et al. External validation of a widely implemented proprietary sepsis prediction model in hospitalized patients. JAMA Intern Med. 2021;181(8):1065–70.</w:t>
      </w:r>
    </w:p>
    <w:p>
      <w:pPr>
        <w:spacing w:after="120"/>
      </w:pPr>
      <w:r>
        <w:t xml:space="preserve">19. Obermeyer Z, Powers B, Vogeli C, Mullainathan S. Dissecting racial bias in an algorithm used to manage the health of populations. Science. 2019;366(6464):447–53.</w:t>
      </w:r>
    </w:p>
    <w:p>
      <w:pPr>
        <w:spacing w:after="120"/>
      </w:pPr>
      <w:r>
        <w:t xml:space="preserve">20. European Parliament and Council. Regulation (EU) 2024/1689 laying down harmonised rules on artificial intelligence (Artificial Intelligence Act). Off J Eur Union.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5 v2 — Stage 7 final</dc:title>
  <dc:creator>Walter Brown</dc:creator>
  <cp:lastModifiedBy>Un-named</cp:lastModifiedBy>
  <cp:revision>1</cp:revision>
  <dcterms:created xsi:type="dcterms:W3CDTF">2026-04-28T20:05:32.196Z</dcterms:created>
  <dcterms:modified xsi:type="dcterms:W3CDTF">2026-04-28T20:05:32.198Z</dcterms:modified>
</cp:coreProperties>
</file>

<file path=docProps/custom.xml><?xml version="1.0" encoding="utf-8"?>
<Properties xmlns="http://schemas.openxmlformats.org/officeDocument/2006/custom-properties" xmlns:vt="http://schemas.openxmlformats.org/officeDocument/2006/docPropsVTypes"/>
</file>