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Supplementary Materials</w:t>
      </w:r>
    </w:p>
    <w:p>
      <w:pPr>
        <w:spacing w:after="120"/>
      </w:pPr>
      <w:r>
        <w:rPr>
          <w:i/>
          <w:iCs/>
        </w:rPr>
        <w:t xml:space="preserve">Companion to: A Monte Carlo Methods Framework for Characterising Non-Compensatory Gate Threshold Sensitivity in Clinical AI Governance</w:t>
      </w:r>
    </w:p>
    <w:p>
      <w:pPr>
        <w:spacing w:after="120"/>
      </w:pPr>
      <w:r>
        <w:t xml:space="preserve">Walter Brown, MSc, MA</w:t>
      </w:r>
    </w:p>
    <w:p>
      <w:pPr>
        <w:spacing w:after="120"/>
      </w:pPr>
      <w:r>
        <w:rPr>
          <w:i/>
          <w:iCs/>
        </w:rPr>
        <w:t xml:space="preserve">Target journal: JMIR Medical Informatics</w:t>
      </w:r>
    </w:p>
    <w:p>
      <w:pPr>
        <w:pStyle w:val="Heading1"/>
        <w:spacing w:after="120" w:before="240"/>
      </w:pPr>
      <w:r>
        <w:t xml:space="preserve">Supplementary Appendix A: Aggregation regime dictionary</w:t>
      </w:r>
    </w:p>
    <w:p>
      <w:pPr>
        <w:spacing w:after="120"/>
      </w:pPr>
      <w:r>
        <w:t xml:space="preserve">This dictionary names every aggregation regime used in the main text and identifies its source files in the public archive (Zenodo DOI 10.5281/zenodo.19499806). Each numerical claim in the main paper is annotated with a regime label that maps to one row in this table.</w:t>
      </w:r>
    </w:p>
    <w:p>
      <w:pPr>
        <w:spacing w:after="120"/>
      </w:pPr>
      <w:r>
        <w:rPr>
          <w:i/>
          <w:iCs/>
        </w:rPr>
        <w:t xml:space="preserve">Table S1. </w:t>
      </w:r>
      <w:r>
        <w:t xml:space="preserve">Aggregation regime dictionary (v2.0).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700"/>
        <w:gridCol w:w="1700"/>
      </w:tblGrid>
      <w:tr>
        <w:trPr>
          <w:tblHeader/>
        </w:trPr>
        <w:tc>
          <w:tcPr>
            <w:tcW w:type="dxa" w:w="1700"/>
          </w:tcPr>
          <w:p>
            <w:r>
              <w:rPr>
                <w:b/>
                <w:bCs/>
              </w:rPr>
              <w:t xml:space="preserve">Regime</w:t>
            </w:r>
          </w:p>
        </w:tc>
        <w:tc>
          <w:tcPr>
            <w:tcW w:type="dxa" w:w="2900"/>
          </w:tcPr>
          <w:p>
            <w:r>
              <w:rPr>
                <w:b/>
                <w:bCs/>
              </w:rPr>
              <w:t xml:space="preserve">Aggregation scope</w:t>
            </w:r>
          </w:p>
        </w:tc>
        <w:tc>
          <w:tcPr>
            <w:tcW w:type="dxa" w:w="2700"/>
          </w:tcPr>
          <w:p>
            <w:r>
              <w:rPr>
                <w:b/>
                <w:bCs/>
              </w:rPr>
              <w:t xml:space="preserve">Source file(s)</w:t>
            </w:r>
          </w:p>
        </w:tc>
        <w:tc>
          <w:tcPr>
            <w:tcW w:type="dxa" w:w="1700"/>
          </w:tcPr>
          <w:p>
            <w:r>
              <w:rPr>
                <w:b/>
                <w:bCs/>
              </w:rPr>
              <w:t xml:space="preserve">Used in main paper</w:t>
            </w:r>
          </w:p>
        </w:tc>
      </w:tr>
      <w:tr>
        <w:trPr>
          <w:tblHeader w:val="false"/>
        </w:trPr>
        <w:tc>
          <w:tcPr>
            <w:tcW w:type="dxa" w:w="1700"/>
          </w:tcPr>
          <w:p>
            <w:r>
              <w:t xml:space="preserve">Threshold-profile (AR1)</w:t>
            </w:r>
          </w:p>
        </w:tc>
        <w:tc>
          <w:tcPr>
            <w:tcW w:type="dxa" w:w="2900"/>
          </w:tcPr>
          <w:p>
            <w:r>
              <w:t xml:space="preserve">Per-profile aggregation across 5 scenario families × 5 replicates</w:t>
            </w:r>
          </w:p>
        </w:tc>
        <w:tc>
          <w:tcPr>
            <w:tcW w:type="dxa" w:w="2700"/>
          </w:tcPr>
          <w:p>
            <w:r>
              <w:t xml:space="preserve">outputs/tables/table1_thresholds.csv</w:t>
            </w:r>
          </w:p>
        </w:tc>
        <w:tc>
          <w:tcPr>
            <w:tcW w:type="dxa" w:w="1700"/>
          </w:tcPr>
          <w:p>
            <w:r>
              <w:t xml:space="preserve">Table 1</w:t>
            </w:r>
          </w:p>
        </w:tc>
      </w:tr>
      <w:tr>
        <w:trPr>
          <w:tblHeader w:val="false"/>
        </w:trPr>
        <w:tc>
          <w:tcPr>
            <w:tcW w:type="dxa" w:w="1700"/>
          </w:tcPr>
          <w:p>
            <w:r>
              <w:t xml:space="preserve">Architecture-comparison (AR2)</w:t>
            </w:r>
          </w:p>
        </w:tc>
        <w:tc>
          <w:tcPr>
            <w:tcW w:type="dxa" w:w="2900"/>
          </w:tcPr>
          <w:p>
            <w:r>
              <w:t xml:space="preserve">Paired non-compensatory vs weighted-average-composite runs at 20% unsafe base rate, 5 replicates</w:t>
            </w:r>
          </w:p>
        </w:tc>
        <w:tc>
          <w:tcPr>
            <w:tcW w:type="dxa" w:w="2700"/>
          </w:tcPr>
          <w:p>
            <w:r>
              <w:t xml:space="preserve">outputs/raw/compensatory_comparison.csv</w:t>
            </w:r>
          </w:p>
        </w:tc>
        <w:tc>
          <w:tcPr>
            <w:tcW w:type="dxa" w:w="1700"/>
          </w:tcPr>
          <w:p>
            <w:r>
              <w:t xml:space="preserve">Table 2; Architecture comparison</w:t>
            </w:r>
          </w:p>
        </w:tc>
      </w:tr>
      <w:tr>
        <w:trPr>
          <w:tblHeader w:val="false"/>
        </w:trPr>
        <w:tc>
          <w:tcPr>
            <w:tcW w:type="dxa" w:w="1700"/>
          </w:tcPr>
          <w:p>
            <w:r>
              <w:t xml:space="preserve">Inference (AR3)</w:t>
            </w:r>
          </w:p>
        </w:tc>
        <w:tc>
          <w:tcPr>
            <w:tcW w:type="dxa" w:w="2900"/>
          </w:tcPr>
          <w:p>
            <w:r>
              <w:t xml:space="preserve">Bootstrap mean across the full evaluation matrix (25 evaluations of moderate non-compensatory profile)</w:t>
            </w:r>
          </w:p>
        </w:tc>
        <w:tc>
          <w:tcPr>
            <w:tcW w:type="dxa" w:w="2700"/>
          </w:tcPr>
          <w:p>
            <w:r>
              <w:t xml:space="preserve">outputs/processed/inference_results.json</w:t>
            </w:r>
          </w:p>
        </w:tc>
        <w:tc>
          <w:tcPr>
            <w:tcW w:type="dxa" w:w="1700"/>
          </w:tcPr>
          <w:p>
            <w:r>
              <w:t xml:space="preserve">Lifecycle and inference subsection</w:t>
            </w:r>
          </w:p>
        </w:tc>
      </w:tr>
      <w:tr>
        <w:trPr>
          <w:tblHeader w:val="false"/>
        </w:trPr>
        <w:tc>
          <w:tcPr>
            <w:tcW w:type="dxa" w:w="1700"/>
          </w:tcPr>
          <w:p>
            <w:r>
              <w:t xml:space="preserve">Lifecycle</w:t>
            </w:r>
          </w:p>
        </w:tc>
        <w:tc>
          <w:tcPr>
            <w:tcW w:type="dxa" w:w="2900"/>
          </w:tcPr>
          <w:p>
            <w:r>
              <w:t xml:space="preserve">Lifecycle module aggregation across 12 simulated time periods</w:t>
            </w:r>
          </w:p>
        </w:tc>
        <w:tc>
          <w:tcPr>
            <w:tcW w:type="dxa" w:w="2700"/>
          </w:tcPr>
          <w:p>
            <w:r>
              <w:t xml:space="preserve">outputs/processed/lifecycle_summary_v2.json</w:t>
            </w:r>
          </w:p>
        </w:tc>
        <w:tc>
          <w:tcPr>
            <w:tcW w:type="dxa" w:w="1700"/>
          </w:tcPr>
          <w:p>
            <w:r>
              <w:t xml:space="preserve">Lifecycle and inference subsection</w:t>
            </w:r>
          </w:p>
        </w:tc>
      </w:tr>
      <w:tr>
        <w:trPr>
          <w:tblHeader w:val="false"/>
        </w:trPr>
        <w:tc>
          <w:tcPr>
            <w:tcW w:type="dxa" w:w="1700"/>
          </w:tcPr>
          <w:p>
            <w:r>
              <w:t xml:space="preserve">Replication</w:t>
            </w:r>
          </w:p>
        </w:tc>
        <w:tc>
          <w:tcPr>
            <w:tcW w:type="dxa" w:w="2900"/>
          </w:tcPr>
          <w:p>
            <w:r>
              <w:t xml:space="preserve">Single-seed (seed = 42) replication build comparison</w:t>
            </w:r>
          </w:p>
        </w:tc>
        <w:tc>
          <w:tcPr>
            <w:tcW w:type="dxa" w:w="2700"/>
          </w:tcPr>
          <w:p>
            <w:r>
              <w:t xml:space="preserve">reproducibility/replication_report.json</w:t>
            </w:r>
          </w:p>
        </w:tc>
        <w:tc>
          <w:tcPr>
            <w:tcW w:type="dxa" w:w="1700"/>
          </w:tcPr>
          <w:p>
            <w:r>
              <w:t xml:space="preserve">Lifecycle and inference subsection</w:t>
            </w:r>
          </w:p>
        </w:tc>
      </w:tr>
      <w:tr>
        <w:trPr>
          <w:tblHeader w:val="false"/>
        </w:trPr>
        <w:tc>
          <w:tcPr>
            <w:tcW w:type="dxa" w:w="1700"/>
          </w:tcPr>
          <w:p>
            <w:r>
              <w:t xml:space="preserve">NSGA-II multi-seed</w:t>
            </w:r>
          </w:p>
        </w:tc>
        <w:tc>
          <w:tcPr>
            <w:tcW w:type="dxa" w:w="2900"/>
          </w:tcPr>
          <w:p>
            <w:r>
              <w:t xml:space="preserve">3 seeds (42, 123, 7777); population 60, 30 generations, 1,800 evaluations per seed</w:t>
            </w:r>
          </w:p>
        </w:tc>
        <w:tc>
          <w:tcPr>
            <w:tcW w:type="dxa" w:w="2700"/>
          </w:tcPr>
          <w:p>
            <w:r>
              <w:t xml:space="preserve">outputs/processed/pareto_solutions.csv; outputs/processed/nsga2_convergence.json</w:t>
            </w:r>
          </w:p>
        </w:tc>
        <w:tc>
          <w:tcPr>
            <w:tcW w:type="dxa" w:w="1700"/>
          </w:tcPr>
          <w:p>
            <w:r>
              <w:t xml:space="preserve">Pareto frontier subsection</w:t>
            </w:r>
          </w:p>
        </w:tc>
      </w:tr>
      <w:tr>
        <w:trPr>
          <w:tblHeader w:val="false"/>
        </w:trPr>
        <w:tc>
          <w:tcPr>
            <w:tcW w:type="dxa" w:w="1700"/>
          </w:tcPr>
          <w:p>
            <w:r>
              <w:t xml:space="preserve">Sobol N=2048 (primary)</w:t>
            </w:r>
          </w:p>
        </w:tc>
        <w:tc>
          <w:tcPr>
            <w:tcW w:type="dxa" w:w="2900"/>
          </w:tcPr>
          <w:p>
            <w:r>
              <w:t xml:space="preserve">Sobol global sensitivity decomposition at N = 2048 base samples (18,432 total Saltelli evaluations) using an Owen-scrambled Sobol low-discrepancy sequence (scipy.stats.qmc.Sobol via SALib) with 200-resample bootstrap CIs</w:t>
            </w:r>
          </w:p>
        </w:tc>
        <w:tc>
          <w:tcPr>
            <w:tcW w:type="dxa" w:w="2700"/>
          </w:tcPr>
          <w:p>
            <w:r>
              <w:t xml:space="preserve">outputs/processed/sobol_convergence.json; outputs/tables/sobol_*.csv</w:t>
            </w:r>
          </w:p>
        </w:tc>
        <w:tc>
          <w:tcPr>
            <w:tcW w:type="dxa" w:w="1700"/>
          </w:tcPr>
          <w:p>
            <w:r>
              <w:t xml:space="preserve">Sensitivity analysis subsection; Table 3</w:t>
            </w:r>
          </w:p>
        </w:tc>
      </w:tr>
      <w:tr>
        <w:trPr>
          <w:tblHeader w:val="false"/>
        </w:trPr>
        <w:tc>
          <w:tcPr>
            <w:tcW w:type="dxa" w:w="1700"/>
          </w:tcPr>
          <w:p>
            <w:r>
              <w:t xml:space="preserve">Sobol N-progression</w:t>
            </w:r>
          </w:p>
        </w:tc>
        <w:tc>
          <w:tcPr>
            <w:tcW w:type="dxa" w:w="2900"/>
          </w:tcPr>
          <w:p>
            <w:r>
              <w:t xml:space="preserve">Sobol decomposition (Owen-scrambled) over N ∈ {128, 256, 512, 1024, 2048}</w:t>
            </w:r>
          </w:p>
        </w:tc>
        <w:tc>
          <w:tcPr>
            <w:tcW w:type="dxa" w:w="2700"/>
          </w:tcPr>
          <w:p>
            <w:r>
              <w:t xml:space="preserve">outputs/processed/sobol_convergence.json</w:t>
            </w:r>
          </w:p>
        </w:tc>
        <w:tc>
          <w:tcPr>
            <w:tcW w:type="dxa" w:w="1700"/>
          </w:tcPr>
          <w:p>
            <w:r>
              <w:t xml:space="preserve">Methods Sensitivity analysis; Limitations §3</w:t>
            </w:r>
          </w:p>
        </w:tc>
      </w:tr>
      <w:tr>
        <w:trPr>
          <w:tblHeader w:val="false"/>
        </w:trPr>
        <w:tc>
          <w:tcPr>
            <w:tcW w:type="dxa" w:w="1700"/>
          </w:tcPr>
          <w:p>
            <w:r>
              <w:t xml:space="preserve">Decoupled-variant SCM</w:t>
            </w:r>
          </w:p>
        </w:tc>
        <w:tc>
          <w:tcPr>
            <w:tcW w:type="dxa" w:w="2900"/>
          </w:tcPr>
          <w:p>
            <w:r>
              <w:t xml:space="preserve">Architecture comparison under independent harm_latent ~ Beta(2.5, 2.0); 5 replicates</w:t>
            </w:r>
          </w:p>
        </w:tc>
        <w:tc>
          <w:tcPr>
            <w:tcW w:type="dxa" w:w="2700"/>
          </w:tcPr>
          <w:p>
            <w:r>
              <w:t xml:space="preserve">outputs/raw/scm_decoupled_comparison.csv; outputs/processed/scm_coupling_sensitivity.json</w:t>
            </w:r>
          </w:p>
        </w:tc>
        <w:tc>
          <w:tcPr>
            <w:tcW w:type="dxa" w:w="1700"/>
          </w:tcPr>
          <w:p>
            <w:r>
              <w:t xml:space="preserve">Architecture comparison; Discussion</w:t>
            </w:r>
          </w:p>
        </w:tc>
      </w:tr>
      <w:tr>
        <w:trPr>
          <w:tblHeader w:val="false"/>
        </w:trPr>
        <w:tc>
          <w:tcPr>
            <w:tcW w:type="dxa" w:w="1700"/>
          </w:tcPr>
          <w:p>
            <w:r>
              <w:t xml:space="preserve">Weighting-scheme sensitivity</w:t>
            </w:r>
          </w:p>
        </w:tc>
        <w:tc>
          <w:tcPr>
            <w:tcW w:type="dxa" w:w="2900"/>
          </w:tcPr>
          <w:p>
            <w:r>
              <w:t xml:space="preserve">Architecture comparison across 5 weighted-average-composite weighting schemes; 5 replicates each</w:t>
            </w:r>
          </w:p>
        </w:tc>
        <w:tc>
          <w:tcPr>
            <w:tcW w:type="dxa" w:w="2700"/>
          </w:tcPr>
          <w:p>
            <w:r>
              <w:t xml:space="preserve">outputs/processed/weighting_scheme_results.csv</w:t>
            </w:r>
          </w:p>
        </w:tc>
        <w:tc>
          <w:tcPr>
            <w:tcW w:type="dxa" w:w="1700"/>
          </w:tcPr>
          <w:p>
            <w:r>
              <w:t xml:space="preserve">Discussion (Implications); Appendix F</w:t>
            </w:r>
          </w:p>
        </w:tc>
      </w:tr>
    </w:tbl>
    <w:p>
      <w:pPr>
        <w:spacing w:after="120"/>
      </w:pPr>
    </w:p>
    <w:p>
      <w:pPr>
        <w:pStyle w:val="Heading1"/>
        <w:spacing w:after="120" w:before="240"/>
      </w:pPr>
      <w:r>
        <w:t xml:space="preserve">Supplementary Appendix B: Comparator scope statement</w:t>
      </w:r>
    </w:p>
    <w:p>
      <w:pPr>
        <w:spacing w:after="120"/>
      </w:pPr>
      <w:r>
        <w:t xml:space="preserve">The compensatory comparator implemented in this study is a single weighted-average composite scoring rule with weights 30/20/20/15/15 across safety, evidence, bias, calibration, and traceability, applied to a single composite threshold. This implementation is one instance within the broader compensatory family of decision-rule architectures.</w:t>
      </w:r>
    </w:p>
    <w:p>
      <w:pPr>
        <w:spacing w:after="120"/>
      </w:pPr>
      <w:r>
        <w:t xml:space="preserve">Alternative compensatory architectures — including constrained multi-criteria decision analysis with hard floors (e.g. ELECTRE outranking with veto thresholds), lexicographic ordering rules, and Bayesian expected-utility frameworks — are not implemented in the present study. The framework's engine is structured to accommodate alternative comparator implementations, but the present analysis runs only the weighted-average composite. Comparison against constrained MCDA, lexicographic, or Bayesian comparators is part of the framework's continued methodological development.</w:t>
      </w:r>
    </w:p>
    <w:p>
      <w:pPr>
        <w:spacing w:after="120"/>
      </w:pPr>
      <w:r>
        <w:t xml:space="preserve">All claims labelled "compensatory" or "weighted-average composite" in the main paper refer specifically to the implementation described above. Sensitivity of the architecture-comparison ratio to the choice of weights within the weighted-average composite class (across five weighting schemes) is reported in Appendix F. The architecture-comparison ratio reported in Table 2 of the main paper (FN-harm ratio of approximately 193 under the baseline weights and the coupled SCM) is therefore conditional on this comparator scope and weighting choice.</w:t>
      </w:r>
    </w:p>
    <w:p>
      <w:pPr>
        <w:pStyle w:val="Heading1"/>
        <w:spacing w:after="120" w:before="240"/>
      </w:pPr>
      <w:r>
        <w:t xml:space="preserve">Supplementary Appendix C: SCM coupling and the decoupled-variant experiment</w:t>
      </w:r>
    </w:p>
    <w:p>
      <w:pPr>
        <w:spacing w:after="120"/>
      </w:pPr>
      <w:r>
        <w:t xml:space="preserve">The Structural Causal Model implemented in the framework specifies the harm-generation function as a logistic transformation of the latent variable intrinsic_safety. The same latent variable enters the safety-gate observation, where it is observed with measurement noise (SD = 0.05) and an adversarial offset proportional to gaming capability (scale = 0.15). This shared-input coupling is a structural property of the SCM as specified.</w:t>
      </w:r>
    </w:p>
    <w:p>
      <w:pPr>
        <w:spacing w:after="120"/>
      </w:pPr>
      <w:r>
        <w:t xml:space="preserve">To quantify the contribution of this coupling to the architecture-comparison result reported in the main paper, a decoupled-variant SCM is implemented in the repository (config/scm_decoupled.yaml). In the variant, the harm-generation function consumes an independent latent variable harm_latent, drawn from Beta(2.5, 2.0) independently of intrinsic_safety. The audit observation model continues to observe intrinsic_safety with the same measurement-noise specification as in the main paper.</w:t>
      </w:r>
    </w:p>
    <w:p>
      <w:pPr>
        <w:spacing w:after="120"/>
      </w:pPr>
      <w:r>
        <w:rPr>
          <w:i/>
          <w:iCs/>
        </w:rPr>
        <w:t xml:space="preserve">Table S2. </w:t>
      </w:r>
      <w:r>
        <w:t xml:space="preserve">Architecture comparison under coupled and decoupled-variant SCM regimes (paired runs at 20% unsafe base rate, 5 replicates each).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500"/>
        <w:gridCol w:w="1500"/>
        <w:gridCol w:w="1400"/>
      </w:tblGrid>
      <w:tr>
        <w:trPr>
          <w:tblHeader/>
        </w:trPr>
        <w:tc>
          <w:tcPr>
            <w:tcW w:type="dxa" w:w="2200"/>
          </w:tcPr>
          <w:p>
            <w:r>
              <w:rPr>
                <w:b/>
                <w:bCs/>
              </w:rPr>
              <w:t xml:space="preserve">SCM regime</w:t>
            </w:r>
          </w:p>
        </w:tc>
        <w:tc>
          <w:tcPr>
            <w:tcW w:type="dxa" w:w="2400"/>
          </w:tcPr>
          <w:p>
            <w:r>
              <w:rPr>
                <w:b/>
                <w:bCs/>
              </w:rPr>
              <w:t xml:space="preserve">Architecture</w:t>
            </w:r>
          </w:p>
        </w:tc>
        <w:tc>
          <w:tcPr>
            <w:tcW w:type="dxa" w:w="1500"/>
          </w:tcPr>
          <w:p>
            <w:r>
              <w:rPr>
                <w:b/>
                <w:bCs/>
              </w:rPr>
              <w:t xml:space="preserve">Detection rate</w:t>
            </w:r>
          </w:p>
        </w:tc>
        <w:tc>
          <w:tcPr>
            <w:tcW w:type="dxa" w:w="1500"/>
          </w:tcPr>
          <w:p>
            <w:r>
              <w:rPr>
                <w:b/>
                <w:bCs/>
              </w:rPr>
              <w:t xml:space="preserve">Safe throughput</w:t>
            </w:r>
          </w:p>
        </w:tc>
        <w:tc>
          <w:tcPr>
            <w:tcW w:type="dxa" w:w="1400"/>
          </w:tcPr>
          <w:p>
            <w:r>
              <w:rPr>
                <w:b/>
                <w:bCs/>
              </w:rPr>
              <w:t xml:space="preserve">FN harm (cumulative)</w:t>
            </w:r>
          </w:p>
        </w:tc>
      </w:tr>
      <w:tr>
        <w:trPr>
          <w:tblHeader w:val="false"/>
        </w:trPr>
        <w:tc>
          <w:tcPr>
            <w:tcW w:type="dxa" w:w="2200"/>
          </w:tcPr>
          <w:p>
            <w:r>
              <w:t xml:space="preserve">Coupled SCM (main paper)</w:t>
            </w:r>
          </w:p>
        </w:tc>
        <w:tc>
          <w:tcPr>
            <w:tcW w:type="dxa" w:w="2400"/>
          </w:tcPr>
          <w:p>
            <w:r>
              <w:t xml:space="preserve">Non-compensatory</w:t>
            </w:r>
          </w:p>
        </w:tc>
        <w:tc>
          <w:tcPr>
            <w:tcW w:type="dxa" w:w="1500"/>
          </w:tcPr>
          <w:p>
            <w:r>
              <w:t xml:space="preserve">0.999</w:t>
            </w:r>
          </w:p>
        </w:tc>
        <w:tc>
          <w:tcPr>
            <w:tcW w:type="dxa" w:w="1500"/>
          </w:tcPr>
          <w:p>
            <w:r>
              <w:t xml:space="preserve">0.218</w:t>
            </w:r>
          </w:p>
        </w:tc>
        <w:tc>
          <w:tcPr>
            <w:tcW w:type="dxa" w:w="1400"/>
          </w:tcPr>
          <w:p>
            <w:r>
              <w:t xml:space="preserve">1.69</w:t>
            </w:r>
          </w:p>
        </w:tc>
      </w:tr>
      <w:tr>
        <w:trPr>
          <w:tblHeader w:val="false"/>
        </w:trPr>
        <w:tc>
          <w:tcPr>
            <w:tcW w:type="dxa" w:w="2200"/>
          </w:tcPr>
          <w:p>
            <w:r>
              <w:t xml:space="preserve">Coupled SCM (main paper)</w:t>
            </w:r>
          </w:p>
        </w:tc>
        <w:tc>
          <w:tcPr>
            <w:tcW w:type="dxa" w:w="2400"/>
          </w:tcPr>
          <w:p>
            <w:r>
              <w:t xml:space="preserve">Weighted-average composite</w:t>
            </w:r>
          </w:p>
        </w:tc>
        <w:tc>
          <w:tcPr>
            <w:tcW w:type="dxa" w:w="1500"/>
          </w:tcPr>
          <w:p>
            <w:r>
              <w:t xml:space="preserve">0.768</w:t>
            </w:r>
          </w:p>
        </w:tc>
        <w:tc>
          <w:tcPr>
            <w:tcW w:type="dxa" w:w="1500"/>
          </w:tcPr>
          <w:p>
            <w:r>
              <w:t xml:space="preserve">0.810</w:t>
            </w:r>
          </w:p>
        </w:tc>
        <w:tc>
          <w:tcPr>
            <w:tcW w:type="dxa" w:w="1400"/>
          </w:tcPr>
          <w:p>
            <w:r>
              <w:t xml:space="preserve">325.95</w:t>
            </w:r>
          </w:p>
        </w:tc>
      </w:tr>
      <w:tr>
        <w:trPr>
          <w:tblHeader w:val="false"/>
        </w:trPr>
        <w:tc>
          <w:tcPr>
            <w:tcW w:type="dxa" w:w="2200"/>
          </w:tcPr>
          <w:p>
            <w:r>
              <w:t xml:space="preserve">Decoupled-variant SCM</w:t>
            </w:r>
          </w:p>
        </w:tc>
        <w:tc>
          <w:tcPr>
            <w:tcW w:type="dxa" w:w="2400"/>
          </w:tcPr>
          <w:p>
            <w:r>
              <w:t xml:space="preserve">Non-compensatory</w:t>
            </w:r>
          </w:p>
        </w:tc>
        <w:tc>
          <w:tcPr>
            <w:tcW w:type="dxa" w:w="1500"/>
          </w:tcPr>
          <w:p>
            <w:r>
              <w:t xml:space="preserve">0.998</w:t>
            </w:r>
          </w:p>
        </w:tc>
        <w:tc>
          <w:tcPr>
            <w:tcW w:type="dxa" w:w="1500"/>
          </w:tcPr>
          <w:p>
            <w:r>
              <w:t xml:space="preserve">0.217</w:t>
            </w:r>
          </w:p>
        </w:tc>
        <w:tc>
          <w:tcPr>
            <w:tcW w:type="dxa" w:w="1400"/>
          </w:tcPr>
          <w:p>
            <w:r>
              <w:t xml:space="preserve">1.48</w:t>
            </w:r>
          </w:p>
        </w:tc>
      </w:tr>
      <w:tr>
        <w:trPr>
          <w:tblHeader w:val="false"/>
        </w:trPr>
        <w:tc>
          <w:tcPr>
            <w:tcW w:type="dxa" w:w="2200"/>
          </w:tcPr>
          <w:p>
            <w:r>
              <w:t xml:space="preserve">Decoupled-variant SCM</w:t>
            </w:r>
          </w:p>
        </w:tc>
        <w:tc>
          <w:tcPr>
            <w:tcW w:type="dxa" w:w="2400"/>
          </w:tcPr>
          <w:p>
            <w:r>
              <w:t xml:space="preserve">Weighted-average composite</w:t>
            </w:r>
          </w:p>
        </w:tc>
        <w:tc>
          <w:tcPr>
            <w:tcW w:type="dxa" w:w="1500"/>
          </w:tcPr>
          <w:p>
            <w:r>
              <w:t xml:space="preserve">0.773</w:t>
            </w:r>
          </w:p>
        </w:tc>
        <w:tc>
          <w:tcPr>
            <w:tcW w:type="dxa" w:w="1500"/>
          </w:tcPr>
          <w:p>
            <w:r>
              <w:t xml:space="preserve">0.808</w:t>
            </w:r>
          </w:p>
        </w:tc>
        <w:tc>
          <w:tcPr>
            <w:tcW w:type="dxa" w:w="1400"/>
          </w:tcPr>
          <w:p>
            <w:r>
              <w:t xml:space="preserve">118.72</w:t>
            </w:r>
          </w:p>
        </w:tc>
      </w:tr>
    </w:tbl>
    <w:p>
      <w:pPr>
        <w:spacing w:after="120"/>
      </w:pPr>
    </w:p>
    <w:p>
      <w:pPr>
        <w:spacing w:after="120"/>
      </w:pPr>
      <w:r>
        <w:t xml:space="preserve">Under the coupled SCM (main paper specification), the mean false-negative-harm ratio between non-compensatory and weighted-average-composite architectures is approximately 193 (325.95 / 1.69). Under the decoupled-variant SCM, the mean ratio narrows to approximately 80 (118.72 / 1.48). The difference between these two ratios (approximately 113 in absolute terms, or a factor of 2.4×) is the quantitative measure of the SCM coupling's contribution to the coupled-SCM architecture-comparison result. The remaining 80-fold ratio under the decoupled SCM is not attributable to the coupling and reflects the structural distinction between conjunctive thresholding and weighted aggregation in the presence of multiple noisy signals where only the safety gate carries information about harm.</w:t>
      </w:r>
    </w:p>
    <w:p>
      <w:pPr>
        <w:pStyle w:val="Heading1"/>
        <w:spacing w:after="120" w:before="240"/>
      </w:pPr>
      <w:r>
        <w:t xml:space="preserve">Supplementary Appendix D: Sobol global sensitivity decomposition (re-executed)</w:t>
      </w:r>
    </w:p>
    <w:p>
      <w:pPr>
        <w:spacing w:after="120"/>
      </w:pPr>
      <w:r>
        <w:t xml:space="preserve">The framework includes a Sobol global sensitivity decomposition module (src/analysis/sensitivity.py). The original execution of this module used N = 64 base samples per parameter and a pseudo-random Saltelli pattern; this configuration was below the convention for stable Saltelli total-order estimates and bootstrap confidence intervals were not computed in that execution. The present analysis re-executes the Sobol decomposition with the following diagnostics:</w:t>
      </w:r>
    </w:p>
    <w:p>
      <w:pPr>
        <w:spacing w:after="120"/>
      </w:pPr>
      <w:r>
        <w:t xml:space="preserve">(i) an Owen-scrambled Sobol low-discrepancy sequence (scipy.stats.qmc.Sobol via SALib) — replacing the v2.0.0 pseudo-random fallback;</w:t>
      </w:r>
    </w:p>
    <w:p>
      <w:pPr>
        <w:spacing w:after="120"/>
      </w:pPr>
      <w:r>
        <w:t xml:space="preserve">(ii) bootstrap 95% confidence intervals on first-order (S1) and total-order (ST) indices via 200 resamples at each N;</w:t>
      </w:r>
    </w:p>
    <w:p>
      <w:pPr>
        <w:spacing w:after="120"/>
      </w:pPr>
      <w:r>
        <w:t xml:space="preserve">(iii) explicit reporting of indices to their actual numeric precision rather than rounded values;</w:t>
      </w:r>
    </w:p>
    <w:p>
      <w:pPr>
        <w:spacing w:after="120"/>
      </w:pPr>
      <w:r>
        <w:t xml:space="preserve">(iv) clipping of S1 ≤ ST is enforced where the standalone estimator violates the Saltelli mathematical constraint (a known artefact at small N).</w:t>
      </w:r>
    </w:p>
    <w:p>
      <w:pPr>
        <w:spacing w:after="120"/>
      </w:pPr>
      <w:r>
        <w:rPr>
          <w:i/>
          <w:iCs/>
        </w:rPr>
        <w:t xml:space="preserve">Table S3. </w:t>
      </w:r>
      <w:r>
        <w:t xml:space="preserve">Sobol N-progression diagnostic for ST(safety_gate) on unsafe detection rate.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300"/>
        <w:gridCol w:w="3000"/>
      </w:tblGrid>
      <w:tr>
        <w:trPr>
          <w:tblHeader/>
        </w:trPr>
        <w:tc>
          <w:tcPr>
            <w:tcW w:type="dxa" w:w="1300"/>
          </w:tcPr>
          <w:p>
            <w:r>
              <w:rPr>
                <w:b/>
                <w:bCs/>
              </w:rPr>
              <w:t xml:space="preserve">N</w:t>
            </w:r>
          </w:p>
        </w:tc>
        <w:tc>
          <w:tcPr>
            <w:tcW w:type="dxa" w:w="2400"/>
          </w:tcPr>
          <w:p>
            <w:r>
              <w:rPr>
                <w:b/>
                <w:bCs/>
              </w:rPr>
              <w:t xml:space="preserve">Total Saltelli evaluations</w:t>
            </w:r>
          </w:p>
        </w:tc>
        <w:tc>
          <w:tcPr>
            <w:tcW w:type="dxa" w:w="2300"/>
          </w:tcPr>
          <w:p>
            <w:r>
              <w:rPr>
                <w:b/>
                <w:bCs/>
              </w:rPr>
              <w:t xml:space="preserve">ST(safety_gate)</w:t>
            </w:r>
          </w:p>
        </w:tc>
        <w:tc>
          <w:tcPr>
            <w:tcW w:type="dxa" w:w="3000"/>
          </w:tcPr>
          <w:p>
            <w:r>
              <w:rPr>
                <w:b/>
                <w:bCs/>
              </w:rPr>
              <w:t xml:space="preserve">95% bootstrap CI</w:t>
            </w:r>
          </w:p>
        </w:tc>
      </w:tr>
      <w:tr>
        <w:trPr>
          <w:tblHeader w:val="false"/>
        </w:trPr>
        <w:tc>
          <w:tcPr>
            <w:tcW w:type="dxa" w:w="1300"/>
          </w:tcPr>
          <w:p>
            <w:r>
              <w:t xml:space="preserve">128</w:t>
            </w:r>
          </w:p>
        </w:tc>
        <w:tc>
          <w:tcPr>
            <w:tcW w:type="dxa" w:w="2400"/>
          </w:tcPr>
          <w:p>
            <w:r>
              <w:t xml:space="preserve">1,152</w:t>
            </w:r>
          </w:p>
        </w:tc>
        <w:tc>
          <w:tcPr>
            <w:tcW w:type="dxa" w:w="2300"/>
          </w:tcPr>
          <w:p>
            <w:r>
              <w:t xml:space="preserve">0.633</w:t>
            </w:r>
          </w:p>
        </w:tc>
        <w:tc>
          <w:tcPr>
            <w:tcW w:type="dxa" w:w="3000"/>
          </w:tcPr>
          <w:p>
            <w:r>
              <w:t xml:space="preserve">[0.291, 1.071]</w:t>
            </w:r>
          </w:p>
        </w:tc>
      </w:tr>
      <w:tr>
        <w:trPr>
          <w:tblHeader w:val="false"/>
        </w:trPr>
        <w:tc>
          <w:tcPr>
            <w:tcW w:type="dxa" w:w="1300"/>
          </w:tcPr>
          <w:p>
            <w:r>
              <w:t xml:space="preserve">256</w:t>
            </w:r>
          </w:p>
        </w:tc>
        <w:tc>
          <w:tcPr>
            <w:tcW w:type="dxa" w:w="2400"/>
          </w:tcPr>
          <w:p>
            <w:r>
              <w:t xml:space="preserve">2,304</w:t>
            </w:r>
          </w:p>
        </w:tc>
        <w:tc>
          <w:tcPr>
            <w:tcW w:type="dxa" w:w="2300"/>
          </w:tcPr>
          <w:p>
            <w:r>
              <w:t xml:space="preserve">0.636</w:t>
            </w:r>
          </w:p>
        </w:tc>
        <w:tc>
          <w:tcPr>
            <w:tcW w:type="dxa" w:w="3000"/>
          </w:tcPr>
          <w:p>
            <w:r>
              <w:t xml:space="preserve">[0.393, 0.888]</w:t>
            </w:r>
          </w:p>
        </w:tc>
      </w:tr>
      <w:tr>
        <w:trPr>
          <w:tblHeader w:val="false"/>
        </w:trPr>
        <w:tc>
          <w:tcPr>
            <w:tcW w:type="dxa" w:w="1300"/>
          </w:tcPr>
          <w:p>
            <w:r>
              <w:t xml:space="preserve">512</w:t>
            </w:r>
          </w:p>
        </w:tc>
        <w:tc>
          <w:tcPr>
            <w:tcW w:type="dxa" w:w="2400"/>
          </w:tcPr>
          <w:p>
            <w:r>
              <w:t xml:space="preserve">4,608</w:t>
            </w:r>
          </w:p>
        </w:tc>
        <w:tc>
          <w:tcPr>
            <w:tcW w:type="dxa" w:w="2300"/>
          </w:tcPr>
          <w:p>
            <w:r>
              <w:t xml:space="preserve">0.608</w:t>
            </w:r>
          </w:p>
        </w:tc>
        <w:tc>
          <w:tcPr>
            <w:tcW w:type="dxa" w:w="3000"/>
          </w:tcPr>
          <w:p>
            <w:r>
              <w:t xml:space="preserve">[0.443, 0.899]</w:t>
            </w:r>
          </w:p>
        </w:tc>
      </w:tr>
      <w:tr>
        <w:trPr>
          <w:tblHeader w:val="false"/>
        </w:trPr>
        <w:tc>
          <w:tcPr>
            <w:tcW w:type="dxa" w:w="1300"/>
          </w:tcPr>
          <w:p>
            <w:r>
              <w:t xml:space="preserve">1024</w:t>
            </w:r>
          </w:p>
        </w:tc>
        <w:tc>
          <w:tcPr>
            <w:tcW w:type="dxa" w:w="2400"/>
          </w:tcPr>
          <w:p>
            <w:r>
              <w:t xml:space="preserve">9,216</w:t>
            </w:r>
          </w:p>
        </w:tc>
        <w:tc>
          <w:tcPr>
            <w:tcW w:type="dxa" w:w="2300"/>
          </w:tcPr>
          <w:p>
            <w:r>
              <w:t xml:space="preserve">0.762</w:t>
            </w:r>
          </w:p>
        </w:tc>
        <w:tc>
          <w:tcPr>
            <w:tcW w:type="dxa" w:w="3000"/>
          </w:tcPr>
          <w:p>
            <w:r>
              <w:t xml:space="preserve">[0.597, 1.037]</w:t>
            </w:r>
          </w:p>
        </w:tc>
      </w:tr>
      <w:tr>
        <w:trPr>
          <w:tblHeader w:val="false"/>
        </w:trPr>
        <w:tc>
          <w:tcPr>
            <w:tcW w:type="dxa" w:w="1300"/>
          </w:tcPr>
          <w:p>
            <w:r>
              <w:t xml:space="preserve">2048 (primary)</w:t>
            </w:r>
          </w:p>
        </w:tc>
        <w:tc>
          <w:tcPr>
            <w:tcW w:type="dxa" w:w="2400"/>
          </w:tcPr>
          <w:p>
            <w:r>
              <w:t xml:space="preserve">18,432</w:t>
            </w:r>
          </w:p>
        </w:tc>
        <w:tc>
          <w:tcPr>
            <w:tcW w:type="dxa" w:w="2300"/>
          </w:tcPr>
          <w:p>
            <w:r>
              <w:t xml:space="preserve">0.725</w:t>
            </w:r>
          </w:p>
        </w:tc>
        <w:tc>
          <w:tcPr>
            <w:tcW w:type="dxa" w:w="3000"/>
          </w:tcPr>
          <w:p>
            <w:r>
              <w:t xml:space="preserve">[0.601, 0.859]</w:t>
            </w:r>
          </w:p>
        </w:tc>
      </w:tr>
    </w:tbl>
    <w:p>
      <w:pPr>
        <w:spacing w:after="120"/>
      </w:pPr>
    </w:p>
    <w:p>
      <w:pPr>
        <w:spacing w:after="120"/>
      </w:pPr>
      <w:r>
        <w:t xml:space="preserve">The N-progression demonstrates convergence of the safety_gate total-order index across N ∈ {128, 256, 512, 1024, 2048} under the Owen-scrambled Sobol sampler. The N = 128 estimate already lies within [0, 1]; CI width contracts monotonically with N, reaching ST = 0.725 (95% CI [0.601, 0.859]) at N = 2048. Further extension to N = 4096 would tighten CIs marginally and is recorded as a future-work item but is not necessary for the conclusions reported.</w:t>
      </w:r>
    </w:p>
    <w:p>
      <w:pPr>
        <w:spacing w:after="120"/>
      </w:pPr>
      <w:r>
        <w:rPr>
          <w:i/>
          <w:iCs/>
        </w:rPr>
        <w:t xml:space="preserve">Table S4. </w:t>
      </w:r>
      <w:r>
        <w:t xml:space="preserve">Sobol total-order indices (ST) at N = 2048 across all four outcomes (Owen-scrambled Sobol low-discrepancy sequence via scipy.stats.qmc.Sobol; 200-resample bootstrap 95% CIs in brackets).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900"/>
        <w:gridCol w:w="1900"/>
        <w:gridCol w:w="1800"/>
      </w:tblGrid>
      <w:tr>
        <w:trPr>
          <w:tblHeader/>
        </w:trPr>
        <w:tc>
          <w:tcPr>
            <w:tcW w:type="dxa" w:w="1500"/>
          </w:tcPr>
          <w:p>
            <w:r>
              <w:rPr>
                <w:b/>
                <w:bCs/>
              </w:rPr>
              <w:t xml:space="preserve">Parameter</w:t>
            </w:r>
          </w:p>
        </w:tc>
        <w:tc>
          <w:tcPr>
            <w:tcW w:type="dxa" w:w="1900"/>
          </w:tcPr>
          <w:p>
            <w:r>
              <w:rPr>
                <w:b/>
                <w:bCs/>
              </w:rPr>
              <w:t xml:space="preserve">Detection ST [95% CI]</w:t>
            </w:r>
          </w:p>
        </w:tc>
        <w:tc>
          <w:tcPr>
            <w:tcW w:type="dxa" w:w="1900"/>
          </w:tcPr>
          <w:p>
            <w:r>
              <w:rPr>
                <w:b/>
                <w:bCs/>
              </w:rPr>
              <w:t xml:space="preserve">Throughput ST [95% CI]</w:t>
            </w:r>
          </w:p>
        </w:tc>
        <w:tc>
          <w:tcPr>
            <w:tcW w:type="dxa" w:w="1900"/>
          </w:tcPr>
          <w:p>
            <w:r>
              <w:rPr>
                <w:b/>
                <w:bCs/>
              </w:rPr>
              <w:t xml:space="preserve">FN harm ST [95% CI]</w:t>
            </w:r>
          </w:p>
        </w:tc>
        <w:tc>
          <w:tcPr>
            <w:tcW w:type="dxa" w:w="1800"/>
          </w:tcPr>
          <w:p>
            <w:r>
              <w:rPr>
                <w:b/>
                <w:bCs/>
              </w:rPr>
              <w:t xml:space="preserve">Friction ST [95% CI]</w:t>
            </w:r>
          </w:p>
        </w:tc>
      </w:tr>
      <w:tr>
        <w:trPr>
          <w:tblHeader w:val="false"/>
        </w:trPr>
        <w:tc>
          <w:tcPr>
            <w:tcW w:type="dxa" w:w="1500"/>
          </w:tcPr>
          <w:p>
            <w:r>
              <w:t xml:space="preserve">safety_gate</w:t>
            </w:r>
          </w:p>
        </w:tc>
        <w:tc>
          <w:tcPr>
            <w:tcW w:type="dxa" w:w="1900"/>
          </w:tcPr>
          <w:p>
            <w:r>
              <w:t xml:space="preserve">0.725 [0.601, 0.859]</w:t>
            </w:r>
          </w:p>
        </w:tc>
        <w:tc>
          <w:tcPr>
            <w:tcW w:type="dxa" w:w="1900"/>
          </w:tcPr>
          <w:p>
            <w:r>
              <w:t xml:space="preserve">0.148 [0.128, 0.170]</w:t>
            </w:r>
          </w:p>
        </w:tc>
        <w:tc>
          <w:tcPr>
            <w:tcW w:type="dxa" w:w="1900"/>
          </w:tcPr>
          <w:p>
            <w:r>
              <w:t xml:space="preserve">0.698 [0.575, 0.893]</w:t>
            </w:r>
          </w:p>
        </w:tc>
        <w:tc>
          <w:tcPr>
            <w:tcW w:type="dxa" w:w="1800"/>
          </w:tcPr>
          <w:p>
            <w:r>
              <w:t xml:space="preserve">0.232 [0.216, 0.248]</w:t>
            </w:r>
          </w:p>
        </w:tc>
      </w:tr>
      <w:tr>
        <w:trPr>
          <w:tblHeader w:val="false"/>
        </w:trPr>
        <w:tc>
          <w:tcPr>
            <w:tcW w:type="dxa" w:w="1500"/>
          </w:tcPr>
          <w:p>
            <w:r>
              <w:t xml:space="preserve">evidence_gate</w:t>
            </w:r>
          </w:p>
        </w:tc>
        <w:tc>
          <w:tcPr>
            <w:tcW w:type="dxa" w:w="1900"/>
          </w:tcPr>
          <w:p>
            <w:r>
              <w:t xml:space="preserve">0.198 [0.162, 0.239]</w:t>
            </w:r>
          </w:p>
        </w:tc>
        <w:tc>
          <w:tcPr>
            <w:tcW w:type="dxa" w:w="1900"/>
          </w:tcPr>
          <w:p>
            <w:r>
              <w:t xml:space="preserve">0.426 [0.389, 0.474]</w:t>
            </w:r>
          </w:p>
        </w:tc>
        <w:tc>
          <w:tcPr>
            <w:tcW w:type="dxa" w:w="1900"/>
          </w:tcPr>
          <w:p>
            <w:r>
              <w:t xml:space="preserve">0.175 [0.140, 0.217]</w:t>
            </w:r>
          </w:p>
        </w:tc>
        <w:tc>
          <w:tcPr>
            <w:tcW w:type="dxa" w:w="1800"/>
          </w:tcPr>
          <w:p>
            <w:r>
              <w:t xml:space="preserve">0.274 [0.258, 0.292]</w:t>
            </w:r>
          </w:p>
        </w:tc>
      </w:tr>
      <w:tr>
        <w:trPr>
          <w:tblHeader w:val="false"/>
        </w:trPr>
        <w:tc>
          <w:tcPr>
            <w:tcW w:type="dxa" w:w="1500"/>
          </w:tcPr>
          <w:p>
            <w:r>
              <w:t xml:space="preserve">calibration_gate</w:t>
            </w:r>
          </w:p>
        </w:tc>
        <w:tc>
          <w:tcPr>
            <w:tcW w:type="dxa" w:w="1900"/>
          </w:tcPr>
          <w:p>
            <w:r>
              <w:t xml:space="preserve">0.306 [0.256, 0.365]</w:t>
            </w:r>
          </w:p>
        </w:tc>
        <w:tc>
          <w:tcPr>
            <w:tcW w:type="dxa" w:w="1900"/>
          </w:tcPr>
          <w:p>
            <w:r>
              <w:t xml:space="preserve">0.319 [0.287, 0.352]</w:t>
            </w:r>
          </w:p>
        </w:tc>
        <w:tc>
          <w:tcPr>
            <w:tcW w:type="dxa" w:w="1900"/>
          </w:tcPr>
          <w:p>
            <w:r>
              <w:t xml:space="preserve">0.277 [0.224, 0.340]</w:t>
            </w:r>
          </w:p>
        </w:tc>
        <w:tc>
          <w:tcPr>
            <w:tcW w:type="dxa" w:w="1800"/>
          </w:tcPr>
          <w:p>
            <w:r>
              <w:t xml:space="preserve">0.190 [0.178, 0.203]</w:t>
            </w:r>
          </w:p>
        </w:tc>
      </w:tr>
      <w:tr>
        <w:trPr>
          <w:tblHeader w:val="false"/>
        </w:trPr>
        <w:tc>
          <w:tcPr>
            <w:tcW w:type="dxa" w:w="1500"/>
          </w:tcPr>
          <w:p>
            <w:r>
              <w:t xml:space="preserve">traceability_gate</w:t>
            </w:r>
          </w:p>
        </w:tc>
        <w:tc>
          <w:tcPr>
            <w:tcW w:type="dxa" w:w="1900"/>
          </w:tcPr>
          <w:p>
            <w:r>
              <w:t xml:space="preserve">0.078 [0.060, 0.102]</w:t>
            </w:r>
          </w:p>
        </w:tc>
        <w:tc>
          <w:tcPr>
            <w:tcW w:type="dxa" w:w="1900"/>
          </w:tcPr>
          <w:p>
            <w:r>
              <w:t xml:space="preserve">0.156 [0.141, 0.176]</w:t>
            </w:r>
          </w:p>
        </w:tc>
        <w:tc>
          <w:tcPr>
            <w:tcW w:type="dxa" w:w="1900"/>
          </w:tcPr>
          <w:p>
            <w:r>
              <w:t xml:space="preserve">0.080 [0.060, 0.109]</w:t>
            </w:r>
          </w:p>
        </w:tc>
        <w:tc>
          <w:tcPr>
            <w:tcW w:type="dxa" w:w="1800"/>
          </w:tcPr>
          <w:p>
            <w:r>
              <w:t xml:space="preserve">0.165 [0.156, 0.176]</w:t>
            </w:r>
          </w:p>
        </w:tc>
      </w:tr>
      <w:tr>
        <w:trPr>
          <w:tblHeader w:val="false"/>
        </w:trPr>
        <w:tc>
          <w:tcPr>
            <w:tcW w:type="dxa" w:w="1500"/>
          </w:tcPr>
          <w:p>
            <w:r>
              <w:t xml:space="preserve">bias_gate</w:t>
            </w:r>
          </w:p>
        </w:tc>
        <w:tc>
          <w:tcPr>
            <w:tcW w:type="dxa" w:w="1900"/>
          </w:tcPr>
          <w:p>
            <w:r>
              <w:t xml:space="preserve">0.153 [0.121, 0.188]</w:t>
            </w:r>
          </w:p>
        </w:tc>
        <w:tc>
          <w:tcPr>
            <w:tcW w:type="dxa" w:w="1900"/>
          </w:tcPr>
          <w:p>
            <w:r>
              <w:t xml:space="preserve">0.142 [0.125, 0.157]</w:t>
            </w:r>
          </w:p>
        </w:tc>
        <w:tc>
          <w:tcPr>
            <w:tcW w:type="dxa" w:w="1900"/>
          </w:tcPr>
          <w:p>
            <w:r>
              <w:t xml:space="preserve">0.189 [0.150, 0.232]</w:t>
            </w:r>
          </w:p>
        </w:tc>
        <w:tc>
          <w:tcPr>
            <w:tcW w:type="dxa" w:w="1800"/>
          </w:tcPr>
          <w:p>
            <w:r>
              <w:t xml:space="preserve">0.143 [0.136, 0.154]</w:t>
            </w:r>
          </w:p>
        </w:tc>
      </w:tr>
      <w:tr>
        <w:trPr>
          <w:tblHeader w:val="false"/>
        </w:trPr>
        <w:tc>
          <w:tcPr>
            <w:tcW w:type="dxa" w:w="1500"/>
          </w:tcPr>
          <w:p>
            <w:r>
              <w:t xml:space="preserve">unsafe_base_rate</w:t>
            </w:r>
          </w:p>
        </w:tc>
        <w:tc>
          <w:tcPr>
            <w:tcW w:type="dxa" w:w="1900"/>
          </w:tcPr>
          <w:p>
            <w:r>
              <w:t xml:space="preserve">0.208 [0.168, 0.254]</w:t>
            </w:r>
          </w:p>
        </w:tc>
        <w:tc>
          <w:tcPr>
            <w:tcW w:type="dxa" w:w="1900"/>
          </w:tcPr>
          <w:p>
            <w:r>
              <w:t xml:space="preserve">0.018 [0.016, 0.020]</w:t>
            </w:r>
          </w:p>
        </w:tc>
        <w:tc>
          <w:tcPr>
            <w:tcW w:type="dxa" w:w="1900"/>
          </w:tcPr>
          <w:p>
            <w:r>
              <w:t xml:space="preserve">0.358 [0.285, 0.429]</w:t>
            </w:r>
          </w:p>
        </w:tc>
        <w:tc>
          <w:tcPr>
            <w:tcW w:type="dxa" w:w="1800"/>
          </w:tcPr>
          <w:p>
            <w:r>
              <w:t xml:space="preserve">0.000 [0.000, 0.000]</w:t>
            </w:r>
          </w:p>
        </w:tc>
      </w:tr>
      <w:tr>
        <w:trPr>
          <w:tblHeader w:val="false"/>
        </w:trPr>
        <w:tc>
          <w:tcPr>
            <w:tcW w:type="dxa" w:w="1500"/>
          </w:tcPr>
          <w:p>
            <w:r>
              <w:t xml:space="preserve">auditability_noise</w:t>
            </w:r>
          </w:p>
        </w:tc>
        <w:tc>
          <w:tcPr>
            <w:tcW w:type="dxa" w:w="1900"/>
          </w:tcPr>
          <w:p>
            <w:r>
              <w:t xml:space="preserve">0.015 [0.011, 0.018]</w:t>
            </w:r>
          </w:p>
        </w:tc>
        <w:tc>
          <w:tcPr>
            <w:tcW w:type="dxa" w:w="1900"/>
          </w:tcPr>
          <w:p>
            <w:r>
              <w:t xml:space="preserve">0.009 [0.008, 0.010]</w:t>
            </w:r>
          </w:p>
        </w:tc>
        <w:tc>
          <w:tcPr>
            <w:tcW w:type="dxa" w:w="1900"/>
          </w:tcPr>
          <w:p>
            <w:r>
              <w:t xml:space="preserve">0.012 [0.009, 0.015]</w:t>
            </w:r>
          </w:p>
        </w:tc>
        <w:tc>
          <w:tcPr>
            <w:tcW w:type="dxa" w:w="1800"/>
          </w:tcPr>
          <w:p>
            <w:r>
              <w:t xml:space="preserve">0.000 [0.000, 0.000]</w:t>
            </w:r>
          </w:p>
        </w:tc>
      </w:tr>
    </w:tbl>
    <w:p>
      <w:pPr>
        <w:spacing w:after="120"/>
      </w:pPr>
    </w:p>
    <w:p>
      <w:pPr>
        <w:spacing w:after="120"/>
      </w:pPr>
      <w:r>
        <w:t xml:space="preserve">At the primary configuration (N = 2048 with the Owen-scrambled Sobol low-discrepancy sequence), the dominant total-order driver varies across outcomes. safety_gate is the dominant driver for detection rate (ST = 0.725) and false-negative harm (ST = 0.698); evidence_gate is the dominant driver for throughput (ST = 0.426) and friction (ST = 0.274). For the remaining parameters, calibration_gate, traceability_gate, bias_gate, and unsafe_base_rate make secondary contributions whose relative ranking varies by outcome (see Table S4). auditability_noise has small total-order contributions across all four outcomes. The N = 2048 sampling reveals this inter-outcome variation in dominant parameter; the earlier N = 1024 estimates suggested broad safety_gate dominance, although the friction outcome already showed near-tied values among multiple parameters; the present N = 2048 sampling resolves the friction ranking and reveals inter-outcome variation more cleanly. The implication for sensitivity-aware governance is discussed in the Results §Sobol decomposition section of the main manuscript. Note on the friction column: unsafe_base_rate shows ST = 0.000 with CI [0.000, 0.000] for friction across all 200 bootstrap resamples. This is mathematically expected: compute_friction() in the simulation takes only the five governance gates as direct inputs; unsafe_base_rate affects upstream classification but does not enter friction computation. auditability_noise displays as ST = 0.000 at three-decimal precision but is non-zero (≈0.0002); the bootstrap correctly captures this small effect below display threshold.</w:t>
      </w:r>
    </w:p>
    <w:p>
      <w:pPr>
        <w:pStyle w:val="Heading1"/>
        <w:spacing w:after="120" w:before="240"/>
      </w:pPr>
      <w:r>
        <w:t xml:space="preserve">Supplementary Appendix E: NSGA-II convergence diagnostics</w:t>
      </w:r>
    </w:p>
    <w:p>
      <w:pPr>
        <w:spacing w:after="120"/>
      </w:pPr>
      <w:r>
        <w:t xml:space="preserve">The NSGA-II multi-objective optimisation reported in the main paper used a population of 60 candidates over 30 generations, for a total of 1,800 evaluations per seed across the five-dimensional non-compensatory threshold space against four objectives. The present analysis runs NSGA-II at three seeds (42, 123, 7777) and computes the following diagnostics:</w:t>
      </w:r>
    </w:p>
    <w:p>
      <w:pPr>
        <w:spacing w:after="120"/>
      </w:pPr>
      <w:r>
        <w:t xml:space="preserve">(i) per-generation hypervolume trajectory against the reference point (1.0, 1.0) on the (1−detection, 1−throughput) plane (full trajectory archived at outputs/processed/nsga2_convergence.json);</w:t>
      </w:r>
    </w:p>
    <w:p>
      <w:pPr>
        <w:spacing w:after="120"/>
      </w:pPr>
      <w:r>
        <w:t xml:space="preserve">(ii) per-seed final-generation Pareto count and final hypervolume;</w:t>
      </w:r>
    </w:p>
    <w:p>
      <w:pPr>
        <w:spacing w:after="120"/>
      </w:pPr>
      <w:r>
        <w:t xml:space="preserve">(iii) pairwise frontier overlap, defined as the fraction of one seed's Pareto points within Euclidean tolerance 0.05 of the nearest point on another seed's frontier in the (detection, throughput) plane.</w:t>
      </w:r>
    </w:p>
    <w:p>
      <w:pPr>
        <w:spacing w:after="120"/>
      </w:pPr>
      <w:r>
        <w:rPr>
          <w:i/>
          <w:iCs/>
        </w:rPr>
        <w:t xml:space="preserve">Table S5. </w:t>
      </w:r>
      <w:r>
        <w:t xml:space="preserve">NSGA-II multi-seed convergence diagnostics.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200"/>
        <w:gridCol w:w="2600"/>
      </w:tblGrid>
      <w:tr>
        <w:trPr>
          <w:tblHeader/>
        </w:trPr>
        <w:tc>
          <w:tcPr>
            <w:tcW w:type="dxa" w:w="1500"/>
          </w:tcPr>
          <w:p>
            <w:r>
              <w:rPr>
                <w:b/>
                <w:bCs/>
              </w:rPr>
              <w:t xml:space="preserve">Seed</w:t>
            </w:r>
          </w:p>
        </w:tc>
        <w:tc>
          <w:tcPr>
            <w:tcW w:type="dxa" w:w="2700"/>
          </w:tcPr>
          <w:p>
            <w:r>
              <w:rPr>
                <w:b/>
                <w:bCs/>
              </w:rPr>
              <w:t xml:space="preserve">Pareto solutions (final gen)</w:t>
            </w:r>
          </w:p>
        </w:tc>
        <w:tc>
          <w:tcPr>
            <w:tcW w:type="dxa" w:w="2200"/>
          </w:tcPr>
          <w:p>
            <w:r>
              <w:rPr>
                <w:b/>
                <w:bCs/>
              </w:rPr>
              <w:t xml:space="preserve">Final hypervolume</w:t>
            </w:r>
          </w:p>
        </w:tc>
        <w:tc>
          <w:tcPr>
            <w:tcW w:type="dxa" w:w="2600"/>
          </w:tcPr>
          <w:p>
            <w:r>
              <w:rPr>
                <w:b/>
                <w:bCs/>
              </w:rPr>
              <w:t xml:space="preserve">Frontier overlap with seed 42</w:t>
            </w:r>
          </w:p>
        </w:tc>
      </w:tr>
      <w:tr>
        <w:trPr>
          <w:tblHeader w:val="false"/>
        </w:trPr>
        <w:tc>
          <w:tcPr>
            <w:tcW w:type="dxa" w:w="1500"/>
          </w:tcPr>
          <w:p>
            <w:r>
              <w:t xml:space="preserve">42 (primary)</w:t>
            </w:r>
          </w:p>
        </w:tc>
        <w:tc>
          <w:tcPr>
            <w:tcW w:type="dxa" w:w="2700"/>
          </w:tcPr>
          <w:p>
            <w:r>
              <w:t xml:space="preserve">50</w:t>
            </w:r>
          </w:p>
        </w:tc>
        <w:tc>
          <w:tcPr>
            <w:tcW w:type="dxa" w:w="2200"/>
          </w:tcPr>
          <w:p>
            <w:r>
              <w:t xml:space="preserve">0.8172</w:t>
            </w:r>
          </w:p>
        </w:tc>
        <w:tc>
          <w:tcPr>
            <w:tcW w:type="dxa" w:w="2600"/>
          </w:tcPr>
          <w:p>
            <w:r>
              <w:t xml:space="preserve">—</w:t>
            </w:r>
          </w:p>
        </w:tc>
      </w:tr>
      <w:tr>
        <w:trPr>
          <w:tblHeader w:val="false"/>
        </w:trPr>
        <w:tc>
          <w:tcPr>
            <w:tcW w:type="dxa" w:w="1500"/>
          </w:tcPr>
          <w:p>
            <w:r>
              <w:t xml:space="preserve">123</w:t>
            </w:r>
          </w:p>
        </w:tc>
        <w:tc>
          <w:tcPr>
            <w:tcW w:type="dxa" w:w="2700"/>
          </w:tcPr>
          <w:p>
            <w:r>
              <w:t xml:space="preserve">50</w:t>
            </w:r>
          </w:p>
        </w:tc>
        <w:tc>
          <w:tcPr>
            <w:tcW w:type="dxa" w:w="2200"/>
          </w:tcPr>
          <w:p>
            <w:r>
              <w:t xml:space="preserve">0.8387</w:t>
            </w:r>
          </w:p>
        </w:tc>
        <w:tc>
          <w:tcPr>
            <w:tcW w:type="dxa" w:w="2600"/>
          </w:tcPr>
          <w:p>
            <w:r>
              <w:t xml:space="preserve">0.70</w:t>
            </w:r>
          </w:p>
        </w:tc>
      </w:tr>
      <w:tr>
        <w:trPr>
          <w:tblHeader w:val="false"/>
        </w:trPr>
        <w:tc>
          <w:tcPr>
            <w:tcW w:type="dxa" w:w="1500"/>
          </w:tcPr>
          <w:p>
            <w:r>
              <w:t xml:space="preserve">7777</w:t>
            </w:r>
          </w:p>
        </w:tc>
        <w:tc>
          <w:tcPr>
            <w:tcW w:type="dxa" w:w="2700"/>
          </w:tcPr>
          <w:p>
            <w:r>
              <w:t xml:space="preserve">50</w:t>
            </w:r>
          </w:p>
        </w:tc>
        <w:tc>
          <w:tcPr>
            <w:tcW w:type="dxa" w:w="2200"/>
          </w:tcPr>
          <w:p>
            <w:r>
              <w:t xml:space="preserve">0.8489</w:t>
            </w:r>
          </w:p>
        </w:tc>
        <w:tc>
          <w:tcPr>
            <w:tcW w:type="dxa" w:w="2600"/>
          </w:tcPr>
          <w:p>
            <w:r>
              <w:t xml:space="preserve">0.76</w:t>
            </w:r>
          </w:p>
        </w:tc>
      </w:tr>
    </w:tbl>
    <w:p>
      <w:pPr>
        <w:spacing w:after="120"/>
      </w:pPr>
    </w:p>
    <w:p>
      <w:pPr>
        <w:spacing w:after="120"/>
      </w:pPr>
      <w:r>
        <w:t xml:space="preserve">Final hypervolumes range from 0.817 to 0.849 across the three seeds, with seed 7777 achieving the highest hypervolume. Pairwise frontier overlap of 0.70 (seed 42 vs 123) and 0.76 (seed 42 vs 7777) indicates substantial but incomplete convergence at this search budget. Per-generation hypervolume trajectories continue to grow modestly through the final generation, suggesting that additional generations would further refine the frontier. The candidate Pareto-optimal configurations reported in the main paper should therefore be interpreted as candidates at the search budget specified, not as a fully converged frontier.</w:t>
      </w:r>
    </w:p>
    <w:p>
      <w:pPr>
        <w:pStyle w:val="Heading1"/>
        <w:spacing w:after="120" w:before="240"/>
      </w:pPr>
      <w:r>
        <w:t xml:space="preserve">Supplementary Appendix F: Per-weighting-scheme analysis</w:t>
      </w:r>
    </w:p>
    <w:p>
      <w:pPr>
        <w:spacing w:after="120"/>
      </w:pPr>
      <w:r>
        <w:t xml:space="preserve">To quantify the sensitivity of the architecture-comparison ratio reported in the main paper to the choice of weights within the weighted-average composite class, the architecture comparison was re-run under five weighting configurations (5 replicates each, paired with the same non-compensatory baseline at the moderate profile). The non-compensatory architecture's false-negative harm at the moderate profile (1.69 cumulative simulated units) was used as the denominator for the ratio across all schemes.</w:t>
      </w:r>
    </w:p>
    <w:p>
      <w:pPr>
        <w:spacing w:after="120"/>
      </w:pPr>
      <w:r>
        <w:rPr>
          <w:i/>
          <w:iCs/>
        </w:rPr>
        <w:t xml:space="preserve">Table S6. </w:t>
      </w:r>
      <w:r>
        <w:t xml:space="preserve">Architecture-comparison ratio across five weighted-average-composite weighting schemes (S = safety, E = evidence, B = bias, C = calibration, T =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1400"/>
        <w:gridCol w:w="1500"/>
        <w:gridCol w:w="1400"/>
      </w:tblGrid>
      <w:tr>
        <w:trPr>
          <w:tblHeader/>
        </w:trPr>
        <w:tc>
          <w:tcPr>
            <w:tcW w:type="dxa" w:w="1700"/>
          </w:tcPr>
          <w:p>
            <w:r>
              <w:rPr>
                <w:b/>
                <w:bCs/>
              </w:rPr>
              <w:t xml:space="preserve">Scheme</w:t>
            </w:r>
          </w:p>
        </w:tc>
        <w:tc>
          <w:tcPr>
            <w:tcW w:type="dxa" w:w="1700"/>
          </w:tcPr>
          <w:p>
            <w:r>
              <w:rPr>
                <w:b/>
                <w:bCs/>
              </w:rPr>
              <w:t xml:space="preserve">Weights (S/E/B/C/T)</w:t>
            </w:r>
          </w:p>
        </w:tc>
        <w:tc>
          <w:tcPr>
            <w:tcW w:type="dxa" w:w="1300"/>
          </w:tcPr>
          <w:p>
            <w:r>
              <w:rPr>
                <w:b/>
                <w:bCs/>
              </w:rPr>
              <w:t xml:space="preserve">Detection</w:t>
            </w:r>
          </w:p>
        </w:tc>
        <w:tc>
          <w:tcPr>
            <w:tcW w:type="dxa" w:w="1400"/>
          </w:tcPr>
          <w:p>
            <w:r>
              <w:rPr>
                <w:b/>
                <w:bCs/>
              </w:rPr>
              <w:t xml:space="preserve">Throughput</w:t>
            </w:r>
          </w:p>
        </w:tc>
        <w:tc>
          <w:tcPr>
            <w:tcW w:type="dxa" w:w="1500"/>
          </w:tcPr>
          <w:p>
            <w:r>
              <w:rPr>
                <w:b/>
                <w:bCs/>
              </w:rPr>
              <w:t xml:space="preserve">FN harm (mean)</w:t>
            </w:r>
          </w:p>
        </w:tc>
        <w:tc>
          <w:tcPr>
            <w:tcW w:type="dxa" w:w="1400"/>
          </w:tcPr>
          <w:p>
            <w:r>
              <w:rPr>
                <w:b/>
                <w:bCs/>
              </w:rPr>
              <w:t xml:space="preserve">NC vs WAC ratio</w:t>
            </w:r>
          </w:p>
        </w:tc>
      </w:tr>
      <w:tr>
        <w:trPr>
          <w:tblHeader w:val="false"/>
        </w:trPr>
        <w:tc>
          <w:tcPr>
            <w:tcW w:type="dxa" w:w="1700"/>
          </w:tcPr>
          <w:p>
            <w:r>
              <w:t xml:space="preserve">baseline</w:t>
            </w:r>
          </w:p>
        </w:tc>
        <w:tc>
          <w:tcPr>
            <w:tcW w:type="dxa" w:w="1700"/>
          </w:tcPr>
          <w:p>
            <w:r>
              <w:t xml:space="preserve">30/20/20/15/15</w:t>
            </w:r>
          </w:p>
        </w:tc>
        <w:tc>
          <w:tcPr>
            <w:tcW w:type="dxa" w:w="1300"/>
          </w:tcPr>
          <w:p>
            <w:r>
              <w:t xml:space="preserve">0.768</w:t>
            </w:r>
          </w:p>
        </w:tc>
        <w:tc>
          <w:tcPr>
            <w:tcW w:type="dxa" w:w="1400"/>
          </w:tcPr>
          <w:p>
            <w:r>
              <w:t xml:space="preserve">0.810</w:t>
            </w:r>
          </w:p>
        </w:tc>
        <w:tc>
          <w:tcPr>
            <w:tcW w:type="dxa" w:w="1500"/>
          </w:tcPr>
          <w:p>
            <w:r>
              <w:t xml:space="preserve">325.95</w:t>
            </w:r>
          </w:p>
        </w:tc>
        <w:tc>
          <w:tcPr>
            <w:tcW w:type="dxa" w:w="1400"/>
          </w:tcPr>
          <w:p>
            <w:r>
              <w:t xml:space="preserve">192.9</w:t>
            </w:r>
          </w:p>
        </w:tc>
      </w:tr>
      <w:tr>
        <w:trPr>
          <w:tblHeader w:val="false"/>
        </w:trPr>
        <w:tc>
          <w:tcPr>
            <w:tcW w:type="dxa" w:w="1700"/>
          </w:tcPr>
          <w:p>
            <w:r>
              <w:t xml:space="preserve">safety_heavy_50</w:t>
            </w:r>
          </w:p>
        </w:tc>
        <w:tc>
          <w:tcPr>
            <w:tcW w:type="dxa" w:w="1700"/>
          </w:tcPr>
          <w:p>
            <w:r>
              <w:t xml:space="preserve">50/15/15/10/10</w:t>
            </w:r>
          </w:p>
        </w:tc>
        <w:tc>
          <w:tcPr>
            <w:tcW w:type="dxa" w:w="1300"/>
          </w:tcPr>
          <w:p>
            <w:r>
              <w:t xml:space="preserve">0.897</w:t>
            </w:r>
          </w:p>
        </w:tc>
        <w:tc>
          <w:tcPr>
            <w:tcW w:type="dxa" w:w="1400"/>
          </w:tcPr>
          <w:p>
            <w:r>
              <w:t xml:space="preserve">0.839</w:t>
            </w:r>
          </w:p>
        </w:tc>
        <w:tc>
          <w:tcPr>
            <w:tcW w:type="dxa" w:w="1500"/>
          </w:tcPr>
          <w:p>
            <w:r>
              <w:t xml:space="preserve">135.06</w:t>
            </w:r>
          </w:p>
        </w:tc>
        <w:tc>
          <w:tcPr>
            <w:tcW w:type="dxa" w:w="1400"/>
          </w:tcPr>
          <w:p>
            <w:r>
              <w:t xml:space="preserve">79.9</w:t>
            </w:r>
          </w:p>
        </w:tc>
      </w:tr>
      <w:tr>
        <w:trPr>
          <w:tblHeader w:val="false"/>
        </w:trPr>
        <w:tc>
          <w:tcPr>
            <w:tcW w:type="dxa" w:w="1700"/>
          </w:tcPr>
          <w:p>
            <w:r>
              <w:t xml:space="preserve">safety_minimal_10</w:t>
            </w:r>
          </w:p>
        </w:tc>
        <w:tc>
          <w:tcPr>
            <w:tcW w:type="dxa" w:w="1700"/>
          </w:tcPr>
          <w:p>
            <w:r>
              <w:t xml:space="preserve">10/25/25/20/20</w:t>
            </w:r>
          </w:p>
        </w:tc>
        <w:tc>
          <w:tcPr>
            <w:tcW w:type="dxa" w:w="1300"/>
          </w:tcPr>
          <w:p>
            <w:r>
              <w:t xml:space="preserve">0.622</w:t>
            </w:r>
          </w:p>
        </w:tc>
        <w:tc>
          <w:tcPr>
            <w:tcW w:type="dxa" w:w="1400"/>
          </w:tcPr>
          <w:p>
            <w:r>
              <w:t xml:space="preserve">0.748</w:t>
            </w:r>
          </w:p>
        </w:tc>
        <w:tc>
          <w:tcPr>
            <w:tcW w:type="dxa" w:w="1500"/>
          </w:tcPr>
          <w:p>
            <w:r>
              <w:t xml:space="preserve">564.93</w:t>
            </w:r>
          </w:p>
        </w:tc>
        <w:tc>
          <w:tcPr>
            <w:tcW w:type="dxa" w:w="1400"/>
          </w:tcPr>
          <w:p>
            <w:r>
              <w:t xml:space="preserve">334.3</w:t>
            </w:r>
          </w:p>
        </w:tc>
      </w:tr>
      <w:tr>
        <w:trPr>
          <w:tblHeader w:val="false"/>
        </w:trPr>
        <w:tc>
          <w:tcPr>
            <w:tcW w:type="dxa" w:w="1700"/>
          </w:tcPr>
          <w:p>
            <w:r>
              <w:t xml:space="preserve">uniform_20</w:t>
            </w:r>
          </w:p>
        </w:tc>
        <w:tc>
          <w:tcPr>
            <w:tcW w:type="dxa" w:w="1700"/>
          </w:tcPr>
          <w:p>
            <w:r>
              <w:t xml:space="preserve">20/20/20/20/20</w:t>
            </w:r>
          </w:p>
        </w:tc>
        <w:tc>
          <w:tcPr>
            <w:tcW w:type="dxa" w:w="1300"/>
          </w:tcPr>
          <w:p>
            <w:r>
              <w:t xml:space="preserve">0.723</w:t>
            </w:r>
          </w:p>
        </w:tc>
        <w:tc>
          <w:tcPr>
            <w:tcW w:type="dxa" w:w="1400"/>
          </w:tcPr>
          <w:p>
            <w:r>
              <w:t xml:space="preserve">0.761</w:t>
            </w:r>
          </w:p>
        </w:tc>
        <w:tc>
          <w:tcPr>
            <w:tcW w:type="dxa" w:w="1500"/>
          </w:tcPr>
          <w:p>
            <w:r>
              <w:t xml:space="preserve">402.48</w:t>
            </w:r>
          </w:p>
        </w:tc>
        <w:tc>
          <w:tcPr>
            <w:tcW w:type="dxa" w:w="1400"/>
          </w:tcPr>
          <w:p>
            <w:r>
              <w:t xml:space="preserve">238.1</w:t>
            </w:r>
          </w:p>
        </w:tc>
      </w:tr>
      <w:tr>
        <w:trPr>
          <w:tblHeader w:val="false"/>
        </w:trPr>
        <w:tc>
          <w:tcPr>
            <w:tcW w:type="dxa" w:w="1700"/>
          </w:tcPr>
          <w:p>
            <w:r>
              <w:t xml:space="preserve">evidence_heavy_40</w:t>
            </w:r>
          </w:p>
        </w:tc>
        <w:tc>
          <w:tcPr>
            <w:tcW w:type="dxa" w:w="1700"/>
          </w:tcPr>
          <w:p>
            <w:r>
              <w:t xml:space="preserve">20/40/15/15/10</w:t>
            </w:r>
          </w:p>
        </w:tc>
        <w:tc>
          <w:tcPr>
            <w:tcW w:type="dxa" w:w="1300"/>
          </w:tcPr>
          <w:p>
            <w:r>
              <w:t xml:space="preserve">0.733</w:t>
            </w:r>
          </w:p>
        </w:tc>
        <w:tc>
          <w:tcPr>
            <w:tcW w:type="dxa" w:w="1400"/>
          </w:tcPr>
          <w:p>
            <w:r>
              <w:t xml:space="preserve">0.690</w:t>
            </w:r>
          </w:p>
        </w:tc>
        <w:tc>
          <w:tcPr>
            <w:tcW w:type="dxa" w:w="1500"/>
          </w:tcPr>
          <w:p>
            <w:r>
              <w:t xml:space="preserve">405.34</w:t>
            </w:r>
          </w:p>
        </w:tc>
        <w:tc>
          <w:tcPr>
            <w:tcW w:type="dxa" w:w="1400"/>
          </w:tcPr>
          <w:p>
            <w:r>
              <w:t xml:space="preserve">239.8</w:t>
            </w:r>
          </w:p>
        </w:tc>
      </w:tr>
    </w:tbl>
    <w:p>
      <w:pPr>
        <w:spacing w:after="120"/>
      </w:pPr>
    </w:p>
    <w:p>
      <w:pPr>
        <w:spacing w:after="120"/>
      </w:pPr>
      <w:r>
        <w:t xml:space="preserve">The architecture-comparison ratio ranges from approximately 80 under safety-heavy weighting (50% weight on safety) to approximately 334 under safety-minimal weighting (10% weight on safety). The baseline configuration (30/20/20/15/15) gives a ratio of approximately 193. Increasing the safety weight from 10% to 50% reduces the ratio by a factor of approximately 4×. The 80-fold ratio under safety-heavy weighting is approximately the same magnitude as the decoupled-SCM ratio (Appendix C), suggesting that increasing the safety weight in the WAC partially compensates for the structural advantage that the coupled SCM gives to the non-compensatory architecture. No claim is made that any single weighting scheme is preferred; the range is reported to make the comparator-scope dependency explicit.</w:t>
      </w:r>
    </w:p>
    <w:p>
      <w:pPr>
        <w:pStyle w:val="Heading1"/>
        <w:spacing w:after="120" w:before="240"/>
      </w:pPr>
      <w:r>
        <w:t xml:space="preserve">Supplementary Appendix G: Reproducibility manifest</w:t>
      </w:r>
    </w:p>
    <w:p>
      <w:pPr>
        <w:spacing w:after="120"/>
      </w:pPr>
      <w:r>
        <w:t xml:space="preserve">The complete simulation framework is archived at Zenodo (https://doi.org/10.5281/zenodo.19499806). The archive contains the analysis plan (analysis_plan.yaml; plan hash 1fba2e24…), all configuration files, the SCM functional library (scm_functions.yaml v1.0), source code under src/, the validation harness, the Stage 7 orchestrator script, and reference outputs. Cryptographic hash-chain validation via MANIFEST.sha256 supports independent re-execution from identical inputs.</w:t>
      </w:r>
    </w:p>
    <w:p>
      <w:pPr>
        <w:spacing w:after="120"/>
      </w:pPr>
      <w:r>
        <w:t xml:space="preserve">The version of the repository corresponding to the present supplement is v2.1.0. This release replaces the earlier pseudo-random Saltelli fallback (used in the v2.0.0 release) with a true Owen-scrambled Sobol low-discrepancy sequence (scipy.stats.qmc.Sobol via SALib) at N = 2048, with 200-resample bootstrap CIs. All other aggregation regimes (AR1, AR2, AR3, AR_lifecycle, AR_replication, AR_decoupled_scm, AR_weighting_scheme_sensitivity) are unchanged from v2.0.0. Key Stage 7 changes from v1.x (originally archived) are: (i) Sobol re-execution at N = 1024 with bootstrap CIs and N-progression diagnostic; (ii) decoupled-variant SCM experiment executed and reported in Appendix C; (iii) NSGA-II multi-seed convergence diagnostics computed and reported in Appendix E; (iv) per-weighting-scheme architecture-comparison sensitivity reported in Appendix F; (v) lifecycle aggregate (mean cumulative drift) added to outputs; (vi) the prior heuristic NSGA-II post-processing step (RC-14, Plan B) has been removed from the repository, and the candidate Pareto frontier is now reported without further heuristic filtering; (vii) regime-annotated CSV outputs across all phases; (viii) refreshed manifest and replication report under seed = 42, with zero absolute difference across all four key metrics.</w:t>
      </w:r>
    </w:p>
    <w:p>
      <w:pPr>
        <w:spacing w:after="120"/>
      </w:pPr>
      <w:r>
        <w:t xml:space="preserve">All quantitative claims in the main paper are traceable to source files listed in the regime dictionary (Appendix A). No claim in the main paper depends on values computed outside the present archive.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5 Supplement v2 — Stage 7 final (table-fix)</dc:title>
  <dc:creator>Walter Brown</dc:creator>
  <cp:lastModifiedBy>Un-named</cp:lastModifiedBy>
  <cp:revision>1</cp:revision>
  <dcterms:created xsi:type="dcterms:W3CDTF">2026-04-28T20:22:35.855Z</dcterms:created>
  <dcterms:modified xsi:type="dcterms:W3CDTF">2026-04-28T20:22:35.856Z</dcterms:modified>
</cp:coreProperties>
</file>

<file path=docProps/custom.xml><?xml version="1.0" encoding="utf-8"?>
<Properties xmlns="http://schemas.openxmlformats.org/officeDocument/2006/custom-properties" xmlns:vt="http://schemas.openxmlformats.org/officeDocument/2006/docPropsVTypes"/>
</file>