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40" w:after="120"/>
      </w:pPr>
      <w:r>
        <w:rPr>
          <w:rFonts w:ascii="Times New Roman" w:cs="Times New Roman" w:eastAsia="Times New Roman" w:hAnsi="Times New Roman"/>
          <w:b/>
          <w:bCs/>
          <w:sz w:val="28"/>
          <w:szCs w:val="28"/>
        </w:rPr>
        <w:t xml:space="preserve">Supplementary Materials</w:t>
      </w:r>
    </w:p>
    <w:p>
      <w:pPr>
        <w:spacing w:after="120"/>
      </w:pPr>
      <w:r>
        <w:rPr>
          <w:rFonts w:ascii="Times New Roman" w:cs="Times New Roman" w:eastAsia="Times New Roman" w:hAnsi="Times New Roman"/>
          <w:b/>
          <w:bCs/>
          <w:sz w:val="22"/>
          <w:szCs w:val="22"/>
        </w:rPr>
        <w:t xml:space="preserve">Companion to Paper 5 — npj Digital Medicine</w:t>
      </w:r>
    </w:p>
    <w:p>
      <w:pPr>
        <w:pStyle w:val="Heading2"/>
        <w:spacing w:before="200" w:after="100"/>
      </w:pPr>
      <w:r>
        <w:rPr>
          <w:rFonts w:ascii="Times New Roman" w:cs="Times New Roman" w:eastAsia="Times New Roman" w:hAnsi="Times New Roman"/>
          <w:b/>
          <w:bCs/>
          <w:sz w:val="24"/>
          <w:szCs w:val="24"/>
        </w:rPr>
        <w:t xml:space="preserve">Supplementary Appendix A: Reserved</w:t>
      </w:r>
    </w:p>
    <w:p>
      <w:pPr>
        <w:spacing w:after="120"/>
      </w:pPr>
      <w:r>
        <w:rPr>
          <w:rFonts w:ascii="Times New Roman" w:cs="Times New Roman" w:eastAsia="Times New Roman" w:hAnsi="Times New Roman"/>
          <w:i/>
          <w:iCs/>
          <w:sz w:val="22"/>
          <w:szCs w:val="22"/>
        </w:rPr>
        <w:t xml:space="preserve">This appendix letter is reserved to maintain sequential numbering consistency across the coordinated multi-paper submission bundle.</w:t>
      </w:r>
    </w:p>
    <w:p>
      <w:pPr>
        <w:pStyle w:val="Heading2"/>
        <w:spacing w:before="200" w:after="100"/>
      </w:pPr>
      <w:r>
        <w:rPr>
          <w:rFonts w:ascii="Times New Roman" w:cs="Times New Roman" w:eastAsia="Times New Roman" w:hAnsi="Times New Roman"/>
          <w:b/>
          <w:bCs/>
          <w:sz w:val="24"/>
          <w:szCs w:val="24"/>
        </w:rPr>
        <w:t xml:space="preserve">Supplementary Appendix B: PhysioNet Benchmark Validation</w:t>
      </w:r>
    </w:p>
    <w:p>
      <w:pPr>
        <w:spacing w:after="120"/>
      </w:pPr>
      <w:r>
        <w:rPr>
          <w:rFonts w:ascii="Times New Roman" w:cs="Times New Roman" w:eastAsia="Times New Roman" w:hAnsi="Times New Roman"/>
          <w:sz w:val="22"/>
          <w:szCs w:val="22"/>
        </w:rPr>
        <w:t xml:space="preserve">PhysioNet 2019 benchmark through the identical governance engine. Under the moderate non-compensatory profile, both models were rejected (safety gate binding), while both were approved under the permissive profile — confirming that the governance friction surface transitions between full approval and full rejection within the same threshold range predicted by the simulation’s Pareto analysis. Ranking stability analysis showed that model governance rankings were stable under 90% of scoring weight perturbations (±20%), with rank changes limited to extreme perturbations of the bias and calibration weights. This stability rate on real data is consistent with the simulation’s finding that the safety gate threshold dominates governance outcomes (Sobol total-order index = 1.00 for detection rate). The benchmark models exhibited heterogeneous governance evidence profiles (feature spread 0.47), supporting the simulation’s assumption that real AI systems present different strengths and weaknesses across governance domains — the condition under which non-compensatory gates provide the largest safety advantage over compensatory scoring. Governance friction on the benchmark models was concentrated entirely in the safety dimension: had only the safety gate threshold been relaxed from 0.50 to 0.40, both models would have shifted from rejection to approval, while all other gates remained comfortably above their thresholds. This concentrated friction pattern provides empirical grounding for the simulation’s policy recommendation that the safety gate threshold is the dominant governance lever.</w:t>
      </w:r>
    </w:p>
    <w:p>
      <w:pPr>
        <w:spacing w:after="120"/>
      </w:pPr>
      <w:r>
        <w:rPr>
          <w:rFonts w:ascii="Times New Roman" w:cs="Times New Roman" w:eastAsia="Times New Roman" w:hAnsi="Times New Roman"/>
          <w:sz w:val="22"/>
          <w:szCs w:val="22"/>
        </w:rPr>
        <w:t xml:space="preserve">This work forms part of a coordinated multi-paper research programme examining non-compensatory governance architectures across formal, empirical, and operational domains.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00" w:after="10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2026-03-25T22:16:57.071Z</dcterms:created>
  <dcterms:modified xsi:type="dcterms:W3CDTF">2026-03-25T22:16:57.072Z</dcterms:modified>
</cp:coreProperties>
</file>

<file path=docProps/custom.xml><?xml version="1.0" encoding="utf-8"?>
<Properties xmlns="http://schemas.openxmlformats.org/officeDocument/2006/custom-properties" xmlns:vt="http://schemas.openxmlformats.org/officeDocument/2006/docPropsVTypes"/>
</file>