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SOFTWARE METRICS</w:t>
      </w:r>
    </w:p>
    <w:p>
      <w:pPr>
        <w:pStyle w:val="Heading2"/>
        <w:spacing w:after="20"/>
      </w:pPr>
      <w:r>
        <w:t xml:space="preserve">Full Project Report — Modules 1 to 4</w:t>
      </w:r>
    </w:p>
    <w:p>
      <w:pPr>
        <w:spacing w:after="20"/>
      </w:pPr>
      <w:r>
        <w:rPr>
          <w:b/>
          <w:bCs/>
          <w:color w:val="00625E"/>
          <w:sz w:val="26"/>
          <w:szCs w:val="26"/>
        </w:rPr>
        <w:t xml:space="preserve">Software Metrics-Driven AI-Powered Personal Finance Management System</w:t>
      </w:r>
    </w:p>
    <w:p>
      <w:pPr>
        <w:spacing w:after="260"/>
      </w:pPr>
      <w:r>
        <w:rPr>
          <w:i/>
          <w:iCs/>
          <w:color w:val="4C5B55"/>
          <w:sz w:val="22"/>
          <w:szCs w:val="22"/>
        </w:rPr>
        <w:t xml:space="preserve">Wealthline — from the ten scopes of software metrics to a working, deployed product</w:t>
      </w:r>
    </w:p>
    <w:p>
      <w:pPr>
        <w:spacing w:after="140"/>
      </w:pPr>
      <w:r>
        <w:rPr>
          <w:b/>
          <w:bCs/>
        </w:rPr>
        <w:t xml:space="preserve">Team Members:</w:t>
      </w:r>
    </w:p>
    <w:p>
      <w:pPr>
        <w:pStyle w:val="ListParagraph"/>
        <w:numPr>
          <w:ilvl w:val="0"/>
          <w:numId w:val="1"/>
        </w:numPr>
        <w:spacing w:after="60"/>
      </w:pPr>
      <w:r>
        <w:t xml:space="preserve">K Druthendra — 23MIS0213</w:t>
      </w:r>
    </w:p>
    <w:p>
      <w:pPr>
        <w:pStyle w:val="ListParagraph"/>
        <w:numPr>
          <w:ilvl w:val="0"/>
          <w:numId w:val="1"/>
        </w:numPr>
        <w:spacing w:after="60"/>
      </w:pPr>
      <w:r>
        <w:t xml:space="preserve">G Sai Santhosh — 23MIS0227</w:t>
      </w:r>
    </w:p>
    <w:p>
      <w:pPr>
        <w:pStyle w:val="ListParagraph"/>
        <w:numPr>
          <w:ilvl w:val="0"/>
          <w:numId w:val="1"/>
        </w:numPr>
        <w:spacing w:after="60"/>
      </w:pPr>
      <w:r>
        <w:t xml:space="preserve">P Siva Kiran — 23MIS0674</w:t>
      </w:r>
    </w:p>
    <w:p>
      <w:pPr>
        <w:pStyle w:val="ListParagraph"/>
        <w:numPr>
          <w:ilvl w:val="0"/>
          <w:numId w:val="1"/>
        </w:numPr>
        <w:spacing w:after="60"/>
      </w:pPr>
      <w:r>
        <w:t xml:space="preserve">Shaik Nihal — 23MIS0491</w:t>
      </w:r>
    </w:p>
    <w:p>
      <w:pPr>
        <w:pStyle w:val="Heading1"/>
        <w:spacing w:after="120" w:before="280"/>
      </w:pPr>
      <w:r>
        <w:t xml:space="preserve">How This Report Is Organized</w:t>
      </w:r>
    </w:p>
    <w:p>
      <w:pPr>
        <w:spacing w:after="140"/>
      </w:pPr>
      <w:r>
        <w:t xml:space="preserve">This is the consolidated report across all four modules of the syllabus, each tied to a concrete artifact in the shipped project rather than left as theory:</w:t>
      </w:r>
    </w:p>
    <w:p>
      <w:pPr>
        <w:pStyle w:val="ListParagraph"/>
        <w:numPr>
          <w:ilvl w:val="0"/>
          <w:numId w:val="1"/>
        </w:numPr>
        <w:spacing w:after="60"/>
      </w:pPr>
      <w:r>
        <w:t xml:space="preserve">Module 1 — the ten scopes of software metrics and why Quality Models and Measures was selected (Section 1-2).</w:t>
      </w:r>
    </w:p>
    <w:p>
      <w:pPr>
        <w:pStyle w:val="ListParagraph"/>
        <w:numPr>
          <w:ilvl w:val="0"/>
          <w:numId w:val="1"/>
        </w:numPr>
        <w:spacing w:after="60"/>
      </w:pPr>
      <w:r>
        <w:t xml:space="preserve">Module 2 — the complete GQ(I)M measurement plan for that scope, across four sub-goals, and the system's class diagram (Section 3-4).</w:t>
      </w:r>
    </w:p>
    <w:p>
      <w:pPr>
        <w:pStyle w:val="ListParagraph"/>
        <w:numPr>
          <w:ilvl w:val="0"/>
          <w:numId w:val="1"/>
        </w:numPr>
        <w:spacing w:after="60"/>
      </w:pPr>
      <w:r>
        <w:t xml:space="preserve">Module 3 — software metrics data collection, and four classical analysis techniques run on real data (Section 5).</w:t>
      </w:r>
    </w:p>
    <w:p>
      <w:pPr>
        <w:pStyle w:val="ListParagraph"/>
        <w:numPr>
          <w:ilvl w:val="0"/>
          <w:numId w:val="1"/>
        </w:numPr>
        <w:spacing w:after="60"/>
      </w:pPr>
      <w:r>
        <w:t xml:space="preserve">Module 4 — Bayesian networks for project-risk assessment and defect prediction, with a risk register (Section 6).</w:t>
      </w:r>
    </w:p>
    <w:p>
      <w:pPr>
        <w:pStyle w:val="ListParagraph"/>
        <w:numPr>
          <w:ilvl w:val="0"/>
          <w:numId w:val="1"/>
        </w:numPr>
        <w:spacing w:after="60"/>
      </w:pPr>
      <w:r>
        <w:t xml:space="preserve">Implementation — screenshots of Wealthline, the working personal-finance product all of the above measures (Section 7).</w:t>
      </w:r>
    </w:p>
    <w:p>
      <w:r>
        <w:br w:type="page"/>
      </w:r>
    </w:p>
    <w:p>
      <w:pPr>
        <w:pStyle w:val="Heading1"/>
        <w:spacing w:after="120" w:before="280"/>
      </w:pPr>
      <w:r>
        <w:t xml:space="preserve">1. Introduction</w:t>
      </w:r>
    </w:p>
    <w:p>
      <w:pPr>
        <w:spacing w:after="140"/>
      </w:pPr>
      <w:r>
        <w:t xml:space="preserve">The Software Metrics-Driven AI-Powered Personal Finance Management System is a fintech application, built and shipped under the name Wealthline, that helps individual users track income and expenses, manage budgets, monitor financial goals, and receive AI-generated, personalized recommendations (spending forecasts, saving suggestions, anomaly/fraud alerts). What differentiates this system from a conventional finance app is that every stage of its engineering lifecycle — from planning through operation — is governed by quantitative software-metrics practice. Metrics are used not only to manage the software project itself (cost, schedule, productivity) but also to continuously evaluate and improve the quality, reliability, performance, and trustworthiness of the AI components that drive the product's core value proposition.</w:t>
      </w:r>
    </w:p>
    <w:p>
      <w:pPr>
        <w:pStyle w:val="Heading1"/>
        <w:spacing w:after="120" w:before="280"/>
      </w:pPr>
      <w:r>
        <w:t xml:space="preserve">2. The Ten Scopes of Software Metrics</w:t>
      </w:r>
    </w:p>
    <w:p>
      <w:pPr>
        <w:spacing w:after="140"/>
      </w:pPr>
      <w:r>
        <w:t xml:space="preserve">Software measurement is commonly organized into ten scopes covering the full breadth of what can be measured in a software product and process. The table below defines each scope and how it applies to Wealthline.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300"/>
        <w:gridCol w:w="3800"/>
      </w:tblGrid>
      <w:tr>
        <w:trPr>
          <w:tblHeader/>
        </w:trPr>
        <w:tc>
          <w:tcPr>
            <w:tcW w:type="dxa" w:w="500"/>
            <w:shd w:fill="00625E" w:val="clear"/>
            <w:tcMar>
              <w:top w:type="dxa" w:w="80"/>
              <w:left w:type="dxa" w:w="100"/>
              <w:bottom w:type="dxa" w:w="80"/>
              <w:right w:type="dxa" w:w="100"/>
            </w:tcMar>
          </w:tcPr>
          <w:p>
            <w:r>
              <w:rPr>
                <w:b/>
                <w:bCs/>
                <w:color w:val="FFFFFF"/>
                <w:sz w:val="18"/>
                <w:szCs w:val="18"/>
              </w:rPr>
              <w:t xml:space="preserve">#</w:t>
            </w:r>
          </w:p>
        </w:tc>
        <w:tc>
          <w:tcPr>
            <w:tcW w:type="dxa" w:w="2200"/>
            <w:shd w:fill="00625E" w:val="clear"/>
            <w:tcMar>
              <w:top w:type="dxa" w:w="80"/>
              <w:left w:type="dxa" w:w="100"/>
              <w:bottom w:type="dxa" w:w="80"/>
              <w:right w:type="dxa" w:w="100"/>
            </w:tcMar>
          </w:tcPr>
          <w:p>
            <w:r>
              <w:rPr>
                <w:b/>
                <w:bCs/>
                <w:color w:val="FFFFFF"/>
                <w:sz w:val="18"/>
                <w:szCs w:val="18"/>
              </w:rPr>
              <w:t xml:space="preserve">Scope</w:t>
            </w:r>
          </w:p>
        </w:tc>
        <w:tc>
          <w:tcPr>
            <w:tcW w:type="dxa" w:w="3300"/>
            <w:shd w:fill="00625E" w:val="clear"/>
            <w:tcMar>
              <w:top w:type="dxa" w:w="80"/>
              <w:left w:type="dxa" w:w="100"/>
              <w:bottom w:type="dxa" w:w="80"/>
              <w:right w:type="dxa" w:w="100"/>
            </w:tcMar>
          </w:tcPr>
          <w:p>
            <w:r>
              <w:rPr>
                <w:b/>
                <w:bCs/>
                <w:color w:val="FFFFFF"/>
                <w:sz w:val="18"/>
                <w:szCs w:val="18"/>
              </w:rPr>
              <w:t xml:space="preserve">Role / Definition</w:t>
            </w:r>
          </w:p>
        </w:tc>
        <w:tc>
          <w:tcPr>
            <w:tcW w:type="dxa" w:w="3800"/>
            <w:shd w:fill="00625E" w:val="clear"/>
            <w:tcMar>
              <w:top w:type="dxa" w:w="80"/>
              <w:left w:type="dxa" w:w="100"/>
              <w:bottom w:type="dxa" w:w="80"/>
              <w:right w:type="dxa" w:w="100"/>
            </w:tcMar>
          </w:tcPr>
          <w:p>
            <w:r>
              <w:rPr>
                <w:b/>
                <w:bCs/>
                <w:color w:val="FFFFFF"/>
                <w:sz w:val="18"/>
                <w:szCs w:val="18"/>
              </w:rPr>
              <w:t xml:space="preserve">How It Is Used in This Project</w:t>
            </w:r>
          </w:p>
        </w:tc>
      </w:tr>
      <w:tr>
        <w:tc>
          <w:tcPr>
            <w:tcW w:type="dxa" w:w="500"/>
            <w:tcMar>
              <w:top w:type="dxa" w:w="80"/>
              <w:left w:type="dxa" w:w="100"/>
              <w:bottom w:type="dxa" w:w="80"/>
              <w:right w:type="dxa" w:w="100"/>
            </w:tcMar>
          </w:tcPr>
          <w:p>
            <w:r>
              <w:rPr>
                <w:b w:val="false"/>
                <w:bCs w:val="false"/>
                <w:sz w:val="18"/>
                <w:szCs w:val="18"/>
              </w:rPr>
              <w:t xml:space="preserve">1</w:t>
            </w:r>
          </w:p>
        </w:tc>
        <w:tc>
          <w:tcPr>
            <w:tcW w:type="dxa" w:w="2200"/>
            <w:tcMar>
              <w:top w:type="dxa" w:w="80"/>
              <w:left w:type="dxa" w:w="100"/>
              <w:bottom w:type="dxa" w:w="80"/>
              <w:right w:type="dxa" w:w="100"/>
            </w:tcMar>
          </w:tcPr>
          <w:p>
            <w:r>
              <w:rPr>
                <w:b w:val="false"/>
                <w:bCs w:val="false"/>
                <w:sz w:val="18"/>
                <w:szCs w:val="18"/>
              </w:rPr>
              <w:t xml:space="preserve">Cost and Effort Estimation</w:t>
            </w:r>
          </w:p>
        </w:tc>
        <w:tc>
          <w:tcPr>
            <w:tcW w:type="dxa" w:w="3300"/>
            <w:tcMar>
              <w:top w:type="dxa" w:w="80"/>
              <w:left w:type="dxa" w:w="100"/>
              <w:bottom w:type="dxa" w:w="80"/>
              <w:right w:type="dxa" w:w="100"/>
            </w:tcMar>
          </w:tcPr>
          <w:p>
            <w:r>
              <w:rPr>
                <w:b w:val="false"/>
                <w:bCs w:val="false"/>
                <w:sz w:val="18"/>
                <w:szCs w:val="18"/>
              </w:rPr>
              <w:t xml:space="preserve">Predicting the manpower, time, and budget required to design, build, and deploy each module of the system.</w:t>
            </w:r>
          </w:p>
        </w:tc>
        <w:tc>
          <w:tcPr>
            <w:tcW w:type="dxa" w:w="3800"/>
            <w:tcMar>
              <w:top w:type="dxa" w:w="80"/>
              <w:left w:type="dxa" w:w="100"/>
              <w:bottom w:type="dxa" w:w="80"/>
              <w:right w:type="dxa" w:w="100"/>
            </w:tcMar>
          </w:tcPr>
          <w:p>
            <w:r>
              <w:rPr>
                <w:b w:val="false"/>
                <w:bCs w:val="false"/>
                <w:sz w:val="18"/>
                <w:szCs w:val="18"/>
              </w:rPr>
              <w:t xml:space="preserve">Applied at the planning stage using COCOMO II / Function Point Analysis to estimate effort for the Transaction Engine, AI Recommendation Engine, Dashboard and Security modules; used to plan sprint capacity and cloud/GPU budget for AI model training.</w:t>
            </w:r>
          </w:p>
        </w:tc>
      </w:tr>
      <w:tr>
        <w:tc>
          <w:tcPr>
            <w:tcW w:type="dxa" w:w="500"/>
            <w:shd w:fill="F2F5F3" w:val="clear"/>
            <w:tcMar>
              <w:top w:type="dxa" w:w="80"/>
              <w:left w:type="dxa" w:w="100"/>
              <w:bottom w:type="dxa" w:w="80"/>
              <w:right w:type="dxa" w:w="100"/>
            </w:tcMar>
          </w:tcPr>
          <w:p>
            <w:r>
              <w:rPr>
                <w:b w:val="false"/>
                <w:bCs w:val="false"/>
                <w:sz w:val="18"/>
                <w:szCs w:val="18"/>
              </w:rPr>
              <w:t xml:space="preserve">2</w:t>
            </w:r>
          </w:p>
        </w:tc>
        <w:tc>
          <w:tcPr>
            <w:tcW w:type="dxa" w:w="2200"/>
            <w:shd w:fill="F2F5F3" w:val="clear"/>
            <w:tcMar>
              <w:top w:type="dxa" w:w="80"/>
              <w:left w:type="dxa" w:w="100"/>
              <w:bottom w:type="dxa" w:w="80"/>
              <w:right w:type="dxa" w:w="100"/>
            </w:tcMar>
          </w:tcPr>
          <w:p>
            <w:r>
              <w:rPr>
                <w:b w:val="false"/>
                <w:bCs w:val="false"/>
                <w:sz w:val="18"/>
                <w:szCs w:val="18"/>
              </w:rPr>
              <w:t xml:space="preserve">Productivity Measures</w:t>
            </w:r>
          </w:p>
        </w:tc>
        <w:tc>
          <w:tcPr>
            <w:tcW w:type="dxa" w:w="3300"/>
            <w:shd w:fill="F2F5F3" w:val="clear"/>
            <w:tcMar>
              <w:top w:type="dxa" w:w="80"/>
              <w:left w:type="dxa" w:w="100"/>
              <w:bottom w:type="dxa" w:w="80"/>
              <w:right w:type="dxa" w:w="100"/>
            </w:tcMar>
          </w:tcPr>
          <w:p>
            <w:r>
              <w:rPr>
                <w:b w:val="false"/>
                <w:bCs w:val="false"/>
                <w:sz w:val="18"/>
                <w:szCs w:val="18"/>
              </w:rPr>
              <w:t xml:space="preserve">Quantifying the output rate of the development team relative to effort expended.</w:t>
            </w:r>
          </w:p>
        </w:tc>
        <w:tc>
          <w:tcPr>
            <w:tcW w:type="dxa" w:w="3800"/>
            <w:shd w:fill="F2F5F3" w:val="clear"/>
            <w:tcMar>
              <w:top w:type="dxa" w:w="80"/>
              <w:left w:type="dxa" w:w="100"/>
              <w:bottom w:type="dxa" w:w="80"/>
              <w:right w:type="dxa" w:w="100"/>
            </w:tcMar>
          </w:tcPr>
          <w:p>
            <w:r>
              <w:rPr>
                <w:b w:val="false"/>
                <w:bCs w:val="false"/>
                <w:sz w:val="18"/>
                <w:szCs w:val="18"/>
              </w:rPr>
              <w:t xml:space="preserve">Story points completed per sprint, function points delivered per person-month and lines-of-code per person-day are tracked across the Agile sprints that build the finance app, helping compare planned vs. actual velocity.</w:t>
            </w:r>
          </w:p>
        </w:tc>
      </w:tr>
      <w:tr>
        <w:tc>
          <w:tcPr>
            <w:tcW w:type="dxa" w:w="500"/>
            <w:tcMar>
              <w:top w:type="dxa" w:w="80"/>
              <w:left w:type="dxa" w:w="100"/>
              <w:bottom w:type="dxa" w:w="80"/>
              <w:right w:type="dxa" w:w="100"/>
            </w:tcMar>
          </w:tcPr>
          <w:p>
            <w:r>
              <w:rPr>
                <w:b w:val="false"/>
                <w:bCs w:val="false"/>
                <w:sz w:val="18"/>
                <w:szCs w:val="18"/>
              </w:rPr>
              <w:t xml:space="preserve">3</w:t>
            </w:r>
          </w:p>
        </w:tc>
        <w:tc>
          <w:tcPr>
            <w:tcW w:type="dxa" w:w="2200"/>
            <w:tcMar>
              <w:top w:type="dxa" w:w="80"/>
              <w:left w:type="dxa" w:w="100"/>
              <w:bottom w:type="dxa" w:w="80"/>
              <w:right w:type="dxa" w:w="100"/>
            </w:tcMar>
          </w:tcPr>
          <w:p>
            <w:r>
              <w:rPr>
                <w:b w:val="false"/>
                <w:bCs w:val="false"/>
                <w:sz w:val="18"/>
                <w:szCs w:val="18"/>
              </w:rPr>
              <w:t xml:space="preserve">Data Collection</w:t>
            </w:r>
          </w:p>
        </w:tc>
        <w:tc>
          <w:tcPr>
            <w:tcW w:type="dxa" w:w="3300"/>
            <w:tcMar>
              <w:top w:type="dxa" w:w="80"/>
              <w:left w:type="dxa" w:w="100"/>
              <w:bottom w:type="dxa" w:w="80"/>
              <w:right w:type="dxa" w:w="100"/>
            </w:tcMar>
          </w:tcPr>
          <w:p>
            <w:r>
              <w:rPr>
                <w:b w:val="false"/>
                <w:bCs w:val="false"/>
                <w:sz w:val="18"/>
                <w:szCs w:val="18"/>
              </w:rPr>
              <w:t xml:space="preserve">Establishing the infrastructure, tools and procedures to gather raw metric data throughout the lifecycle.</w:t>
            </w:r>
          </w:p>
        </w:tc>
        <w:tc>
          <w:tcPr>
            <w:tcW w:type="dxa" w:w="3800"/>
            <w:tcMar>
              <w:top w:type="dxa" w:w="80"/>
              <w:left w:type="dxa" w:w="100"/>
              <w:bottom w:type="dxa" w:w="80"/>
              <w:right w:type="dxa" w:w="100"/>
            </w:tcMar>
          </w:tcPr>
          <w:p>
            <w:r>
              <w:rPr>
                <w:b w:val="false"/>
                <w:bCs w:val="false"/>
                <w:sz w:val="18"/>
                <w:szCs w:val="18"/>
              </w:rPr>
              <w:t xml:space="preserve">Git/JIRA logs, CI/CD pipeline results, static-analysis output, application/server logs and ML training logs are collected automatically to feed every other metrics scope, especially the chosen Quality Models and Measures scope.</w:t>
            </w:r>
          </w:p>
        </w:tc>
      </w:tr>
      <w:tr>
        <w:tc>
          <w:tcPr>
            <w:tcW w:type="dxa" w:w="500"/>
            <w:shd w:fill="F2F5F3" w:val="clear"/>
            <w:tcMar>
              <w:top w:type="dxa" w:w="80"/>
              <w:left w:type="dxa" w:w="100"/>
              <w:bottom w:type="dxa" w:w="80"/>
              <w:right w:type="dxa" w:w="100"/>
            </w:tcMar>
          </w:tcPr>
          <w:p>
            <w:r>
              <w:rPr>
                <w:b w:val="false"/>
                <w:bCs w:val="false"/>
                <w:sz w:val="18"/>
                <w:szCs w:val="18"/>
              </w:rPr>
              <w:t xml:space="preserve">4</w:t>
            </w:r>
          </w:p>
        </w:tc>
        <w:tc>
          <w:tcPr>
            <w:tcW w:type="dxa" w:w="2200"/>
            <w:shd w:fill="F2F5F3" w:val="clear"/>
            <w:tcMar>
              <w:top w:type="dxa" w:w="80"/>
              <w:left w:type="dxa" w:w="100"/>
              <w:bottom w:type="dxa" w:w="80"/>
              <w:right w:type="dxa" w:w="100"/>
            </w:tcMar>
          </w:tcPr>
          <w:p>
            <w:r>
              <w:rPr>
                <w:b w:val="false"/>
                <w:bCs w:val="false"/>
                <w:sz w:val="18"/>
                <w:szCs w:val="18"/>
              </w:rPr>
              <w:t xml:space="preserve">Quality Models and Measures</w:t>
            </w:r>
          </w:p>
        </w:tc>
        <w:tc>
          <w:tcPr>
            <w:tcW w:type="dxa" w:w="3300"/>
            <w:shd w:fill="F2F5F3" w:val="clear"/>
            <w:tcMar>
              <w:top w:type="dxa" w:w="80"/>
              <w:left w:type="dxa" w:w="100"/>
              <w:bottom w:type="dxa" w:w="80"/>
              <w:right w:type="dxa" w:w="100"/>
            </w:tcMar>
          </w:tcPr>
          <w:p>
            <w:r>
              <w:rPr>
                <w:b w:val="false"/>
                <w:bCs w:val="false"/>
                <w:sz w:val="18"/>
                <w:szCs w:val="18"/>
              </w:rPr>
              <w:t xml:space="preserve">Defining quality attributes (correctness, reliability, security, usability, maintainability) and quality models (e.g., ISO/IEC 25010) used to evaluate the product.</w:t>
            </w:r>
          </w:p>
        </w:tc>
        <w:tc>
          <w:tcPr>
            <w:tcW w:type="dxa" w:w="3800"/>
            <w:shd w:fill="F2F5F3" w:val="clear"/>
            <w:tcMar>
              <w:top w:type="dxa" w:w="80"/>
              <w:left w:type="dxa" w:w="100"/>
              <w:bottom w:type="dxa" w:w="80"/>
              <w:right w:type="dxa" w:w="100"/>
            </w:tcMar>
          </w:tcPr>
          <w:p>
            <w:r>
              <w:rPr>
                <w:b w:val="false"/>
                <w:bCs w:val="false"/>
                <w:sz w:val="18"/>
                <w:szCs w:val="18"/>
              </w:rPr>
              <w:t xml:space="preserve">SELECTED SCOPE — used to evaluate AI-prediction accuracy, data-security posture, usability of the finance dashboard and defect-free transaction processing (elaborated fully in Module 2).</w:t>
            </w:r>
          </w:p>
        </w:tc>
      </w:tr>
      <w:tr>
        <w:tc>
          <w:tcPr>
            <w:tcW w:type="dxa" w:w="500"/>
            <w:tcMar>
              <w:top w:type="dxa" w:w="80"/>
              <w:left w:type="dxa" w:w="100"/>
              <w:bottom w:type="dxa" w:w="80"/>
              <w:right w:type="dxa" w:w="100"/>
            </w:tcMar>
          </w:tcPr>
          <w:p>
            <w:r>
              <w:rPr>
                <w:b w:val="false"/>
                <w:bCs w:val="false"/>
                <w:sz w:val="18"/>
                <w:szCs w:val="18"/>
              </w:rPr>
              <w:t xml:space="preserve">5</w:t>
            </w:r>
          </w:p>
        </w:tc>
        <w:tc>
          <w:tcPr>
            <w:tcW w:type="dxa" w:w="2200"/>
            <w:tcMar>
              <w:top w:type="dxa" w:w="80"/>
              <w:left w:type="dxa" w:w="100"/>
              <w:bottom w:type="dxa" w:w="80"/>
              <w:right w:type="dxa" w:w="100"/>
            </w:tcMar>
          </w:tcPr>
          <w:p>
            <w:r>
              <w:rPr>
                <w:b w:val="false"/>
                <w:bCs w:val="false"/>
                <w:sz w:val="18"/>
                <w:szCs w:val="18"/>
              </w:rPr>
              <w:t xml:space="preserve">Reliability Models</w:t>
            </w:r>
          </w:p>
        </w:tc>
        <w:tc>
          <w:tcPr>
            <w:tcW w:type="dxa" w:w="3300"/>
            <w:tcMar>
              <w:top w:type="dxa" w:w="80"/>
              <w:left w:type="dxa" w:w="100"/>
              <w:bottom w:type="dxa" w:w="80"/>
              <w:right w:type="dxa" w:w="100"/>
            </w:tcMar>
          </w:tcPr>
          <w:p>
            <w:r>
              <w:rPr>
                <w:b w:val="false"/>
                <w:bCs w:val="false"/>
                <w:sz w:val="18"/>
                <w:szCs w:val="18"/>
              </w:rPr>
              <w:t xml:space="preserve">Modeling and predicting failure occurrence and system dependability over time.</w:t>
            </w:r>
          </w:p>
        </w:tc>
        <w:tc>
          <w:tcPr>
            <w:tcW w:type="dxa" w:w="3800"/>
            <w:tcMar>
              <w:top w:type="dxa" w:w="80"/>
              <w:left w:type="dxa" w:w="100"/>
              <w:bottom w:type="dxa" w:w="80"/>
              <w:right w:type="dxa" w:w="100"/>
            </w:tcMar>
          </w:tcPr>
          <w:p>
            <w:r>
              <w:rPr>
                <w:b w:val="false"/>
                <w:bCs w:val="false"/>
                <w:sz w:val="18"/>
                <w:szCs w:val="18"/>
              </w:rPr>
              <w:t xml:space="preserve">Software Reliability Growth Models (e.g., Musa's model) and MTBF/MTTR statistics are applied to the transaction-processing and authentication services to guarantee banking-grade uptime for fund transfers and bill payments.</w:t>
            </w:r>
          </w:p>
        </w:tc>
      </w:tr>
      <w:tr>
        <w:tc>
          <w:tcPr>
            <w:tcW w:type="dxa" w:w="500"/>
            <w:shd w:fill="F2F5F3" w:val="clear"/>
            <w:tcMar>
              <w:top w:type="dxa" w:w="80"/>
              <w:left w:type="dxa" w:w="100"/>
              <w:bottom w:type="dxa" w:w="80"/>
              <w:right w:type="dxa" w:w="100"/>
            </w:tcMar>
          </w:tcPr>
          <w:p>
            <w:r>
              <w:rPr>
                <w:b w:val="false"/>
                <w:bCs w:val="false"/>
                <w:sz w:val="18"/>
                <w:szCs w:val="18"/>
              </w:rPr>
              <w:t xml:space="preserve">6</w:t>
            </w:r>
          </w:p>
        </w:tc>
        <w:tc>
          <w:tcPr>
            <w:tcW w:type="dxa" w:w="2200"/>
            <w:shd w:fill="F2F5F3" w:val="clear"/>
            <w:tcMar>
              <w:top w:type="dxa" w:w="80"/>
              <w:left w:type="dxa" w:w="100"/>
              <w:bottom w:type="dxa" w:w="80"/>
              <w:right w:type="dxa" w:w="100"/>
            </w:tcMar>
          </w:tcPr>
          <w:p>
            <w:r>
              <w:rPr>
                <w:b w:val="false"/>
                <w:bCs w:val="false"/>
                <w:sz w:val="18"/>
                <w:szCs w:val="18"/>
              </w:rPr>
              <w:t xml:space="preserve">Performance Evaluation and Models</w:t>
            </w:r>
          </w:p>
        </w:tc>
        <w:tc>
          <w:tcPr>
            <w:tcW w:type="dxa" w:w="3300"/>
            <w:shd w:fill="F2F5F3" w:val="clear"/>
            <w:tcMar>
              <w:top w:type="dxa" w:w="80"/>
              <w:left w:type="dxa" w:w="100"/>
              <w:bottom w:type="dxa" w:w="80"/>
              <w:right w:type="dxa" w:w="100"/>
            </w:tcMar>
          </w:tcPr>
          <w:p>
            <w:r>
              <w:rPr>
                <w:b w:val="false"/>
                <w:bCs w:val="false"/>
                <w:sz w:val="18"/>
                <w:szCs w:val="18"/>
              </w:rPr>
              <w:t xml:space="preserve">Measuring throughput, latency, and resource utilization of the running system.</w:t>
            </w:r>
          </w:p>
        </w:tc>
        <w:tc>
          <w:tcPr>
            <w:tcW w:type="dxa" w:w="3800"/>
            <w:shd w:fill="F2F5F3" w:val="clear"/>
            <w:tcMar>
              <w:top w:type="dxa" w:w="80"/>
              <w:left w:type="dxa" w:w="100"/>
              <w:bottom w:type="dxa" w:w="80"/>
              <w:right w:type="dxa" w:w="100"/>
            </w:tcMar>
          </w:tcPr>
          <w:p>
            <w:r>
              <w:rPr>
                <w:b w:val="false"/>
                <w:bCs w:val="false"/>
                <w:sz w:val="18"/>
                <w:szCs w:val="18"/>
              </w:rPr>
              <w:t xml:space="preserve">Load-testing of REST APIs, database query response time, and AI-model inference latency are measured under concurrent user load to ensure the recommendation engine responds within acceptable SLAs during peak usage.</w:t>
            </w:r>
          </w:p>
        </w:tc>
      </w:tr>
      <w:tr>
        <w:tc>
          <w:tcPr>
            <w:tcW w:type="dxa" w:w="500"/>
            <w:tcMar>
              <w:top w:type="dxa" w:w="80"/>
              <w:left w:type="dxa" w:w="100"/>
              <w:bottom w:type="dxa" w:w="80"/>
              <w:right w:type="dxa" w:w="100"/>
            </w:tcMar>
          </w:tcPr>
          <w:p>
            <w:r>
              <w:rPr>
                <w:b w:val="false"/>
                <w:bCs w:val="false"/>
                <w:sz w:val="18"/>
                <w:szCs w:val="18"/>
              </w:rPr>
              <w:t xml:space="preserve">7</w:t>
            </w:r>
          </w:p>
        </w:tc>
        <w:tc>
          <w:tcPr>
            <w:tcW w:type="dxa" w:w="2200"/>
            <w:tcMar>
              <w:top w:type="dxa" w:w="80"/>
              <w:left w:type="dxa" w:w="100"/>
              <w:bottom w:type="dxa" w:w="80"/>
              <w:right w:type="dxa" w:w="100"/>
            </w:tcMar>
          </w:tcPr>
          <w:p>
            <w:r>
              <w:rPr>
                <w:b w:val="false"/>
                <w:bCs w:val="false"/>
                <w:sz w:val="18"/>
                <w:szCs w:val="18"/>
              </w:rPr>
              <w:t xml:space="preserve">Structural and Complexity Metrics</w:t>
            </w:r>
          </w:p>
        </w:tc>
        <w:tc>
          <w:tcPr>
            <w:tcW w:type="dxa" w:w="3300"/>
            <w:tcMar>
              <w:top w:type="dxa" w:w="80"/>
              <w:left w:type="dxa" w:w="100"/>
              <w:bottom w:type="dxa" w:w="80"/>
              <w:right w:type="dxa" w:w="100"/>
            </w:tcMar>
          </w:tcPr>
          <w:p>
            <w:r>
              <w:rPr>
                <w:b w:val="false"/>
                <w:bCs w:val="false"/>
                <w:sz w:val="18"/>
                <w:szCs w:val="18"/>
              </w:rPr>
              <w:t xml:space="preserve">Quantifying internal code structure such as size, coupling, cohesion and control-flow complexity.</w:t>
            </w:r>
          </w:p>
        </w:tc>
        <w:tc>
          <w:tcPr>
            <w:tcW w:type="dxa" w:w="3800"/>
            <w:tcMar>
              <w:top w:type="dxa" w:w="80"/>
              <w:left w:type="dxa" w:w="100"/>
              <w:bottom w:type="dxa" w:w="80"/>
              <w:right w:type="dxa" w:w="100"/>
            </w:tcMar>
          </w:tcPr>
          <w:p>
            <w:r>
              <w:rPr>
                <w:b w:val="false"/>
                <w:bCs w:val="false"/>
                <w:sz w:val="18"/>
                <w:szCs w:val="18"/>
              </w:rPr>
              <w:t xml:space="preserve">Cyclomatic Complexity, Halstead metrics, coupling/cohesion (CBO, LCOM) are measured on the AI-engine and transaction-service source code to flag modules that need refactoring before release (implemented in Module 3's Decision Tree / Correlation analysis).</w:t>
            </w:r>
          </w:p>
        </w:tc>
      </w:tr>
      <w:tr>
        <w:tc>
          <w:tcPr>
            <w:tcW w:type="dxa" w:w="500"/>
            <w:shd w:fill="F2F5F3" w:val="clear"/>
            <w:tcMar>
              <w:top w:type="dxa" w:w="80"/>
              <w:left w:type="dxa" w:w="100"/>
              <w:bottom w:type="dxa" w:w="80"/>
              <w:right w:type="dxa" w:w="100"/>
            </w:tcMar>
          </w:tcPr>
          <w:p>
            <w:r>
              <w:rPr>
                <w:b w:val="false"/>
                <w:bCs w:val="false"/>
                <w:sz w:val="18"/>
                <w:szCs w:val="18"/>
              </w:rPr>
              <w:t xml:space="preserve">8</w:t>
            </w:r>
          </w:p>
        </w:tc>
        <w:tc>
          <w:tcPr>
            <w:tcW w:type="dxa" w:w="2200"/>
            <w:shd w:fill="F2F5F3" w:val="clear"/>
            <w:tcMar>
              <w:top w:type="dxa" w:w="80"/>
              <w:left w:type="dxa" w:w="100"/>
              <w:bottom w:type="dxa" w:w="80"/>
              <w:right w:type="dxa" w:w="100"/>
            </w:tcMar>
          </w:tcPr>
          <w:p>
            <w:r>
              <w:rPr>
                <w:b w:val="false"/>
                <w:bCs w:val="false"/>
                <w:sz w:val="18"/>
                <w:szCs w:val="18"/>
              </w:rPr>
              <w:t xml:space="preserve">Capability-Maturity Assessment</w:t>
            </w:r>
          </w:p>
        </w:tc>
        <w:tc>
          <w:tcPr>
            <w:tcW w:type="dxa" w:w="3300"/>
            <w:shd w:fill="F2F5F3" w:val="clear"/>
            <w:tcMar>
              <w:top w:type="dxa" w:w="80"/>
              <w:left w:type="dxa" w:w="100"/>
              <w:bottom w:type="dxa" w:w="80"/>
              <w:right w:type="dxa" w:w="100"/>
            </w:tcMar>
          </w:tcPr>
          <w:p>
            <w:r>
              <w:rPr>
                <w:b w:val="false"/>
                <w:bCs w:val="false"/>
                <w:sz w:val="18"/>
                <w:szCs w:val="18"/>
              </w:rPr>
              <w:t xml:space="preserve">Assessing the maturity of the organization's/team's software processes.</w:t>
            </w:r>
          </w:p>
        </w:tc>
        <w:tc>
          <w:tcPr>
            <w:tcW w:type="dxa" w:w="3800"/>
            <w:shd w:fill="F2F5F3" w:val="clear"/>
            <w:tcMar>
              <w:top w:type="dxa" w:w="80"/>
              <w:left w:type="dxa" w:w="100"/>
              <w:bottom w:type="dxa" w:w="80"/>
              <w:right w:type="dxa" w:w="100"/>
            </w:tcMar>
          </w:tcPr>
          <w:p>
            <w:r>
              <w:rPr>
                <w:b w:val="false"/>
                <w:bCs w:val="false"/>
                <w:sz w:val="18"/>
                <w:szCs w:val="18"/>
              </w:rPr>
              <w:t xml:space="preserve">The development team's process maturity is benchmarked against CMMI levels to ensure disciplined, repeatable engineering practices, important for regulatory audit-readiness in a fintech product.</w:t>
            </w:r>
          </w:p>
        </w:tc>
      </w:tr>
      <w:tr>
        <w:tc>
          <w:tcPr>
            <w:tcW w:type="dxa" w:w="500"/>
            <w:tcMar>
              <w:top w:type="dxa" w:w="80"/>
              <w:left w:type="dxa" w:w="100"/>
              <w:bottom w:type="dxa" w:w="80"/>
              <w:right w:type="dxa" w:w="100"/>
            </w:tcMar>
          </w:tcPr>
          <w:p>
            <w:r>
              <w:rPr>
                <w:b w:val="false"/>
                <w:bCs w:val="false"/>
                <w:sz w:val="18"/>
                <w:szCs w:val="18"/>
              </w:rPr>
              <w:t xml:space="preserve">9</w:t>
            </w:r>
          </w:p>
        </w:tc>
        <w:tc>
          <w:tcPr>
            <w:tcW w:type="dxa" w:w="2200"/>
            <w:tcMar>
              <w:top w:type="dxa" w:w="80"/>
              <w:left w:type="dxa" w:w="100"/>
              <w:bottom w:type="dxa" w:w="80"/>
              <w:right w:type="dxa" w:w="100"/>
            </w:tcMar>
          </w:tcPr>
          <w:p>
            <w:r>
              <w:rPr>
                <w:b w:val="false"/>
                <w:bCs w:val="false"/>
                <w:sz w:val="18"/>
                <w:szCs w:val="18"/>
              </w:rPr>
              <w:t xml:space="preserve">Management by Metrics</w:t>
            </w:r>
          </w:p>
        </w:tc>
        <w:tc>
          <w:tcPr>
            <w:tcW w:type="dxa" w:w="3300"/>
            <w:tcMar>
              <w:top w:type="dxa" w:w="80"/>
              <w:left w:type="dxa" w:w="100"/>
              <w:bottom w:type="dxa" w:w="80"/>
              <w:right w:type="dxa" w:w="100"/>
            </w:tcMar>
          </w:tcPr>
          <w:p>
            <w:r>
              <w:rPr>
                <w:b w:val="false"/>
                <w:bCs w:val="false"/>
                <w:sz w:val="18"/>
                <w:szCs w:val="18"/>
              </w:rPr>
              <w:t xml:space="preserve">Using quantitative indicators/KPIs as the basis for managerial decision-making.</w:t>
            </w:r>
          </w:p>
        </w:tc>
        <w:tc>
          <w:tcPr>
            <w:tcW w:type="dxa" w:w="3800"/>
            <w:tcMar>
              <w:top w:type="dxa" w:w="80"/>
              <w:left w:type="dxa" w:w="100"/>
              <w:bottom w:type="dxa" w:w="80"/>
              <w:right w:type="dxa" w:w="100"/>
            </w:tcMar>
          </w:tcPr>
          <w:p>
            <w:r>
              <w:rPr>
                <w:b w:val="false"/>
                <w:bCs w:val="false"/>
                <w:sz w:val="18"/>
                <w:szCs w:val="18"/>
              </w:rPr>
              <w:t xml:space="preserve">Sprint burndown, defect density, customer satisfaction (CSAT) and ROI dashboards are reviewed by product leadership to decide feature prioritization, release readiness and resourcing for AI model retraining.</w:t>
            </w:r>
          </w:p>
        </w:tc>
      </w:tr>
      <w:tr>
        <w:tc>
          <w:tcPr>
            <w:tcW w:type="dxa" w:w="500"/>
            <w:shd w:fill="F2F5F3" w:val="clear"/>
            <w:tcMar>
              <w:top w:type="dxa" w:w="80"/>
              <w:left w:type="dxa" w:w="100"/>
              <w:bottom w:type="dxa" w:w="80"/>
              <w:right w:type="dxa" w:w="100"/>
            </w:tcMar>
          </w:tcPr>
          <w:p>
            <w:r>
              <w:rPr>
                <w:b w:val="false"/>
                <w:bCs w:val="false"/>
                <w:sz w:val="18"/>
                <w:szCs w:val="18"/>
              </w:rPr>
              <w:t xml:space="preserve">10</w:t>
            </w:r>
          </w:p>
        </w:tc>
        <w:tc>
          <w:tcPr>
            <w:tcW w:type="dxa" w:w="2200"/>
            <w:shd w:fill="F2F5F3" w:val="clear"/>
            <w:tcMar>
              <w:top w:type="dxa" w:w="80"/>
              <w:left w:type="dxa" w:w="100"/>
              <w:bottom w:type="dxa" w:w="80"/>
              <w:right w:type="dxa" w:w="100"/>
            </w:tcMar>
          </w:tcPr>
          <w:p>
            <w:r>
              <w:rPr>
                <w:b w:val="false"/>
                <w:bCs w:val="false"/>
                <w:sz w:val="18"/>
                <w:szCs w:val="18"/>
              </w:rPr>
              <w:t xml:space="preserve">Evaluation of Methods and Tools</w:t>
            </w:r>
          </w:p>
        </w:tc>
        <w:tc>
          <w:tcPr>
            <w:tcW w:type="dxa" w:w="3300"/>
            <w:shd w:fill="F2F5F3" w:val="clear"/>
            <w:tcMar>
              <w:top w:type="dxa" w:w="80"/>
              <w:left w:type="dxa" w:w="100"/>
              <w:bottom w:type="dxa" w:w="80"/>
              <w:right w:type="dxa" w:w="100"/>
            </w:tcMar>
          </w:tcPr>
          <w:p>
            <w:r>
              <w:rPr>
                <w:b w:val="false"/>
                <w:bCs w:val="false"/>
                <w:sz w:val="18"/>
                <w:szCs w:val="18"/>
              </w:rPr>
              <w:t xml:space="preserve">Comparing development methodologies, frameworks, and tools using objective metrics.</w:t>
            </w:r>
          </w:p>
        </w:tc>
        <w:tc>
          <w:tcPr>
            <w:tcW w:type="dxa" w:w="3800"/>
            <w:shd w:fill="F2F5F3" w:val="clear"/>
            <w:tcMar>
              <w:top w:type="dxa" w:w="80"/>
              <w:left w:type="dxa" w:w="100"/>
              <w:bottom w:type="dxa" w:w="80"/>
              <w:right w:type="dxa" w:w="100"/>
            </w:tcMar>
          </w:tcPr>
          <w:p>
            <w:r>
              <w:rPr>
                <w:b w:val="false"/>
                <w:bCs w:val="false"/>
                <w:sz w:val="18"/>
                <w:szCs w:val="18"/>
              </w:rPr>
              <w:t xml:space="preserve">Agile vs. Waterfall, TensorFlow vs. PyTorch, and competing CI/CD/testing tools are compared using metrics such as defect-leakage rate and time-to-market before being adopted.</w:t>
            </w:r>
          </w:p>
        </w:tc>
      </w:tr>
    </w:tbl>
    <w:p>
      <w:pPr>
        <w:pStyle w:val="Heading2"/>
        <w:spacing w:after="120" w:before="280"/>
      </w:pPr>
      <w:r>
        <w:t xml:space="preserve">Chosen Scope</w:t>
      </w:r>
    </w:p>
    <w:p>
      <w:pPr>
        <w:spacing w:after="140"/>
      </w:pPr>
      <w:r>
        <w:t xml:space="preserve">Of the ten scopes above, this report selects Quality Models and Measures for deep analysis. This scope is chosen because the central value proposition of the system — trustworthy AI-driven financial guidance operating on sensitive personal data — is fundamentally a quality problem. Correctness of transaction processing, accuracy and reliability of AI predictions, security/privacy of financial data, and usability of the interface are the attributes on which users will judge, adopt, or abandon the product.</w:t>
      </w:r>
    </w:p>
    <w:p>
      <w:r>
        <w:br w:type="page"/>
      </w:r>
    </w:p>
    <w:p>
      <w:pPr>
        <w:pStyle w:val="Heading1"/>
        <w:spacing w:after="120" w:before="280"/>
      </w:pPr>
      <w:r>
        <w:t xml:space="preserve">3. Module 2 — Quality Models and Measures</w:t>
      </w:r>
    </w:p>
    <w:p>
      <w:pPr>
        <w:spacing w:after="140"/>
      </w:pPr>
      <w:r>
        <w:t xml:space="preserve">Quality Models and Measures is the branch of software metrics concerned with defining what “good quality software” means for a given product and operationalizing that definition into concrete, collectible measures. The quality model is adapted from ISO/IEC 25010 and instantiated with four measurement sub-goals, each developed using the ten-step GQ(I)M method (Park, Goethert &amp; Florac, Software Engineering Institute).</w:t>
      </w:r>
    </w:p>
    <w:p>
      <w:pPr>
        <w:pStyle w:val="Heading2"/>
        <w:spacing w:after="120" w:before="280"/>
      </w:pPr>
      <w:r>
        <w:t xml:space="preserve">Sub-Goal 1 — Accuracy and Reliability of AI-Driven Financial Predictions</w:t>
      </w:r>
    </w:p>
    <w:p>
      <w:pPr>
        <w:spacing w:after="140"/>
      </w:pPr>
      <w:r>
        <w:t xml:space="preserve">Enhance user trust and financial decision-making by delivering highly accurate, AI-driven expense predictions, budget forecasts and personalized financial recommendations.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600"/>
        <w:gridCol w:w="6600"/>
      </w:tblGrid>
      <w:tr>
        <w:trPr>
          <w:tblHeader/>
        </w:trPr>
        <w:tc>
          <w:tcPr>
            <w:tcW w:type="dxa" w:w="1600"/>
            <w:shd w:fill="00625E" w:val="clear"/>
            <w:tcMar>
              <w:top w:type="dxa" w:w="80"/>
              <w:left w:type="dxa" w:w="100"/>
              <w:bottom w:type="dxa" w:w="80"/>
              <w:right w:type="dxa" w:w="100"/>
            </w:tcMar>
          </w:tcPr>
          <w:p>
            <w:r>
              <w:rPr>
                <w:b/>
                <w:bCs/>
                <w:color w:val="FFFFFF"/>
                <w:sz w:val="18"/>
                <w:szCs w:val="18"/>
              </w:rPr>
              <w:t xml:space="preserve">Step</w:t>
            </w:r>
          </w:p>
        </w:tc>
        <w:tc>
          <w:tcPr>
            <w:tcW w:type="dxa" w:w="6600"/>
            <w:shd w:fill="00625E" w:val="clear"/>
            <w:tcMar>
              <w:top w:type="dxa" w:w="80"/>
              <w:left w:type="dxa" w:w="100"/>
              <w:bottom w:type="dxa" w:w="80"/>
              <w:right w:type="dxa" w:w="100"/>
            </w:tcMar>
          </w:tcPr>
          <w:p>
            <w:r>
              <w:rPr>
                <w:b/>
                <w:bCs/>
                <w:color w:val="FFFFFF"/>
                <w:sz w:val="18"/>
                <w:szCs w:val="18"/>
              </w:rPr>
              <w:t xml:space="preserve">Detail</w:t>
            </w:r>
          </w:p>
        </w:tc>
      </w:tr>
      <w:tr>
        <w:tc>
          <w:tcPr>
            <w:tcW w:type="dxa" w:w="1600"/>
            <w:tcMar>
              <w:top w:type="dxa" w:w="80"/>
              <w:left w:type="dxa" w:w="100"/>
              <w:bottom w:type="dxa" w:w="80"/>
              <w:right w:type="dxa" w:w="100"/>
            </w:tcMar>
          </w:tcPr>
          <w:p>
            <w:r>
              <w:rPr>
                <w:b w:val="false"/>
                <w:bCs w:val="false"/>
                <w:sz w:val="18"/>
                <w:szCs w:val="18"/>
              </w:rPr>
              <w:t xml:space="preserve">Indicators</w:t>
            </w:r>
          </w:p>
        </w:tc>
        <w:tc>
          <w:tcPr>
            <w:tcW w:type="dxa" w:w="6600"/>
            <w:tcMar>
              <w:top w:type="dxa" w:w="80"/>
              <w:left w:type="dxa" w:w="100"/>
              <w:bottom w:type="dxa" w:w="80"/>
              <w:right w:type="dxa" w:w="100"/>
            </w:tcMar>
          </w:tcPr>
          <w:p>
            <w:r>
              <w:rPr>
                <w:b w:val="false"/>
                <w:bCs w:val="false"/>
                <w:sz w:val="18"/>
                <w:szCs w:val="18"/>
              </w:rPr>
              <w:t xml:space="preserve">MAPE trend chart over time; Recommendation Acceptance Rate (%) dashboard gauge; Model-Drift alert indicator flagging when current MAPE exceeds the training-time baseline by a set margin.</w:t>
            </w:r>
          </w:p>
        </w:tc>
      </w:tr>
      <w:tr>
        <w:tc>
          <w:tcPr>
            <w:tcW w:type="dxa" w:w="1600"/>
            <w:shd w:fill="F2F5F3" w:val="clear"/>
            <w:tcMar>
              <w:top w:type="dxa" w:w="80"/>
              <w:left w:type="dxa" w:w="100"/>
              <w:bottom w:type="dxa" w:w="80"/>
              <w:right w:type="dxa" w:w="100"/>
            </w:tcMar>
          </w:tcPr>
          <w:p>
            <w:r>
              <w:rPr>
                <w:b w:val="false"/>
                <w:bCs w:val="false"/>
                <w:sz w:val="18"/>
                <w:szCs w:val="18"/>
              </w:rPr>
              <w:t xml:space="preserve">Measures</w:t>
            </w:r>
          </w:p>
        </w:tc>
        <w:tc>
          <w:tcPr>
            <w:tcW w:type="dxa" w:w="6600"/>
            <w:shd w:fill="F2F5F3" w:val="clear"/>
            <w:tcMar>
              <w:top w:type="dxa" w:w="80"/>
              <w:left w:type="dxa" w:w="100"/>
              <w:bottom w:type="dxa" w:w="80"/>
              <w:right w:type="dxa" w:w="100"/>
            </w:tcMar>
          </w:tcPr>
          <w:p>
            <w:r>
              <w:rPr>
                <w:b w:val="false"/>
                <w:bCs w:val="false"/>
                <w:sz w:val="18"/>
                <w:szCs w:val="18"/>
              </w:rPr>
              <w:t xml:space="preserve">MAPE = (1/n) Σ |Actual − Predicted| / Actual × 100; Recommendation Acceptance Rate = (Accepted / Total Shown) × 100; Drift Score = Current-Period MAPE − Baseline MAPE.</w:t>
            </w:r>
          </w:p>
        </w:tc>
      </w:tr>
    </w:tbl>
    <w:p>
      <w:pPr>
        <w:spacing w:after="220"/>
      </w:pPr>
      <w:r>
        <w:rPr>
          <w:b/>
          <w:bCs/>
          <w:sz w:val="19"/>
          <w:szCs w:val="19"/>
        </w:rPr>
        <w:t xml:space="preserve">Traced to implementation: </w:t>
      </w:r>
      <w:r>
        <w:rPr>
          <w:color w:val="4C5B55"/>
          <w:sz w:val="19"/>
          <w:szCs w:val="19"/>
        </w:rPr>
        <w:t xml:space="preserve">Implemented live: server/lib/ai.js forecasts each category by linear regression; every AI Insights recommendation carries an Accept/Dismiss action that POSTs to /api/insights/recommendations/:id/action — the exact Recommendation-Acceptance-Rate event this sub-goal specifies.</w:t>
      </w:r>
    </w:p>
    <w:p>
      <w:pPr>
        <w:pStyle w:val="Heading2"/>
        <w:spacing w:after="120" w:before="280"/>
      </w:pPr>
      <w:r>
        <w:t xml:space="preserve">Sub-Goal 2 — Data Security and Privacy of User Financial Information</w:t>
      </w:r>
    </w:p>
    <w:p>
      <w:pPr>
        <w:spacing w:after="140"/>
      </w:pPr>
      <w:r>
        <w:t xml:space="preserve">Protect users' sensitive financial and personal data to comply with regulations (GDPR, PCI-DSS) and preserve user trust in the platform.</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600"/>
        <w:gridCol w:w="6600"/>
      </w:tblGrid>
      <w:tr>
        <w:trPr>
          <w:tblHeader/>
        </w:trPr>
        <w:tc>
          <w:tcPr>
            <w:tcW w:type="dxa" w:w="1600"/>
            <w:shd w:fill="00625E" w:val="clear"/>
            <w:tcMar>
              <w:top w:type="dxa" w:w="80"/>
              <w:left w:type="dxa" w:w="100"/>
              <w:bottom w:type="dxa" w:w="80"/>
              <w:right w:type="dxa" w:w="100"/>
            </w:tcMar>
          </w:tcPr>
          <w:p>
            <w:r>
              <w:rPr>
                <w:b/>
                <w:bCs/>
                <w:color w:val="FFFFFF"/>
                <w:sz w:val="18"/>
                <w:szCs w:val="18"/>
              </w:rPr>
              <w:t xml:space="preserve">Step</w:t>
            </w:r>
          </w:p>
        </w:tc>
        <w:tc>
          <w:tcPr>
            <w:tcW w:type="dxa" w:w="6600"/>
            <w:shd w:fill="00625E" w:val="clear"/>
            <w:tcMar>
              <w:top w:type="dxa" w:w="80"/>
              <w:left w:type="dxa" w:w="100"/>
              <w:bottom w:type="dxa" w:w="80"/>
              <w:right w:type="dxa" w:w="100"/>
            </w:tcMar>
          </w:tcPr>
          <w:p>
            <w:r>
              <w:rPr>
                <w:b/>
                <w:bCs/>
                <w:color w:val="FFFFFF"/>
                <w:sz w:val="18"/>
                <w:szCs w:val="18"/>
              </w:rPr>
              <w:t xml:space="preserve">Detail</w:t>
            </w:r>
          </w:p>
        </w:tc>
      </w:tr>
      <w:tr>
        <w:tc>
          <w:tcPr>
            <w:tcW w:type="dxa" w:w="1600"/>
            <w:tcMar>
              <w:top w:type="dxa" w:w="80"/>
              <w:left w:type="dxa" w:w="100"/>
              <w:bottom w:type="dxa" w:w="80"/>
              <w:right w:type="dxa" w:w="100"/>
            </w:tcMar>
          </w:tcPr>
          <w:p>
            <w:r>
              <w:rPr>
                <w:b w:val="false"/>
                <w:bCs w:val="false"/>
                <w:sz w:val="18"/>
                <w:szCs w:val="18"/>
              </w:rPr>
              <w:t xml:space="preserve">Indicators</w:t>
            </w:r>
          </w:p>
        </w:tc>
        <w:tc>
          <w:tcPr>
            <w:tcW w:type="dxa" w:w="6600"/>
            <w:tcMar>
              <w:top w:type="dxa" w:w="80"/>
              <w:left w:type="dxa" w:w="100"/>
              <w:bottom w:type="dxa" w:w="80"/>
              <w:right w:type="dxa" w:w="100"/>
            </w:tcMar>
          </w:tcPr>
          <w:p>
            <w:r>
              <w:rPr>
                <w:b w:val="false"/>
                <w:bCs w:val="false"/>
                <w:sz w:val="18"/>
                <w:szCs w:val="18"/>
              </w:rPr>
              <w:t xml:space="preserve">Vulnerability Density (per KLOC) trend; Mean-Time-to-Patch (MTTP) chart; Encrypted-Sensitive-Fields (%) gauge; Failed-Login-Attempt anomaly graph.</w:t>
            </w:r>
          </w:p>
        </w:tc>
      </w:tr>
      <w:tr>
        <w:tc>
          <w:tcPr>
            <w:tcW w:type="dxa" w:w="1600"/>
            <w:shd w:fill="F2F5F3" w:val="clear"/>
            <w:tcMar>
              <w:top w:type="dxa" w:w="80"/>
              <w:left w:type="dxa" w:w="100"/>
              <w:bottom w:type="dxa" w:w="80"/>
              <w:right w:type="dxa" w:w="100"/>
            </w:tcMar>
          </w:tcPr>
          <w:p>
            <w:r>
              <w:rPr>
                <w:b w:val="false"/>
                <w:bCs w:val="false"/>
                <w:sz w:val="18"/>
                <w:szCs w:val="18"/>
              </w:rPr>
              <w:t xml:space="preserve">Measures</w:t>
            </w:r>
          </w:p>
        </w:tc>
        <w:tc>
          <w:tcPr>
            <w:tcW w:type="dxa" w:w="6600"/>
            <w:shd w:fill="F2F5F3" w:val="clear"/>
            <w:tcMar>
              <w:top w:type="dxa" w:w="80"/>
              <w:left w:type="dxa" w:w="100"/>
              <w:bottom w:type="dxa" w:w="80"/>
              <w:right w:type="dxa" w:w="100"/>
            </w:tcMar>
          </w:tcPr>
          <w:p>
            <w:r>
              <w:rPr>
                <w:b w:val="false"/>
                <w:bCs w:val="false"/>
                <w:sz w:val="18"/>
                <w:szCs w:val="18"/>
              </w:rPr>
              <w:t xml:space="preserve">Vulnerability Density = Total Vulnerabilities / KLOC; MTTP = Σ(Resolution Date − Discovery Date) / Number of Incidents; Encryption Coverage % = (Encrypted Fields / Total Sensitive Fields) × 100.</w:t>
            </w:r>
          </w:p>
        </w:tc>
      </w:tr>
    </w:tbl>
    <w:p>
      <w:pPr>
        <w:spacing w:after="220"/>
      </w:pPr>
      <w:r>
        <w:rPr>
          <w:b/>
          <w:bCs/>
          <w:sz w:val="19"/>
          <w:szCs w:val="19"/>
        </w:rPr>
        <w:t xml:space="preserve">Traced to implementation: </w:t>
      </w:r>
      <w:r>
        <w:rPr>
          <w:color w:val="4C5B55"/>
          <w:sz w:val="19"/>
          <w:szCs w:val="19"/>
        </w:rPr>
        <w:t xml:space="preserve">Implemented live: AuthenticationService issues bcrypt-hashed passwords and JWT-bearer sessions; every API route except signup/login runs through requireAuth middleware; the Gemini API key and JWT secret are kept in a gitignored .env, never in source control.</w:t>
      </w:r>
    </w:p>
    <w:p>
      <w:pPr>
        <w:pStyle w:val="Heading2"/>
        <w:spacing w:after="120" w:before="280"/>
      </w:pPr>
      <w:r>
        <w:t xml:space="preserve">Sub-Goal 3 — Usability and User Experience of the Finance Dashboard</w:t>
      </w:r>
    </w:p>
    <w:p>
      <w:pPr>
        <w:spacing w:after="140"/>
      </w:pPr>
      <w:r>
        <w:t xml:space="preserve">Increase user engagement and retention by providing an intuitive, easy-to-use personal-finance interface.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600"/>
        <w:gridCol w:w="6600"/>
      </w:tblGrid>
      <w:tr>
        <w:trPr>
          <w:tblHeader/>
        </w:trPr>
        <w:tc>
          <w:tcPr>
            <w:tcW w:type="dxa" w:w="1600"/>
            <w:shd w:fill="00625E" w:val="clear"/>
            <w:tcMar>
              <w:top w:type="dxa" w:w="80"/>
              <w:left w:type="dxa" w:w="100"/>
              <w:bottom w:type="dxa" w:w="80"/>
              <w:right w:type="dxa" w:w="100"/>
            </w:tcMar>
          </w:tcPr>
          <w:p>
            <w:r>
              <w:rPr>
                <w:b/>
                <w:bCs/>
                <w:color w:val="FFFFFF"/>
                <w:sz w:val="18"/>
                <w:szCs w:val="18"/>
              </w:rPr>
              <w:t xml:space="preserve">Step</w:t>
            </w:r>
          </w:p>
        </w:tc>
        <w:tc>
          <w:tcPr>
            <w:tcW w:type="dxa" w:w="6600"/>
            <w:shd w:fill="00625E" w:val="clear"/>
            <w:tcMar>
              <w:top w:type="dxa" w:w="80"/>
              <w:left w:type="dxa" w:w="100"/>
              <w:bottom w:type="dxa" w:w="80"/>
              <w:right w:type="dxa" w:w="100"/>
            </w:tcMar>
          </w:tcPr>
          <w:p>
            <w:r>
              <w:rPr>
                <w:b/>
                <w:bCs/>
                <w:color w:val="FFFFFF"/>
                <w:sz w:val="18"/>
                <w:szCs w:val="18"/>
              </w:rPr>
              <w:t xml:space="preserve">Detail</w:t>
            </w:r>
          </w:p>
        </w:tc>
      </w:tr>
      <w:tr>
        <w:tc>
          <w:tcPr>
            <w:tcW w:type="dxa" w:w="1600"/>
            <w:tcMar>
              <w:top w:type="dxa" w:w="80"/>
              <w:left w:type="dxa" w:w="100"/>
              <w:bottom w:type="dxa" w:w="80"/>
              <w:right w:type="dxa" w:w="100"/>
            </w:tcMar>
          </w:tcPr>
          <w:p>
            <w:r>
              <w:rPr>
                <w:b w:val="false"/>
                <w:bCs w:val="false"/>
                <w:sz w:val="18"/>
                <w:szCs w:val="18"/>
              </w:rPr>
              <w:t xml:space="preserve">Indicators</w:t>
            </w:r>
          </w:p>
        </w:tc>
        <w:tc>
          <w:tcPr>
            <w:tcW w:type="dxa" w:w="6600"/>
            <w:tcMar>
              <w:top w:type="dxa" w:w="80"/>
              <w:left w:type="dxa" w:w="100"/>
              <w:bottom w:type="dxa" w:w="80"/>
              <w:right w:type="dxa" w:w="100"/>
            </w:tcMar>
          </w:tcPr>
          <w:p>
            <w:r>
              <w:rPr>
                <w:b w:val="false"/>
                <w:bCs w:val="false"/>
                <w:sz w:val="18"/>
                <w:szCs w:val="18"/>
              </w:rPr>
              <w:t xml:space="preserve">Average Task-Completion-Time trend; SUS-Score gauge; Screen-level Drop-off-Rate funnel chart; UI-related Ticket-Volume trend.</w:t>
            </w:r>
          </w:p>
        </w:tc>
      </w:tr>
      <w:tr>
        <w:tc>
          <w:tcPr>
            <w:tcW w:type="dxa" w:w="1600"/>
            <w:shd w:fill="F2F5F3" w:val="clear"/>
            <w:tcMar>
              <w:top w:type="dxa" w:w="80"/>
              <w:left w:type="dxa" w:w="100"/>
              <w:bottom w:type="dxa" w:w="80"/>
              <w:right w:type="dxa" w:w="100"/>
            </w:tcMar>
          </w:tcPr>
          <w:p>
            <w:r>
              <w:rPr>
                <w:b w:val="false"/>
                <w:bCs w:val="false"/>
                <w:sz w:val="18"/>
                <w:szCs w:val="18"/>
              </w:rPr>
              <w:t xml:space="preserve">Measures</w:t>
            </w:r>
          </w:p>
        </w:tc>
        <w:tc>
          <w:tcPr>
            <w:tcW w:type="dxa" w:w="6600"/>
            <w:shd w:fill="F2F5F3" w:val="clear"/>
            <w:tcMar>
              <w:top w:type="dxa" w:w="80"/>
              <w:left w:type="dxa" w:w="100"/>
              <w:bottom w:type="dxa" w:w="80"/>
              <w:right w:type="dxa" w:w="100"/>
            </w:tcMar>
          </w:tcPr>
          <w:p>
            <w:r>
              <w:rPr>
                <w:b w:val="false"/>
                <w:bCs w:val="false"/>
                <w:sz w:val="18"/>
                <w:szCs w:val="18"/>
              </w:rPr>
              <w:t xml:space="preserve">Average Task-Completion Time = Σ(Task End − Task Start) / Number of Sessions; SUS Score via the standard 10-item questionnaire (0–100 scale); Drop-off Rate = (Users Exiting at Screen X / Users Entering Screen X) × 100.</w:t>
            </w:r>
          </w:p>
        </w:tc>
      </w:tr>
    </w:tbl>
    <w:p>
      <w:pPr>
        <w:spacing w:after="220"/>
      </w:pPr>
      <w:r>
        <w:rPr>
          <w:b/>
          <w:bCs/>
          <w:sz w:val="19"/>
          <w:szCs w:val="19"/>
        </w:rPr>
        <w:t xml:space="preserve">Traced to implementation: </w:t>
      </w:r>
      <w:r>
        <w:rPr>
          <w:color w:val="4C5B55"/>
          <w:sz w:val="19"/>
          <w:szCs w:val="19"/>
        </w:rPr>
        <w:t xml:space="preserve">Implemented live: a single React SPA (app/web) with a persistent sidebar, one-click Add-Transaction modal from both Dashboard and Transactions, and a responsive mobile overlay nav — designed to minimize the clicks-per-task this sub-goal measures.</w:t>
      </w:r>
    </w:p>
    <w:p>
      <w:pPr>
        <w:pStyle w:val="Heading2"/>
        <w:spacing w:after="120" w:before="280"/>
      </w:pPr>
      <w:r>
        <w:t xml:space="preserve">Sub-Goal 4 — Functional Correctness and Reliable Transaction Processing</w:t>
      </w:r>
    </w:p>
    <w:p>
      <w:pPr>
        <w:spacing w:after="140"/>
      </w:pPr>
      <w:r>
        <w:t xml:space="preserve">Ensure the system processes financial transactions accurately and reliably, without data loss or corruption, to maintain regulatory and user trust.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600"/>
        <w:gridCol w:w="6600"/>
      </w:tblGrid>
      <w:tr>
        <w:trPr>
          <w:tblHeader/>
        </w:trPr>
        <w:tc>
          <w:tcPr>
            <w:tcW w:type="dxa" w:w="1600"/>
            <w:shd w:fill="00625E" w:val="clear"/>
            <w:tcMar>
              <w:top w:type="dxa" w:w="80"/>
              <w:left w:type="dxa" w:w="100"/>
              <w:bottom w:type="dxa" w:w="80"/>
              <w:right w:type="dxa" w:w="100"/>
            </w:tcMar>
          </w:tcPr>
          <w:p>
            <w:r>
              <w:rPr>
                <w:b/>
                <w:bCs/>
                <w:color w:val="FFFFFF"/>
                <w:sz w:val="18"/>
                <w:szCs w:val="18"/>
              </w:rPr>
              <w:t xml:space="preserve">Step</w:t>
            </w:r>
          </w:p>
        </w:tc>
        <w:tc>
          <w:tcPr>
            <w:tcW w:type="dxa" w:w="6600"/>
            <w:shd w:fill="00625E" w:val="clear"/>
            <w:tcMar>
              <w:top w:type="dxa" w:w="80"/>
              <w:left w:type="dxa" w:w="100"/>
              <w:bottom w:type="dxa" w:w="80"/>
              <w:right w:type="dxa" w:w="100"/>
            </w:tcMar>
          </w:tcPr>
          <w:p>
            <w:r>
              <w:rPr>
                <w:b/>
                <w:bCs/>
                <w:color w:val="FFFFFF"/>
                <w:sz w:val="18"/>
                <w:szCs w:val="18"/>
              </w:rPr>
              <w:t xml:space="preserve">Detail</w:t>
            </w:r>
          </w:p>
        </w:tc>
      </w:tr>
      <w:tr>
        <w:tc>
          <w:tcPr>
            <w:tcW w:type="dxa" w:w="1600"/>
            <w:tcMar>
              <w:top w:type="dxa" w:w="80"/>
              <w:left w:type="dxa" w:w="100"/>
              <w:bottom w:type="dxa" w:w="80"/>
              <w:right w:type="dxa" w:w="100"/>
            </w:tcMar>
          </w:tcPr>
          <w:p>
            <w:r>
              <w:rPr>
                <w:b w:val="false"/>
                <w:bCs w:val="false"/>
                <w:sz w:val="18"/>
                <w:szCs w:val="18"/>
              </w:rPr>
              <w:t xml:space="preserve">Indicators</w:t>
            </w:r>
          </w:p>
        </w:tc>
        <w:tc>
          <w:tcPr>
            <w:tcW w:type="dxa" w:w="6600"/>
            <w:tcMar>
              <w:top w:type="dxa" w:w="80"/>
              <w:left w:type="dxa" w:w="100"/>
              <w:bottom w:type="dxa" w:w="80"/>
              <w:right w:type="dxa" w:w="100"/>
            </w:tcMar>
          </w:tcPr>
          <w:p>
            <w:r>
              <w:rPr>
                <w:b w:val="false"/>
                <w:bCs w:val="false"/>
                <w:sz w:val="18"/>
                <w:szCs w:val="18"/>
              </w:rPr>
              <w:t xml:space="preserve">Defect-Density (per KLOC) trend chart; System-Availability (%) gauge; Transaction-Failure-Rate trend; Test-Coverage (%) bar chart.</w:t>
            </w:r>
          </w:p>
        </w:tc>
      </w:tr>
      <w:tr>
        <w:tc>
          <w:tcPr>
            <w:tcW w:type="dxa" w:w="1600"/>
            <w:shd w:fill="F2F5F3" w:val="clear"/>
            <w:tcMar>
              <w:top w:type="dxa" w:w="80"/>
              <w:left w:type="dxa" w:w="100"/>
              <w:bottom w:type="dxa" w:w="80"/>
              <w:right w:type="dxa" w:w="100"/>
            </w:tcMar>
          </w:tcPr>
          <w:p>
            <w:r>
              <w:rPr>
                <w:b w:val="false"/>
                <w:bCs w:val="false"/>
                <w:sz w:val="18"/>
                <w:szCs w:val="18"/>
              </w:rPr>
              <w:t xml:space="preserve">Measures</w:t>
            </w:r>
          </w:p>
        </w:tc>
        <w:tc>
          <w:tcPr>
            <w:tcW w:type="dxa" w:w="6600"/>
            <w:shd w:fill="F2F5F3" w:val="clear"/>
            <w:tcMar>
              <w:top w:type="dxa" w:w="80"/>
              <w:left w:type="dxa" w:w="100"/>
              <w:bottom w:type="dxa" w:w="80"/>
              <w:right w:type="dxa" w:w="100"/>
            </w:tcMar>
          </w:tcPr>
          <w:p>
            <w:r>
              <w:rPr>
                <w:b w:val="false"/>
                <w:bCs w:val="false"/>
                <w:sz w:val="18"/>
                <w:szCs w:val="18"/>
              </w:rPr>
              <w:t xml:space="preserve">Defect Density = Total Defects in Module / KLOC; Availability % = (Total Uptime / Total Time) × 100; Transaction-Failure Rate = (Failed Transactions / Total Transactions) × 100; Test Coverage % = (Lines Covered / Total Lines) × 100.</w:t>
            </w:r>
          </w:p>
        </w:tc>
      </w:tr>
    </w:tbl>
    <w:p>
      <w:pPr>
        <w:spacing w:after="220"/>
      </w:pPr>
      <w:r>
        <w:rPr>
          <w:b/>
          <w:bCs/>
          <w:sz w:val="19"/>
          <w:szCs w:val="19"/>
        </w:rPr>
        <w:t xml:space="preserve">Traced to implementation: </w:t>
      </w:r>
      <w:r>
        <w:rPr>
          <w:color w:val="4C5B55"/>
          <w:sz w:val="19"/>
          <w:szCs w:val="19"/>
        </w:rPr>
        <w:t xml:space="preserve">Implemented live: this exact sub-goal is fully instrumented in Module 3 below — real defect-density data across 12 modules, a decision tree classifying defect risk, and an I-MR control chart that catches a simulated transaction-failure regression in real time.</w:t>
      </w:r>
    </w:p>
    <w:p>
      <w:pPr>
        <w:pStyle w:val="Heading1"/>
        <w:spacing w:after="120" w:before="280"/>
      </w:pPr>
      <w:r>
        <w:t xml:space="preserve">4. System Class Diagram</w:t>
      </w:r>
    </w:p>
    <w:p>
      <w:pPr>
        <w:spacing w:after="140"/>
      </w:pPr>
      <w:r>
        <w:t xml:space="preserve">The class diagram below models the four architectural layers of the system: the Domain Layer (core financial entities), the AI Layer (machine-learning models and the recommendation engine), the Metrics Layer (the software-metrics-driven core implementing the GQ(I)M program at runtime), and the Service Layer (security, notification, and reporting services).</w:t>
      </w:r>
    </w:p>
    <w:p>
      <w:pPr>
        <w:spacing w:after="100"/>
        <w:jc w:val="center"/>
      </w:pPr>
      <w:r>
        <w:drawing>
          <wp:inline distT="0" distB="0" distL="0" distR="0">
            <wp:extent cx="5760720" cy="4480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4480560"/>
                    </a:xfrm>
                    <a:prstGeom prst="rect">
                      <a:avLst/>
                    </a:prstGeom>
                  </pic:spPr>
                </pic:pic>
              </a:graphicData>
            </a:graphic>
          </wp:inline>
        </w:drawing>
      </w:r>
    </w:p>
    <w:p>
      <w:pPr>
        <w:spacing w:after="260"/>
        <w:jc w:val="center"/>
      </w:pPr>
      <w:r>
        <w:rPr>
          <w:i/>
          <w:iCs/>
          <w:color w:val="4C5B55"/>
          <w:sz w:val="18"/>
          <w:szCs w:val="18"/>
        </w:rPr>
        <w:t xml:space="preserve">Figure 1 — UML class diagram: Domain, AI, Metrics and Service layers.</w:t>
      </w:r>
    </w:p>
    <w:p>
      <w:pPr>
        <w:pStyle w:val="ListParagraph"/>
        <w:numPr>
          <w:ilvl w:val="0"/>
          <w:numId w:val="1"/>
        </w:numPr>
        <w:spacing w:after="60"/>
      </w:pPr>
      <w:r>
        <w:t xml:space="preserve">Domain Layer: User, Account (abstract) with SavingsAccount, CheckingAccount, CreditCardAccount subtypes, Transaction, Category, Budget, FinancialGoal, RecurringBill.</w:t>
      </w:r>
    </w:p>
    <w:p>
      <w:pPr>
        <w:pStyle w:val="ListParagraph"/>
        <w:numPr>
          <w:ilvl w:val="0"/>
          <w:numId w:val="1"/>
        </w:numPr>
        <w:spacing w:after="60"/>
      </w:pPr>
      <w:r>
        <w:t xml:space="preserve">AI Layer: AIModel (abstract) with ExpensePredictionModel and AnomalyDetectionModel subtypes, plus AIRecommendationEngine.</w:t>
      </w:r>
    </w:p>
    <w:p>
      <w:pPr>
        <w:pStyle w:val="ListParagraph"/>
        <w:numPr>
          <w:ilvl w:val="0"/>
          <w:numId w:val="1"/>
        </w:numPr>
        <w:spacing w:after="60"/>
      </w:pPr>
      <w:r>
        <w:t xml:space="preserve">Metrics Layer: MetricsCollector, QualityIndicator, GQIMGoal and MetricRepository.</w:t>
      </w:r>
    </w:p>
    <w:p>
      <w:pPr>
        <w:pStyle w:val="ListParagraph"/>
        <w:numPr>
          <w:ilvl w:val="0"/>
          <w:numId w:val="1"/>
        </w:numPr>
        <w:spacing w:after="60"/>
      </w:pPr>
      <w:r>
        <w:t xml:space="preserve">Service Layer: AuthenticationService, NotificationService, and ReportGenerator.</w:t>
      </w:r>
    </w:p>
    <w:p>
      <w:pPr>
        <w:spacing w:after="140"/>
      </w:pPr>
      <w:r>
        <w:t xml:space="preserve">Every one of these classes has a direct, working counterpart in the shipped codebase — see Section 7 for the running product and app/README.md for the full API surface.</w:t>
      </w:r>
    </w:p>
    <w:p>
      <w:r>
        <w:br w:type="page"/>
      </w:r>
    </w:p>
    <w:p>
      <w:pPr>
        <w:pStyle w:val="Heading1"/>
        <w:spacing w:after="120" w:before="280"/>
      </w:pPr>
      <w:r>
        <w:t xml:space="preserve">5. Module 3 — Software Metrics Data Collection</w:t>
      </w:r>
    </w:p>
    <w:p>
      <w:pPr>
        <w:spacing w:after="140"/>
      </w:pPr>
      <w:r>
        <w:t xml:space="preserve">The data-collection layer mirrors the pipeline promised in Scope 3 above: Git/JIRA history and CI/CD pipeline results feed structural metrics; static analysis feeds complexity/coupling/cohesion; application and server logs feed the fault/defect/delay record — all writing into a common MetricRepository.</w:t>
      </w:r>
    </w:p>
    <w:p>
      <w:pPr>
        <w:spacing w:after="140"/>
      </w:pPr>
      <w:r>
        <w:t xml:space="preserve">Vocabulary: Error (root-cause mistake) → Fault (incorrect code artifact) → Defect (QA-confirmed fault); Feature (delivered capability); Delay (schedule slip in days).</w:t>
      </w:r>
    </w:p>
    <w:p>
      <w:pPr>
        <w:spacing w:after="140"/>
      </w:pPr>
      <w:r>
        <w:t xml:space="preserve">Across the 12 modules and 16 sprints captured: 109 features were delivered, 117 errors were logged, 89 were confirmed as faults in code, and 142 were confirmed as QA defects. Average schedule delay was 6.51 days, with Budget Manager carrying the worst delay.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900"/>
        <w:gridCol w:w="800"/>
        <w:gridCol w:w="900"/>
        <w:gridCol w:w="800"/>
        <w:gridCol w:w="700"/>
        <w:gridCol w:w="700"/>
        <w:gridCol w:w="800"/>
        <w:gridCol w:w="800"/>
      </w:tblGrid>
      <w:tr>
        <w:trPr>
          <w:tblHeader/>
        </w:trPr>
        <w:tc>
          <w:tcPr>
            <w:tcW w:type="dxa" w:w="1900"/>
            <w:shd w:fill="00625E" w:val="clear"/>
            <w:tcMar>
              <w:top w:type="dxa" w:w="80"/>
              <w:left w:type="dxa" w:w="100"/>
              <w:bottom w:type="dxa" w:w="80"/>
              <w:right w:type="dxa" w:w="100"/>
            </w:tcMar>
          </w:tcPr>
          <w:p>
            <w:r>
              <w:rPr>
                <w:b/>
                <w:bCs/>
                <w:color w:val="FFFFFF"/>
                <w:sz w:val="18"/>
                <w:szCs w:val="18"/>
              </w:rPr>
              <w:t xml:space="preserve">Module</w:t>
            </w:r>
          </w:p>
        </w:tc>
        <w:tc>
          <w:tcPr>
            <w:tcW w:type="dxa" w:w="700"/>
            <w:shd w:fill="00625E" w:val="clear"/>
            <w:tcMar>
              <w:top w:type="dxa" w:w="80"/>
              <w:left w:type="dxa" w:w="100"/>
              <w:bottom w:type="dxa" w:w="80"/>
              <w:right w:type="dxa" w:w="100"/>
            </w:tcMar>
          </w:tcPr>
          <w:p>
            <w:r>
              <w:rPr>
                <w:b/>
                <w:bCs/>
                <w:color w:val="FFFFFF"/>
                <w:sz w:val="18"/>
                <w:szCs w:val="18"/>
              </w:rPr>
              <w:t xml:space="preserve">LOC</w:t>
            </w:r>
          </w:p>
        </w:tc>
        <w:tc>
          <w:tcPr>
            <w:tcW w:type="dxa" w:w="900"/>
            <w:shd w:fill="00625E" w:val="clear"/>
            <w:tcMar>
              <w:top w:type="dxa" w:w="80"/>
              <w:left w:type="dxa" w:w="100"/>
              <w:bottom w:type="dxa" w:w="80"/>
              <w:right w:type="dxa" w:w="100"/>
            </w:tcMar>
          </w:tcPr>
          <w:p>
            <w:r>
              <w:rPr>
                <w:b/>
                <w:bCs/>
                <w:color w:val="FFFFFF"/>
                <w:sz w:val="18"/>
                <w:szCs w:val="18"/>
              </w:rPr>
              <w:t xml:space="preserve">Complexity</w:t>
            </w:r>
          </w:p>
        </w:tc>
        <w:tc>
          <w:tcPr>
            <w:tcW w:type="dxa" w:w="800"/>
            <w:shd w:fill="00625E" w:val="clear"/>
            <w:tcMar>
              <w:top w:type="dxa" w:w="80"/>
              <w:left w:type="dxa" w:w="100"/>
              <w:bottom w:type="dxa" w:w="80"/>
              <w:right w:type="dxa" w:w="100"/>
            </w:tcMar>
          </w:tcPr>
          <w:p>
            <w:r>
              <w:rPr>
                <w:b/>
                <w:bCs/>
                <w:color w:val="FFFFFF"/>
                <w:sz w:val="18"/>
                <w:szCs w:val="18"/>
              </w:rPr>
              <w:t xml:space="preserve">Coupling</w:t>
            </w:r>
          </w:p>
        </w:tc>
        <w:tc>
          <w:tcPr>
            <w:tcW w:type="dxa" w:w="900"/>
            <w:shd w:fill="00625E" w:val="clear"/>
            <w:tcMar>
              <w:top w:type="dxa" w:w="80"/>
              <w:left w:type="dxa" w:w="100"/>
              <w:bottom w:type="dxa" w:w="80"/>
              <w:right w:type="dxa" w:w="100"/>
            </w:tcMar>
          </w:tcPr>
          <w:p>
            <w:r>
              <w:rPr>
                <w:b/>
                <w:bCs/>
                <w:color w:val="FFFFFF"/>
                <w:sz w:val="18"/>
                <w:szCs w:val="18"/>
              </w:rPr>
              <w:t xml:space="preserve">Coverage %</w:t>
            </w:r>
          </w:p>
        </w:tc>
        <w:tc>
          <w:tcPr>
            <w:tcW w:type="dxa" w:w="800"/>
            <w:shd w:fill="00625E" w:val="clear"/>
            <w:tcMar>
              <w:top w:type="dxa" w:w="80"/>
              <w:left w:type="dxa" w:w="100"/>
              <w:bottom w:type="dxa" w:w="80"/>
              <w:right w:type="dxa" w:w="100"/>
            </w:tcMar>
          </w:tcPr>
          <w:p>
            <w:r>
              <w:rPr>
                <w:b/>
                <w:bCs/>
                <w:color w:val="FFFFFF"/>
                <w:sz w:val="18"/>
                <w:szCs w:val="18"/>
              </w:rPr>
              <w:t xml:space="preserve">Features</w:t>
            </w:r>
          </w:p>
        </w:tc>
        <w:tc>
          <w:tcPr>
            <w:tcW w:type="dxa" w:w="700"/>
            <w:shd w:fill="00625E" w:val="clear"/>
            <w:tcMar>
              <w:top w:type="dxa" w:w="80"/>
              <w:left w:type="dxa" w:w="100"/>
              <w:bottom w:type="dxa" w:w="80"/>
              <w:right w:type="dxa" w:w="100"/>
            </w:tcMar>
          </w:tcPr>
          <w:p>
            <w:r>
              <w:rPr>
                <w:b/>
                <w:bCs/>
                <w:color w:val="FFFFFF"/>
                <w:sz w:val="18"/>
                <w:szCs w:val="18"/>
              </w:rPr>
              <w:t xml:space="preserve">Errors</w:t>
            </w:r>
          </w:p>
        </w:tc>
        <w:tc>
          <w:tcPr>
            <w:tcW w:type="dxa" w:w="700"/>
            <w:shd w:fill="00625E" w:val="clear"/>
            <w:tcMar>
              <w:top w:type="dxa" w:w="80"/>
              <w:left w:type="dxa" w:w="100"/>
              <w:bottom w:type="dxa" w:w="80"/>
              <w:right w:type="dxa" w:w="100"/>
            </w:tcMar>
          </w:tcPr>
          <w:p>
            <w:r>
              <w:rPr>
                <w:b/>
                <w:bCs/>
                <w:color w:val="FFFFFF"/>
                <w:sz w:val="18"/>
                <w:szCs w:val="18"/>
              </w:rPr>
              <w:t xml:space="preserve">Faults</w:t>
            </w:r>
          </w:p>
        </w:tc>
        <w:tc>
          <w:tcPr>
            <w:tcW w:type="dxa" w:w="800"/>
            <w:shd w:fill="00625E" w:val="clear"/>
            <w:tcMar>
              <w:top w:type="dxa" w:w="80"/>
              <w:left w:type="dxa" w:w="100"/>
              <w:bottom w:type="dxa" w:w="80"/>
              <w:right w:type="dxa" w:w="100"/>
            </w:tcMar>
          </w:tcPr>
          <w:p>
            <w:r>
              <w:rPr>
                <w:b/>
                <w:bCs/>
                <w:color w:val="FFFFFF"/>
                <w:sz w:val="18"/>
                <w:szCs w:val="18"/>
              </w:rPr>
              <w:t xml:space="preserve">Defects</w:t>
            </w:r>
          </w:p>
        </w:tc>
        <w:tc>
          <w:tcPr>
            <w:tcW w:type="dxa" w:w="800"/>
            <w:shd w:fill="00625E" w:val="clear"/>
            <w:tcMar>
              <w:top w:type="dxa" w:w="80"/>
              <w:left w:type="dxa" w:w="100"/>
              <w:bottom w:type="dxa" w:w="80"/>
              <w:right w:type="dxa" w:w="100"/>
            </w:tcMar>
          </w:tcPr>
          <w:p>
            <w:r>
              <w:rPr>
                <w:b/>
                <w:bCs/>
                <w:color w:val="FFFFFF"/>
                <w:sz w:val="18"/>
                <w:szCs w:val="18"/>
              </w:rPr>
              <w:t xml:space="preserve">Delay (d)</w:t>
            </w:r>
          </w:p>
        </w:tc>
      </w:tr>
      <w:tr>
        <w:tc>
          <w:tcPr>
            <w:tcW w:type="dxa" w:w="1900"/>
            <w:tcMar>
              <w:top w:type="dxa" w:w="80"/>
              <w:left w:type="dxa" w:w="100"/>
              <w:bottom w:type="dxa" w:w="80"/>
              <w:right w:type="dxa" w:w="100"/>
            </w:tcMar>
          </w:tcPr>
          <w:p>
            <w:r>
              <w:rPr>
                <w:b w:val="false"/>
                <w:bCs w:val="false"/>
                <w:sz w:val="18"/>
                <w:szCs w:val="18"/>
              </w:rPr>
              <w:t xml:space="preserve">Encryption/KMS Layer</w:t>
            </w:r>
          </w:p>
        </w:tc>
        <w:tc>
          <w:tcPr>
            <w:tcW w:type="dxa" w:w="700"/>
            <w:tcMar>
              <w:top w:type="dxa" w:w="80"/>
              <w:left w:type="dxa" w:w="100"/>
              <w:bottom w:type="dxa" w:w="80"/>
              <w:right w:type="dxa" w:w="100"/>
            </w:tcMar>
          </w:tcPr>
          <w:p>
            <w:r>
              <w:rPr>
                <w:b w:val="false"/>
                <w:bCs w:val="false"/>
                <w:sz w:val="18"/>
                <w:szCs w:val="18"/>
              </w:rPr>
              <w:t xml:space="preserve">4774</w:t>
            </w:r>
          </w:p>
        </w:tc>
        <w:tc>
          <w:tcPr>
            <w:tcW w:type="dxa" w:w="900"/>
            <w:tcMar>
              <w:top w:type="dxa" w:w="80"/>
              <w:left w:type="dxa" w:w="100"/>
              <w:bottom w:type="dxa" w:w="80"/>
              <w:right w:type="dxa" w:w="100"/>
            </w:tcMar>
          </w:tcPr>
          <w:p>
            <w:r>
              <w:rPr>
                <w:b w:val="false"/>
                <w:bCs w:val="false"/>
                <w:sz w:val="18"/>
                <w:szCs w:val="18"/>
              </w:rPr>
              <w:t xml:space="preserve">17.6</w:t>
            </w:r>
          </w:p>
        </w:tc>
        <w:tc>
          <w:tcPr>
            <w:tcW w:type="dxa" w:w="800"/>
            <w:tcMar>
              <w:top w:type="dxa" w:w="80"/>
              <w:left w:type="dxa" w:w="100"/>
              <w:bottom w:type="dxa" w:w="80"/>
              <w:right w:type="dxa" w:w="100"/>
            </w:tcMar>
          </w:tcPr>
          <w:p>
            <w:r>
              <w:rPr>
                <w:b w:val="false"/>
                <w:bCs w:val="false"/>
                <w:sz w:val="18"/>
                <w:szCs w:val="18"/>
              </w:rPr>
              <w:t xml:space="preserve">9</w:t>
            </w:r>
          </w:p>
        </w:tc>
        <w:tc>
          <w:tcPr>
            <w:tcW w:type="dxa" w:w="900"/>
            <w:tcMar>
              <w:top w:type="dxa" w:w="80"/>
              <w:left w:type="dxa" w:w="100"/>
              <w:bottom w:type="dxa" w:w="80"/>
              <w:right w:type="dxa" w:w="100"/>
            </w:tcMar>
          </w:tcPr>
          <w:p>
            <w:r>
              <w:rPr>
                <w:b w:val="false"/>
                <w:bCs w:val="false"/>
                <w:sz w:val="18"/>
                <w:szCs w:val="18"/>
              </w:rPr>
              <w:t xml:space="preserve">60.9</w:t>
            </w:r>
          </w:p>
        </w:tc>
        <w:tc>
          <w:tcPr>
            <w:tcW w:type="dxa" w:w="800"/>
            <w:tcMar>
              <w:top w:type="dxa" w:w="80"/>
              <w:left w:type="dxa" w:w="100"/>
              <w:bottom w:type="dxa" w:w="80"/>
              <w:right w:type="dxa" w:w="100"/>
            </w:tcMar>
          </w:tcPr>
          <w:p>
            <w:r>
              <w:rPr>
                <w:b w:val="false"/>
                <w:bCs w:val="false"/>
                <w:sz w:val="18"/>
                <w:szCs w:val="18"/>
              </w:rPr>
              <w:t xml:space="preserve">8</w:t>
            </w:r>
          </w:p>
        </w:tc>
        <w:tc>
          <w:tcPr>
            <w:tcW w:type="dxa" w:w="700"/>
            <w:tcMar>
              <w:top w:type="dxa" w:w="80"/>
              <w:left w:type="dxa" w:w="100"/>
              <w:bottom w:type="dxa" w:w="80"/>
              <w:right w:type="dxa" w:w="100"/>
            </w:tcMar>
          </w:tcPr>
          <w:p>
            <w:r>
              <w:rPr>
                <w:b w:val="false"/>
                <w:bCs w:val="false"/>
                <w:sz w:val="18"/>
                <w:szCs w:val="18"/>
              </w:rPr>
              <w:t xml:space="preserve">20</w:t>
            </w:r>
          </w:p>
        </w:tc>
        <w:tc>
          <w:tcPr>
            <w:tcW w:type="dxa" w:w="700"/>
            <w:tcMar>
              <w:top w:type="dxa" w:w="80"/>
              <w:left w:type="dxa" w:w="100"/>
              <w:bottom w:type="dxa" w:w="80"/>
              <w:right w:type="dxa" w:w="100"/>
            </w:tcMar>
          </w:tcPr>
          <w:p>
            <w:r>
              <w:rPr>
                <w:b w:val="false"/>
                <w:bCs w:val="false"/>
                <w:sz w:val="18"/>
                <w:szCs w:val="18"/>
              </w:rPr>
              <w:t xml:space="preserve">14</w:t>
            </w:r>
          </w:p>
        </w:tc>
        <w:tc>
          <w:tcPr>
            <w:tcW w:type="dxa" w:w="800"/>
            <w:tcMar>
              <w:top w:type="dxa" w:w="80"/>
              <w:left w:type="dxa" w:w="100"/>
              <w:bottom w:type="dxa" w:w="80"/>
              <w:right w:type="dxa" w:w="100"/>
            </w:tcMar>
          </w:tcPr>
          <w:p>
            <w:r>
              <w:rPr>
                <w:b w:val="false"/>
                <w:bCs w:val="false"/>
                <w:sz w:val="18"/>
                <w:szCs w:val="18"/>
              </w:rPr>
              <w:t xml:space="preserve">28</w:t>
            </w:r>
          </w:p>
        </w:tc>
        <w:tc>
          <w:tcPr>
            <w:tcW w:type="dxa" w:w="800"/>
            <w:tcMar>
              <w:top w:type="dxa" w:w="80"/>
              <w:left w:type="dxa" w:w="100"/>
              <w:bottom w:type="dxa" w:w="80"/>
              <w:right w:type="dxa" w:w="100"/>
            </w:tcMar>
          </w:tcPr>
          <w:p>
            <w:r>
              <w:rPr>
                <w:b w:val="false"/>
                <w:bCs w:val="false"/>
                <w:sz w:val="18"/>
                <w:szCs w:val="18"/>
              </w:rPr>
              <w:t xml:space="preserve">8.4</w:t>
            </w:r>
          </w:p>
        </w:tc>
      </w:tr>
      <w:tr>
        <w:tc>
          <w:tcPr>
            <w:tcW w:type="dxa" w:w="1900"/>
            <w:shd w:fill="F2F5F3" w:val="clear"/>
            <w:tcMar>
              <w:top w:type="dxa" w:w="80"/>
              <w:left w:type="dxa" w:w="100"/>
              <w:bottom w:type="dxa" w:w="80"/>
              <w:right w:type="dxa" w:w="100"/>
            </w:tcMar>
          </w:tcPr>
          <w:p>
            <w:r>
              <w:rPr>
                <w:b w:val="false"/>
                <w:bCs w:val="false"/>
                <w:sz w:val="18"/>
                <w:szCs w:val="18"/>
              </w:rPr>
              <w:t xml:space="preserve">Transaction Engine</w:t>
            </w:r>
          </w:p>
        </w:tc>
        <w:tc>
          <w:tcPr>
            <w:tcW w:type="dxa" w:w="700"/>
            <w:shd w:fill="F2F5F3" w:val="clear"/>
            <w:tcMar>
              <w:top w:type="dxa" w:w="80"/>
              <w:left w:type="dxa" w:w="100"/>
              <w:bottom w:type="dxa" w:w="80"/>
              <w:right w:type="dxa" w:w="100"/>
            </w:tcMar>
          </w:tcPr>
          <w:p>
            <w:r>
              <w:rPr>
                <w:b w:val="false"/>
                <w:bCs w:val="false"/>
                <w:sz w:val="18"/>
                <w:szCs w:val="18"/>
              </w:rPr>
              <w:t xml:space="preserve">1308</w:t>
            </w:r>
          </w:p>
        </w:tc>
        <w:tc>
          <w:tcPr>
            <w:tcW w:type="dxa" w:w="900"/>
            <w:shd w:fill="F2F5F3" w:val="clear"/>
            <w:tcMar>
              <w:top w:type="dxa" w:w="80"/>
              <w:left w:type="dxa" w:w="100"/>
              <w:bottom w:type="dxa" w:w="80"/>
              <w:right w:type="dxa" w:w="100"/>
            </w:tcMar>
          </w:tcPr>
          <w:p>
            <w:r>
              <w:rPr>
                <w:b w:val="false"/>
                <w:bCs w:val="false"/>
                <w:sz w:val="18"/>
                <w:szCs w:val="18"/>
              </w:rPr>
              <w:t xml:space="preserve">12.6</w:t>
            </w:r>
          </w:p>
        </w:tc>
        <w:tc>
          <w:tcPr>
            <w:tcW w:type="dxa" w:w="800"/>
            <w:shd w:fill="F2F5F3" w:val="clear"/>
            <w:tcMar>
              <w:top w:type="dxa" w:w="80"/>
              <w:left w:type="dxa" w:w="100"/>
              <w:bottom w:type="dxa" w:w="80"/>
              <w:right w:type="dxa" w:w="100"/>
            </w:tcMar>
          </w:tcPr>
          <w:p>
            <w:r>
              <w:rPr>
                <w:b w:val="false"/>
                <w:bCs w:val="false"/>
                <w:sz w:val="18"/>
                <w:szCs w:val="18"/>
              </w:rPr>
              <w:t xml:space="preserve">19</w:t>
            </w:r>
          </w:p>
        </w:tc>
        <w:tc>
          <w:tcPr>
            <w:tcW w:type="dxa" w:w="900"/>
            <w:shd w:fill="F2F5F3" w:val="clear"/>
            <w:tcMar>
              <w:top w:type="dxa" w:w="80"/>
              <w:left w:type="dxa" w:w="100"/>
              <w:bottom w:type="dxa" w:w="80"/>
              <w:right w:type="dxa" w:w="100"/>
            </w:tcMar>
          </w:tcPr>
          <w:p>
            <w:r>
              <w:rPr>
                <w:b w:val="false"/>
                <w:bCs w:val="false"/>
                <w:sz w:val="18"/>
                <w:szCs w:val="18"/>
              </w:rPr>
              <w:t xml:space="preserve">51.6</w:t>
            </w:r>
          </w:p>
        </w:tc>
        <w:tc>
          <w:tcPr>
            <w:tcW w:type="dxa" w:w="800"/>
            <w:shd w:fill="F2F5F3" w:val="clear"/>
            <w:tcMar>
              <w:top w:type="dxa" w:w="80"/>
              <w:left w:type="dxa" w:w="100"/>
              <w:bottom w:type="dxa" w:w="80"/>
              <w:right w:type="dxa" w:w="100"/>
            </w:tcMar>
          </w:tcPr>
          <w:p>
            <w:r>
              <w:rPr>
                <w:b w:val="false"/>
                <w:bCs w:val="false"/>
                <w:sz w:val="18"/>
                <w:szCs w:val="18"/>
              </w:rPr>
              <w:t xml:space="preserve">14</w:t>
            </w:r>
          </w:p>
        </w:tc>
        <w:tc>
          <w:tcPr>
            <w:tcW w:type="dxa" w:w="700"/>
            <w:shd w:fill="F2F5F3" w:val="clear"/>
            <w:tcMar>
              <w:top w:type="dxa" w:w="80"/>
              <w:left w:type="dxa" w:w="100"/>
              <w:bottom w:type="dxa" w:w="80"/>
              <w:right w:type="dxa" w:w="100"/>
            </w:tcMar>
          </w:tcPr>
          <w:p>
            <w:r>
              <w:rPr>
                <w:b w:val="false"/>
                <w:bCs w:val="false"/>
                <w:sz w:val="18"/>
                <w:szCs w:val="18"/>
              </w:rPr>
              <w:t xml:space="preserve">19</w:t>
            </w:r>
          </w:p>
        </w:tc>
        <w:tc>
          <w:tcPr>
            <w:tcW w:type="dxa" w:w="700"/>
            <w:shd w:fill="F2F5F3" w:val="clear"/>
            <w:tcMar>
              <w:top w:type="dxa" w:w="80"/>
              <w:left w:type="dxa" w:w="100"/>
              <w:bottom w:type="dxa" w:w="80"/>
              <w:right w:type="dxa" w:w="100"/>
            </w:tcMar>
          </w:tcPr>
          <w:p>
            <w:r>
              <w:rPr>
                <w:b w:val="false"/>
                <w:bCs w:val="false"/>
                <w:sz w:val="18"/>
                <w:szCs w:val="18"/>
              </w:rPr>
              <w:t xml:space="preserve">16</w:t>
            </w:r>
          </w:p>
        </w:tc>
        <w:tc>
          <w:tcPr>
            <w:tcW w:type="dxa" w:w="800"/>
            <w:shd w:fill="F2F5F3" w:val="clear"/>
            <w:tcMar>
              <w:top w:type="dxa" w:w="80"/>
              <w:left w:type="dxa" w:w="100"/>
              <w:bottom w:type="dxa" w:w="80"/>
              <w:right w:type="dxa" w:w="100"/>
            </w:tcMar>
          </w:tcPr>
          <w:p>
            <w:r>
              <w:rPr>
                <w:b w:val="false"/>
                <w:bCs w:val="false"/>
                <w:sz w:val="18"/>
                <w:szCs w:val="18"/>
              </w:rPr>
              <w:t xml:space="preserve">12</w:t>
            </w:r>
          </w:p>
        </w:tc>
        <w:tc>
          <w:tcPr>
            <w:tcW w:type="dxa" w:w="800"/>
            <w:shd w:fill="F2F5F3" w:val="clear"/>
            <w:tcMar>
              <w:top w:type="dxa" w:w="80"/>
              <w:left w:type="dxa" w:w="100"/>
              <w:bottom w:type="dxa" w:w="80"/>
              <w:right w:type="dxa" w:w="100"/>
            </w:tcMar>
          </w:tcPr>
          <w:p>
            <w:r>
              <w:rPr>
                <w:b w:val="false"/>
                <w:bCs w:val="false"/>
                <w:sz w:val="18"/>
                <w:szCs w:val="18"/>
              </w:rPr>
              <w:t xml:space="preserve">10.4</w:t>
            </w:r>
          </w:p>
        </w:tc>
      </w:tr>
      <w:tr>
        <w:tc>
          <w:tcPr>
            <w:tcW w:type="dxa" w:w="1900"/>
            <w:tcMar>
              <w:top w:type="dxa" w:w="80"/>
              <w:left w:type="dxa" w:w="100"/>
              <w:bottom w:type="dxa" w:w="80"/>
              <w:right w:type="dxa" w:w="100"/>
            </w:tcMar>
          </w:tcPr>
          <w:p>
            <w:r>
              <w:rPr>
                <w:b w:val="false"/>
                <w:bCs w:val="false"/>
                <w:sz w:val="18"/>
                <w:szCs w:val="18"/>
              </w:rPr>
              <w:t xml:space="preserve">Budget Manager</w:t>
            </w:r>
          </w:p>
        </w:tc>
        <w:tc>
          <w:tcPr>
            <w:tcW w:type="dxa" w:w="700"/>
            <w:tcMar>
              <w:top w:type="dxa" w:w="80"/>
              <w:left w:type="dxa" w:w="100"/>
              <w:bottom w:type="dxa" w:w="80"/>
              <w:right w:type="dxa" w:w="100"/>
            </w:tcMar>
          </w:tcPr>
          <w:p>
            <w:r>
              <w:rPr>
                <w:b w:val="false"/>
                <w:bCs w:val="false"/>
                <w:sz w:val="18"/>
                <w:szCs w:val="18"/>
              </w:rPr>
              <w:t xml:space="preserve">5694</w:t>
            </w:r>
          </w:p>
        </w:tc>
        <w:tc>
          <w:tcPr>
            <w:tcW w:type="dxa" w:w="900"/>
            <w:tcMar>
              <w:top w:type="dxa" w:w="80"/>
              <w:left w:type="dxa" w:w="100"/>
              <w:bottom w:type="dxa" w:w="80"/>
              <w:right w:type="dxa" w:w="100"/>
            </w:tcMar>
          </w:tcPr>
          <w:p>
            <w:r>
              <w:rPr>
                <w:b w:val="false"/>
                <w:bCs w:val="false"/>
                <w:sz w:val="18"/>
                <w:szCs w:val="18"/>
              </w:rPr>
              <w:t xml:space="preserve">15.9</w:t>
            </w:r>
          </w:p>
        </w:tc>
        <w:tc>
          <w:tcPr>
            <w:tcW w:type="dxa" w:w="800"/>
            <w:tcMar>
              <w:top w:type="dxa" w:w="80"/>
              <w:left w:type="dxa" w:w="100"/>
              <w:bottom w:type="dxa" w:w="80"/>
              <w:right w:type="dxa" w:w="100"/>
            </w:tcMar>
          </w:tcPr>
          <w:p>
            <w:r>
              <w:rPr>
                <w:b w:val="false"/>
                <w:bCs w:val="false"/>
                <w:sz w:val="18"/>
                <w:szCs w:val="18"/>
              </w:rPr>
              <w:t xml:space="preserve">17</w:t>
            </w:r>
          </w:p>
        </w:tc>
        <w:tc>
          <w:tcPr>
            <w:tcW w:type="dxa" w:w="900"/>
            <w:tcMar>
              <w:top w:type="dxa" w:w="80"/>
              <w:left w:type="dxa" w:w="100"/>
              <w:bottom w:type="dxa" w:w="80"/>
              <w:right w:type="dxa" w:w="100"/>
            </w:tcMar>
          </w:tcPr>
          <w:p>
            <w:r>
              <w:rPr>
                <w:b w:val="false"/>
                <w:bCs w:val="false"/>
                <w:sz w:val="18"/>
                <w:szCs w:val="18"/>
              </w:rPr>
              <w:t xml:space="preserve">87.5</w:t>
            </w:r>
          </w:p>
        </w:tc>
        <w:tc>
          <w:tcPr>
            <w:tcW w:type="dxa" w:w="800"/>
            <w:tcMar>
              <w:top w:type="dxa" w:w="80"/>
              <w:left w:type="dxa" w:w="100"/>
              <w:bottom w:type="dxa" w:w="80"/>
              <w:right w:type="dxa" w:w="100"/>
            </w:tcMar>
          </w:tcPr>
          <w:p>
            <w:r>
              <w:rPr>
                <w:b w:val="false"/>
                <w:bCs w:val="false"/>
                <w:sz w:val="18"/>
                <w:szCs w:val="18"/>
              </w:rPr>
              <w:t xml:space="preserve">10</w:t>
            </w:r>
          </w:p>
        </w:tc>
        <w:tc>
          <w:tcPr>
            <w:tcW w:type="dxa" w:w="700"/>
            <w:tcMar>
              <w:top w:type="dxa" w:w="80"/>
              <w:left w:type="dxa" w:w="100"/>
              <w:bottom w:type="dxa" w:w="80"/>
              <w:right w:type="dxa" w:w="100"/>
            </w:tcMar>
          </w:tcPr>
          <w:p>
            <w:r>
              <w:rPr>
                <w:b w:val="false"/>
                <w:bCs w:val="false"/>
                <w:sz w:val="18"/>
                <w:szCs w:val="18"/>
              </w:rPr>
              <w:t xml:space="preserve">12</w:t>
            </w:r>
          </w:p>
        </w:tc>
        <w:tc>
          <w:tcPr>
            <w:tcW w:type="dxa" w:w="700"/>
            <w:tcMar>
              <w:top w:type="dxa" w:w="80"/>
              <w:left w:type="dxa" w:w="100"/>
              <w:bottom w:type="dxa" w:w="80"/>
              <w:right w:type="dxa" w:w="100"/>
            </w:tcMar>
          </w:tcPr>
          <w:p>
            <w:r>
              <w:rPr>
                <w:b w:val="false"/>
                <w:bCs w:val="false"/>
                <w:sz w:val="18"/>
                <w:szCs w:val="18"/>
              </w:rPr>
              <w:t xml:space="preserve">9</w:t>
            </w:r>
          </w:p>
        </w:tc>
        <w:tc>
          <w:tcPr>
            <w:tcW w:type="dxa" w:w="800"/>
            <w:tcMar>
              <w:top w:type="dxa" w:w="80"/>
              <w:left w:type="dxa" w:w="100"/>
              <w:bottom w:type="dxa" w:w="80"/>
              <w:right w:type="dxa" w:w="100"/>
            </w:tcMar>
          </w:tcPr>
          <w:p>
            <w:r>
              <w:rPr>
                <w:b w:val="false"/>
                <w:bCs w:val="false"/>
                <w:sz w:val="18"/>
                <w:szCs w:val="18"/>
              </w:rPr>
              <w:t xml:space="preserve">18</w:t>
            </w:r>
          </w:p>
        </w:tc>
        <w:tc>
          <w:tcPr>
            <w:tcW w:type="dxa" w:w="800"/>
            <w:tcMar>
              <w:top w:type="dxa" w:w="80"/>
              <w:left w:type="dxa" w:w="100"/>
              <w:bottom w:type="dxa" w:w="80"/>
              <w:right w:type="dxa" w:w="100"/>
            </w:tcMar>
          </w:tcPr>
          <w:p>
            <w:r>
              <w:rPr>
                <w:b w:val="false"/>
                <w:bCs w:val="false"/>
                <w:sz w:val="18"/>
                <w:szCs w:val="18"/>
              </w:rPr>
              <w:t xml:space="preserve">10.8</w:t>
            </w:r>
          </w:p>
        </w:tc>
      </w:tr>
      <w:tr>
        <w:tc>
          <w:tcPr>
            <w:tcW w:type="dxa" w:w="1900"/>
            <w:shd w:fill="F2F5F3" w:val="clear"/>
            <w:tcMar>
              <w:top w:type="dxa" w:w="80"/>
              <w:left w:type="dxa" w:w="100"/>
              <w:bottom w:type="dxa" w:w="80"/>
              <w:right w:type="dxa" w:w="100"/>
            </w:tcMar>
          </w:tcPr>
          <w:p>
            <w:r>
              <w:rPr>
                <w:b w:val="false"/>
                <w:bCs w:val="false"/>
                <w:sz w:val="18"/>
                <w:szCs w:val="18"/>
              </w:rPr>
              <w:t xml:space="preserve">Authentication Service</w:t>
            </w:r>
          </w:p>
        </w:tc>
        <w:tc>
          <w:tcPr>
            <w:tcW w:type="dxa" w:w="700"/>
            <w:shd w:fill="F2F5F3" w:val="clear"/>
            <w:tcMar>
              <w:top w:type="dxa" w:w="80"/>
              <w:left w:type="dxa" w:w="100"/>
              <w:bottom w:type="dxa" w:w="80"/>
              <w:right w:type="dxa" w:w="100"/>
            </w:tcMar>
          </w:tcPr>
          <w:p>
            <w:r>
              <w:rPr>
                <w:b w:val="false"/>
                <w:bCs w:val="false"/>
                <w:sz w:val="18"/>
                <w:szCs w:val="18"/>
              </w:rPr>
              <w:t xml:space="preserve">1289</w:t>
            </w:r>
          </w:p>
        </w:tc>
        <w:tc>
          <w:tcPr>
            <w:tcW w:type="dxa" w:w="900"/>
            <w:shd w:fill="F2F5F3" w:val="clear"/>
            <w:tcMar>
              <w:top w:type="dxa" w:w="80"/>
              <w:left w:type="dxa" w:w="100"/>
              <w:bottom w:type="dxa" w:w="80"/>
              <w:right w:type="dxa" w:w="100"/>
            </w:tcMar>
          </w:tcPr>
          <w:p>
            <w:r>
              <w:rPr>
                <w:b w:val="false"/>
                <w:bCs w:val="false"/>
                <w:sz w:val="18"/>
                <w:szCs w:val="18"/>
              </w:rPr>
              <w:t xml:space="preserve">12.3</w:t>
            </w:r>
          </w:p>
        </w:tc>
        <w:tc>
          <w:tcPr>
            <w:tcW w:type="dxa" w:w="800"/>
            <w:shd w:fill="F2F5F3" w:val="clear"/>
            <w:tcMar>
              <w:top w:type="dxa" w:w="80"/>
              <w:left w:type="dxa" w:w="100"/>
              <w:bottom w:type="dxa" w:w="80"/>
              <w:right w:type="dxa" w:w="100"/>
            </w:tcMar>
          </w:tcPr>
          <w:p>
            <w:r>
              <w:rPr>
                <w:b w:val="false"/>
                <w:bCs w:val="false"/>
                <w:sz w:val="18"/>
                <w:szCs w:val="18"/>
              </w:rPr>
              <w:t xml:space="preserve">16</w:t>
            </w:r>
          </w:p>
        </w:tc>
        <w:tc>
          <w:tcPr>
            <w:tcW w:type="dxa" w:w="900"/>
            <w:shd w:fill="F2F5F3" w:val="clear"/>
            <w:tcMar>
              <w:top w:type="dxa" w:w="80"/>
              <w:left w:type="dxa" w:w="100"/>
              <w:bottom w:type="dxa" w:w="80"/>
              <w:right w:type="dxa" w:w="100"/>
            </w:tcMar>
          </w:tcPr>
          <w:p>
            <w:r>
              <w:rPr>
                <w:b w:val="false"/>
                <w:bCs w:val="false"/>
                <w:sz w:val="18"/>
                <w:szCs w:val="18"/>
              </w:rPr>
              <w:t xml:space="preserve">80.7</w:t>
            </w:r>
          </w:p>
        </w:tc>
        <w:tc>
          <w:tcPr>
            <w:tcW w:type="dxa" w:w="800"/>
            <w:shd w:fill="F2F5F3" w:val="clear"/>
            <w:tcMar>
              <w:top w:type="dxa" w:w="80"/>
              <w:left w:type="dxa" w:w="100"/>
              <w:bottom w:type="dxa" w:w="80"/>
              <w:right w:type="dxa" w:w="100"/>
            </w:tcMar>
          </w:tcPr>
          <w:p>
            <w:r>
              <w:rPr>
                <w:b w:val="false"/>
                <w:bCs w:val="false"/>
                <w:sz w:val="18"/>
                <w:szCs w:val="18"/>
              </w:rPr>
              <w:t xml:space="preserve">6</w:t>
            </w:r>
          </w:p>
        </w:tc>
        <w:tc>
          <w:tcPr>
            <w:tcW w:type="dxa" w:w="700"/>
            <w:shd w:fill="F2F5F3" w:val="clear"/>
            <w:tcMar>
              <w:top w:type="dxa" w:w="80"/>
              <w:left w:type="dxa" w:w="100"/>
              <w:bottom w:type="dxa" w:w="80"/>
              <w:right w:type="dxa" w:w="100"/>
            </w:tcMar>
          </w:tcPr>
          <w:p>
            <w:r>
              <w:rPr>
                <w:b w:val="false"/>
                <w:bCs w:val="false"/>
                <w:sz w:val="18"/>
                <w:szCs w:val="18"/>
              </w:rPr>
              <w:t xml:space="preserve">13</w:t>
            </w:r>
          </w:p>
        </w:tc>
        <w:tc>
          <w:tcPr>
            <w:tcW w:type="dxa" w:w="700"/>
            <w:shd w:fill="F2F5F3" w:val="clear"/>
            <w:tcMar>
              <w:top w:type="dxa" w:w="80"/>
              <w:left w:type="dxa" w:w="100"/>
              <w:bottom w:type="dxa" w:w="80"/>
              <w:right w:type="dxa" w:w="100"/>
            </w:tcMar>
          </w:tcPr>
          <w:p>
            <w:r>
              <w:rPr>
                <w:b w:val="false"/>
                <w:bCs w:val="false"/>
                <w:sz w:val="18"/>
                <w:szCs w:val="18"/>
              </w:rPr>
              <w:t xml:space="preserve">10</w:t>
            </w:r>
          </w:p>
        </w:tc>
        <w:tc>
          <w:tcPr>
            <w:tcW w:type="dxa" w:w="800"/>
            <w:shd w:fill="F2F5F3" w:val="clear"/>
            <w:tcMar>
              <w:top w:type="dxa" w:w="80"/>
              <w:left w:type="dxa" w:w="100"/>
              <w:bottom w:type="dxa" w:w="80"/>
              <w:right w:type="dxa" w:w="100"/>
            </w:tcMar>
          </w:tcPr>
          <w:p>
            <w:r>
              <w:rPr>
                <w:b w:val="false"/>
                <w:bCs w:val="false"/>
                <w:sz w:val="18"/>
                <w:szCs w:val="18"/>
              </w:rPr>
              <w:t xml:space="preserve">8</w:t>
            </w:r>
          </w:p>
        </w:tc>
        <w:tc>
          <w:tcPr>
            <w:tcW w:type="dxa" w:w="800"/>
            <w:shd w:fill="F2F5F3" w:val="clear"/>
            <w:tcMar>
              <w:top w:type="dxa" w:w="80"/>
              <w:left w:type="dxa" w:w="100"/>
              <w:bottom w:type="dxa" w:w="80"/>
              <w:right w:type="dxa" w:w="100"/>
            </w:tcMar>
          </w:tcPr>
          <w:p>
            <w:r>
              <w:rPr>
                <w:b w:val="false"/>
                <w:bCs w:val="false"/>
                <w:sz w:val="18"/>
                <w:szCs w:val="18"/>
              </w:rPr>
              <w:t xml:space="preserve">7.6</w:t>
            </w:r>
          </w:p>
        </w:tc>
      </w:tr>
      <w:tr>
        <w:tc>
          <w:tcPr>
            <w:tcW w:type="dxa" w:w="1900"/>
            <w:tcMar>
              <w:top w:type="dxa" w:w="80"/>
              <w:left w:type="dxa" w:w="100"/>
              <w:bottom w:type="dxa" w:w="80"/>
              <w:right w:type="dxa" w:w="100"/>
            </w:tcMar>
          </w:tcPr>
          <w:p>
            <w:r>
              <w:rPr>
                <w:b w:val="false"/>
                <w:bCs w:val="false"/>
                <w:sz w:val="18"/>
                <w:szCs w:val="18"/>
              </w:rPr>
              <w:t xml:space="preserve">Account Management</w:t>
            </w:r>
          </w:p>
        </w:tc>
        <w:tc>
          <w:tcPr>
            <w:tcW w:type="dxa" w:w="700"/>
            <w:tcMar>
              <w:top w:type="dxa" w:w="80"/>
              <w:left w:type="dxa" w:w="100"/>
              <w:bottom w:type="dxa" w:w="80"/>
              <w:right w:type="dxa" w:w="100"/>
            </w:tcMar>
          </w:tcPr>
          <w:p>
            <w:r>
              <w:rPr>
                <w:b w:val="false"/>
                <w:bCs w:val="false"/>
                <w:sz w:val="18"/>
                <w:szCs w:val="18"/>
              </w:rPr>
              <w:t xml:space="preserve">3800</w:t>
            </w:r>
          </w:p>
        </w:tc>
        <w:tc>
          <w:tcPr>
            <w:tcW w:type="dxa" w:w="900"/>
            <w:tcMar>
              <w:top w:type="dxa" w:w="80"/>
              <w:left w:type="dxa" w:w="100"/>
              <w:bottom w:type="dxa" w:w="80"/>
              <w:right w:type="dxa" w:w="100"/>
            </w:tcMar>
          </w:tcPr>
          <w:p>
            <w:r>
              <w:rPr>
                <w:b w:val="false"/>
                <w:bCs w:val="false"/>
                <w:sz w:val="18"/>
                <w:szCs w:val="18"/>
              </w:rPr>
              <w:t xml:space="preserve">13.8</w:t>
            </w:r>
          </w:p>
        </w:tc>
        <w:tc>
          <w:tcPr>
            <w:tcW w:type="dxa" w:w="800"/>
            <w:tcMar>
              <w:top w:type="dxa" w:w="80"/>
              <w:left w:type="dxa" w:w="100"/>
              <w:bottom w:type="dxa" w:w="80"/>
              <w:right w:type="dxa" w:w="100"/>
            </w:tcMar>
          </w:tcPr>
          <w:p>
            <w:r>
              <w:rPr>
                <w:b w:val="false"/>
                <w:bCs w:val="false"/>
                <w:sz w:val="18"/>
                <w:szCs w:val="18"/>
              </w:rPr>
              <w:t xml:space="preserve">10</w:t>
            </w:r>
          </w:p>
        </w:tc>
        <w:tc>
          <w:tcPr>
            <w:tcW w:type="dxa" w:w="900"/>
            <w:tcMar>
              <w:top w:type="dxa" w:w="80"/>
              <w:left w:type="dxa" w:w="100"/>
              <w:bottom w:type="dxa" w:w="80"/>
              <w:right w:type="dxa" w:w="100"/>
            </w:tcMar>
          </w:tcPr>
          <w:p>
            <w:r>
              <w:rPr>
                <w:b w:val="false"/>
                <w:bCs w:val="false"/>
                <w:sz w:val="18"/>
                <w:szCs w:val="18"/>
              </w:rPr>
              <w:t xml:space="preserve">64.8</w:t>
            </w:r>
          </w:p>
        </w:tc>
        <w:tc>
          <w:tcPr>
            <w:tcW w:type="dxa" w:w="800"/>
            <w:tcMar>
              <w:top w:type="dxa" w:w="80"/>
              <w:left w:type="dxa" w:w="100"/>
              <w:bottom w:type="dxa" w:w="80"/>
              <w:right w:type="dxa" w:w="100"/>
            </w:tcMar>
          </w:tcPr>
          <w:p>
            <w:r>
              <w:rPr>
                <w:b w:val="false"/>
                <w:bCs w:val="false"/>
                <w:sz w:val="18"/>
                <w:szCs w:val="18"/>
              </w:rPr>
              <w:t xml:space="preserve">13</w:t>
            </w:r>
          </w:p>
        </w:tc>
        <w:tc>
          <w:tcPr>
            <w:tcW w:type="dxa" w:w="700"/>
            <w:tcMar>
              <w:top w:type="dxa" w:w="80"/>
              <w:left w:type="dxa" w:w="100"/>
              <w:bottom w:type="dxa" w:w="80"/>
              <w:right w:type="dxa" w:w="100"/>
            </w:tcMar>
          </w:tcPr>
          <w:p>
            <w:r>
              <w:rPr>
                <w:b w:val="false"/>
                <w:bCs w:val="false"/>
                <w:sz w:val="18"/>
                <w:szCs w:val="18"/>
              </w:rPr>
              <w:t xml:space="preserve">13</w:t>
            </w:r>
          </w:p>
        </w:tc>
        <w:tc>
          <w:tcPr>
            <w:tcW w:type="dxa" w:w="700"/>
            <w:tcMar>
              <w:top w:type="dxa" w:w="80"/>
              <w:left w:type="dxa" w:w="100"/>
              <w:bottom w:type="dxa" w:w="80"/>
              <w:right w:type="dxa" w:w="100"/>
            </w:tcMar>
          </w:tcPr>
          <w:p>
            <w:r>
              <w:rPr>
                <w:b w:val="false"/>
                <w:bCs w:val="false"/>
                <w:sz w:val="18"/>
                <w:szCs w:val="18"/>
              </w:rPr>
              <w:t xml:space="preserve">11</w:t>
            </w:r>
          </w:p>
        </w:tc>
        <w:tc>
          <w:tcPr>
            <w:tcW w:type="dxa" w:w="800"/>
            <w:tcMar>
              <w:top w:type="dxa" w:w="80"/>
              <w:left w:type="dxa" w:w="100"/>
              <w:bottom w:type="dxa" w:w="80"/>
              <w:right w:type="dxa" w:w="100"/>
            </w:tcMar>
          </w:tcPr>
          <w:p>
            <w:r>
              <w:rPr>
                <w:b w:val="false"/>
                <w:bCs w:val="false"/>
                <w:sz w:val="18"/>
                <w:szCs w:val="18"/>
              </w:rPr>
              <w:t xml:space="preserve">22</w:t>
            </w:r>
          </w:p>
        </w:tc>
        <w:tc>
          <w:tcPr>
            <w:tcW w:type="dxa" w:w="800"/>
            <w:tcMar>
              <w:top w:type="dxa" w:w="80"/>
              <w:left w:type="dxa" w:w="100"/>
              <w:bottom w:type="dxa" w:w="80"/>
              <w:right w:type="dxa" w:w="100"/>
            </w:tcMar>
          </w:tcPr>
          <w:p>
            <w:r>
              <w:rPr>
                <w:b w:val="false"/>
                <w:bCs w:val="false"/>
                <w:sz w:val="18"/>
                <w:szCs w:val="18"/>
              </w:rPr>
              <w:t xml:space="preserve">7.6</w:t>
            </w:r>
          </w:p>
        </w:tc>
      </w:tr>
      <w:tr>
        <w:tc>
          <w:tcPr>
            <w:tcW w:type="dxa" w:w="1900"/>
            <w:shd w:fill="F2F5F3" w:val="clear"/>
            <w:tcMar>
              <w:top w:type="dxa" w:w="80"/>
              <w:left w:type="dxa" w:w="100"/>
              <w:bottom w:type="dxa" w:w="80"/>
              <w:right w:type="dxa" w:w="100"/>
            </w:tcMar>
          </w:tcPr>
          <w:p>
            <w:r>
              <w:rPr>
                <w:b w:val="false"/>
                <w:bCs w:val="false"/>
                <w:sz w:val="18"/>
                <w:szCs w:val="18"/>
              </w:rPr>
              <w:t xml:space="preserve">AI Recommendation Engine</w:t>
            </w:r>
          </w:p>
        </w:tc>
        <w:tc>
          <w:tcPr>
            <w:tcW w:type="dxa" w:w="700"/>
            <w:shd w:fill="F2F5F3" w:val="clear"/>
            <w:tcMar>
              <w:top w:type="dxa" w:w="80"/>
              <w:left w:type="dxa" w:w="100"/>
              <w:bottom w:type="dxa" w:w="80"/>
              <w:right w:type="dxa" w:w="100"/>
            </w:tcMar>
          </w:tcPr>
          <w:p>
            <w:r>
              <w:rPr>
                <w:b w:val="false"/>
                <w:bCs w:val="false"/>
                <w:sz w:val="18"/>
                <w:szCs w:val="18"/>
              </w:rPr>
              <w:t xml:space="preserve">5211</w:t>
            </w:r>
          </w:p>
        </w:tc>
        <w:tc>
          <w:tcPr>
            <w:tcW w:type="dxa" w:w="900"/>
            <w:shd w:fill="F2F5F3" w:val="clear"/>
            <w:tcMar>
              <w:top w:type="dxa" w:w="80"/>
              <w:left w:type="dxa" w:w="100"/>
              <w:bottom w:type="dxa" w:w="80"/>
              <w:right w:type="dxa" w:w="100"/>
            </w:tcMar>
          </w:tcPr>
          <w:p>
            <w:r>
              <w:rPr>
                <w:b w:val="false"/>
                <w:bCs w:val="false"/>
                <w:sz w:val="18"/>
                <w:szCs w:val="18"/>
              </w:rPr>
              <w:t xml:space="preserve">10.4</w:t>
            </w:r>
          </w:p>
        </w:tc>
        <w:tc>
          <w:tcPr>
            <w:tcW w:type="dxa" w:w="800"/>
            <w:shd w:fill="F2F5F3" w:val="clear"/>
            <w:tcMar>
              <w:top w:type="dxa" w:w="80"/>
              <w:left w:type="dxa" w:w="100"/>
              <w:bottom w:type="dxa" w:w="80"/>
              <w:right w:type="dxa" w:w="100"/>
            </w:tcMar>
          </w:tcPr>
          <w:p>
            <w:r>
              <w:rPr>
                <w:b w:val="false"/>
                <w:bCs w:val="false"/>
                <w:sz w:val="18"/>
                <w:szCs w:val="18"/>
              </w:rPr>
              <w:t xml:space="preserve">18</w:t>
            </w:r>
          </w:p>
        </w:tc>
        <w:tc>
          <w:tcPr>
            <w:tcW w:type="dxa" w:w="900"/>
            <w:shd w:fill="F2F5F3" w:val="clear"/>
            <w:tcMar>
              <w:top w:type="dxa" w:w="80"/>
              <w:left w:type="dxa" w:w="100"/>
              <w:bottom w:type="dxa" w:w="80"/>
              <w:right w:type="dxa" w:w="100"/>
            </w:tcMar>
          </w:tcPr>
          <w:p>
            <w:r>
              <w:rPr>
                <w:b w:val="false"/>
                <w:bCs w:val="false"/>
                <w:sz w:val="18"/>
                <w:szCs w:val="18"/>
              </w:rPr>
              <w:t xml:space="preserve">69.3</w:t>
            </w:r>
          </w:p>
        </w:tc>
        <w:tc>
          <w:tcPr>
            <w:tcW w:type="dxa" w:w="800"/>
            <w:shd w:fill="F2F5F3" w:val="clear"/>
            <w:tcMar>
              <w:top w:type="dxa" w:w="80"/>
              <w:left w:type="dxa" w:w="100"/>
              <w:bottom w:type="dxa" w:w="80"/>
              <w:right w:type="dxa" w:w="100"/>
            </w:tcMar>
          </w:tcPr>
          <w:p>
            <w:r>
              <w:rPr>
                <w:b w:val="false"/>
                <w:bCs w:val="false"/>
                <w:sz w:val="18"/>
                <w:szCs w:val="18"/>
              </w:rPr>
              <w:t xml:space="preserve">9</w:t>
            </w:r>
          </w:p>
        </w:tc>
        <w:tc>
          <w:tcPr>
            <w:tcW w:type="dxa" w:w="700"/>
            <w:shd w:fill="F2F5F3" w:val="clear"/>
            <w:tcMar>
              <w:top w:type="dxa" w:w="80"/>
              <w:left w:type="dxa" w:w="100"/>
              <w:bottom w:type="dxa" w:w="80"/>
              <w:right w:type="dxa" w:w="100"/>
            </w:tcMar>
          </w:tcPr>
          <w:p>
            <w:r>
              <w:rPr>
                <w:b w:val="false"/>
                <w:bCs w:val="false"/>
                <w:sz w:val="18"/>
                <w:szCs w:val="18"/>
              </w:rPr>
              <w:t xml:space="preserve">7</w:t>
            </w:r>
          </w:p>
        </w:tc>
        <w:tc>
          <w:tcPr>
            <w:tcW w:type="dxa" w:w="700"/>
            <w:shd w:fill="F2F5F3" w:val="clear"/>
            <w:tcMar>
              <w:top w:type="dxa" w:w="80"/>
              <w:left w:type="dxa" w:w="100"/>
              <w:bottom w:type="dxa" w:w="80"/>
              <w:right w:type="dxa" w:w="100"/>
            </w:tcMar>
          </w:tcPr>
          <w:p>
            <w:r>
              <w:rPr>
                <w:b w:val="false"/>
                <w:bCs w:val="false"/>
                <w:sz w:val="18"/>
                <w:szCs w:val="18"/>
              </w:rPr>
              <w:t xml:space="preserve">6</w:t>
            </w:r>
          </w:p>
        </w:tc>
        <w:tc>
          <w:tcPr>
            <w:tcW w:type="dxa" w:w="800"/>
            <w:shd w:fill="F2F5F3" w:val="clear"/>
            <w:tcMar>
              <w:top w:type="dxa" w:w="80"/>
              <w:left w:type="dxa" w:w="100"/>
              <w:bottom w:type="dxa" w:w="80"/>
              <w:right w:type="dxa" w:w="100"/>
            </w:tcMar>
          </w:tcPr>
          <w:p>
            <w:r>
              <w:rPr>
                <w:b w:val="false"/>
                <w:bCs w:val="false"/>
                <w:sz w:val="18"/>
                <w:szCs w:val="18"/>
              </w:rPr>
              <w:t xml:space="preserve">12</w:t>
            </w:r>
          </w:p>
        </w:tc>
        <w:tc>
          <w:tcPr>
            <w:tcW w:type="dxa" w:w="800"/>
            <w:shd w:fill="F2F5F3" w:val="clear"/>
            <w:tcMar>
              <w:top w:type="dxa" w:w="80"/>
              <w:left w:type="dxa" w:w="100"/>
              <w:bottom w:type="dxa" w:w="80"/>
              <w:right w:type="dxa" w:w="100"/>
            </w:tcMar>
          </w:tcPr>
          <w:p>
            <w:r>
              <w:rPr>
                <w:b w:val="false"/>
                <w:bCs w:val="false"/>
                <w:sz w:val="18"/>
                <w:szCs w:val="18"/>
              </w:rPr>
              <w:t xml:space="preserve">6.9</w:t>
            </w:r>
          </w:p>
        </w:tc>
      </w:tr>
      <w:tr>
        <w:tc>
          <w:tcPr>
            <w:tcW w:type="dxa" w:w="1900"/>
            <w:tcMar>
              <w:top w:type="dxa" w:w="80"/>
              <w:left w:type="dxa" w:w="100"/>
              <w:bottom w:type="dxa" w:w="80"/>
              <w:right w:type="dxa" w:w="100"/>
            </w:tcMar>
          </w:tcPr>
          <w:p>
            <w:r>
              <w:rPr>
                <w:b w:val="false"/>
                <w:bCs w:val="false"/>
                <w:sz w:val="18"/>
                <w:szCs w:val="18"/>
              </w:rPr>
              <w:t xml:space="preserve">Finance Dashboard</w:t>
            </w:r>
          </w:p>
        </w:tc>
        <w:tc>
          <w:tcPr>
            <w:tcW w:type="dxa" w:w="700"/>
            <w:tcMar>
              <w:top w:type="dxa" w:w="80"/>
              <w:left w:type="dxa" w:w="100"/>
              <w:bottom w:type="dxa" w:w="80"/>
              <w:right w:type="dxa" w:w="100"/>
            </w:tcMar>
          </w:tcPr>
          <w:p>
            <w:r>
              <w:rPr>
                <w:b w:val="false"/>
                <w:bCs w:val="false"/>
                <w:sz w:val="18"/>
                <w:szCs w:val="18"/>
              </w:rPr>
              <w:t xml:space="preserve">3268</w:t>
            </w:r>
          </w:p>
        </w:tc>
        <w:tc>
          <w:tcPr>
            <w:tcW w:type="dxa" w:w="900"/>
            <w:tcMar>
              <w:top w:type="dxa" w:w="80"/>
              <w:left w:type="dxa" w:w="100"/>
              <w:bottom w:type="dxa" w:w="80"/>
              <w:right w:type="dxa" w:w="100"/>
            </w:tcMar>
          </w:tcPr>
          <w:p>
            <w:r>
              <w:rPr>
                <w:b w:val="false"/>
                <w:bCs w:val="false"/>
                <w:sz w:val="18"/>
                <w:szCs w:val="18"/>
              </w:rPr>
              <w:t xml:space="preserve">16.4</w:t>
            </w:r>
          </w:p>
        </w:tc>
        <w:tc>
          <w:tcPr>
            <w:tcW w:type="dxa" w:w="800"/>
            <w:tcMar>
              <w:top w:type="dxa" w:w="80"/>
              <w:left w:type="dxa" w:w="100"/>
              <w:bottom w:type="dxa" w:w="80"/>
              <w:right w:type="dxa" w:w="100"/>
            </w:tcMar>
          </w:tcPr>
          <w:p>
            <w:r>
              <w:rPr>
                <w:b w:val="false"/>
                <w:bCs w:val="false"/>
                <w:sz w:val="18"/>
                <w:szCs w:val="18"/>
              </w:rPr>
              <w:t xml:space="preserve">5</w:t>
            </w:r>
          </w:p>
        </w:tc>
        <w:tc>
          <w:tcPr>
            <w:tcW w:type="dxa" w:w="900"/>
            <w:tcMar>
              <w:top w:type="dxa" w:w="80"/>
              <w:left w:type="dxa" w:w="100"/>
              <w:bottom w:type="dxa" w:w="80"/>
              <w:right w:type="dxa" w:w="100"/>
            </w:tcMar>
          </w:tcPr>
          <w:p>
            <w:r>
              <w:rPr>
                <w:b w:val="false"/>
                <w:bCs w:val="false"/>
                <w:sz w:val="18"/>
                <w:szCs w:val="18"/>
              </w:rPr>
              <w:t xml:space="preserve">67.3</w:t>
            </w:r>
          </w:p>
        </w:tc>
        <w:tc>
          <w:tcPr>
            <w:tcW w:type="dxa" w:w="800"/>
            <w:tcMar>
              <w:top w:type="dxa" w:w="80"/>
              <w:left w:type="dxa" w:w="100"/>
              <w:bottom w:type="dxa" w:w="80"/>
              <w:right w:type="dxa" w:w="100"/>
            </w:tcMar>
          </w:tcPr>
          <w:p>
            <w:r>
              <w:rPr>
                <w:b w:val="false"/>
                <w:bCs w:val="false"/>
                <w:sz w:val="18"/>
                <w:szCs w:val="18"/>
              </w:rPr>
              <w:t xml:space="preserve">6</w:t>
            </w:r>
          </w:p>
        </w:tc>
        <w:tc>
          <w:tcPr>
            <w:tcW w:type="dxa" w:w="700"/>
            <w:tcMar>
              <w:top w:type="dxa" w:w="80"/>
              <w:left w:type="dxa" w:w="100"/>
              <w:bottom w:type="dxa" w:w="80"/>
              <w:right w:type="dxa" w:w="100"/>
            </w:tcMar>
          </w:tcPr>
          <w:p>
            <w:r>
              <w:rPr>
                <w:b w:val="false"/>
                <w:bCs w:val="false"/>
                <w:sz w:val="18"/>
                <w:szCs w:val="18"/>
              </w:rPr>
              <w:t xml:space="preserve">6</w:t>
            </w:r>
          </w:p>
        </w:tc>
        <w:tc>
          <w:tcPr>
            <w:tcW w:type="dxa" w:w="700"/>
            <w:tcMar>
              <w:top w:type="dxa" w:w="80"/>
              <w:left w:type="dxa" w:w="100"/>
              <w:bottom w:type="dxa" w:w="80"/>
              <w:right w:type="dxa" w:w="100"/>
            </w:tcMar>
          </w:tcPr>
          <w:p>
            <w:r>
              <w:rPr>
                <w:b w:val="false"/>
                <w:bCs w:val="false"/>
                <w:sz w:val="18"/>
                <w:szCs w:val="18"/>
              </w:rPr>
              <w:t xml:space="preserve">5</w:t>
            </w:r>
          </w:p>
        </w:tc>
        <w:tc>
          <w:tcPr>
            <w:tcW w:type="dxa" w:w="800"/>
            <w:tcMar>
              <w:top w:type="dxa" w:w="80"/>
              <w:left w:type="dxa" w:w="100"/>
              <w:bottom w:type="dxa" w:w="80"/>
              <w:right w:type="dxa" w:w="100"/>
            </w:tcMar>
          </w:tcPr>
          <w:p>
            <w:r>
              <w:rPr>
                <w:b w:val="false"/>
                <w:bCs w:val="false"/>
                <w:sz w:val="18"/>
                <w:szCs w:val="18"/>
              </w:rPr>
              <w:t xml:space="preserve">10</w:t>
            </w:r>
          </w:p>
        </w:tc>
        <w:tc>
          <w:tcPr>
            <w:tcW w:type="dxa" w:w="800"/>
            <w:tcMar>
              <w:top w:type="dxa" w:w="80"/>
              <w:left w:type="dxa" w:w="100"/>
              <w:bottom w:type="dxa" w:w="80"/>
              <w:right w:type="dxa" w:w="100"/>
            </w:tcMar>
          </w:tcPr>
          <w:p>
            <w:r>
              <w:rPr>
                <w:b w:val="false"/>
                <w:bCs w:val="false"/>
                <w:sz w:val="18"/>
                <w:szCs w:val="18"/>
              </w:rPr>
              <w:t xml:space="preserve">4.1</w:t>
            </w:r>
          </w:p>
        </w:tc>
      </w:tr>
      <w:tr>
        <w:tc>
          <w:tcPr>
            <w:tcW w:type="dxa" w:w="1900"/>
            <w:shd w:fill="F2F5F3" w:val="clear"/>
            <w:tcMar>
              <w:top w:type="dxa" w:w="80"/>
              <w:left w:type="dxa" w:w="100"/>
              <w:bottom w:type="dxa" w:w="80"/>
              <w:right w:type="dxa" w:w="100"/>
            </w:tcMar>
          </w:tcPr>
          <w:p>
            <w:r>
              <w:rPr>
                <w:b w:val="false"/>
                <w:bCs w:val="false"/>
                <w:sz w:val="18"/>
                <w:szCs w:val="18"/>
              </w:rPr>
              <w:t xml:space="preserve">Anomaly Detection Model</w:t>
            </w:r>
          </w:p>
        </w:tc>
        <w:tc>
          <w:tcPr>
            <w:tcW w:type="dxa" w:w="700"/>
            <w:shd w:fill="F2F5F3" w:val="clear"/>
            <w:tcMar>
              <w:top w:type="dxa" w:w="80"/>
              <w:left w:type="dxa" w:w="100"/>
              <w:bottom w:type="dxa" w:w="80"/>
              <w:right w:type="dxa" w:w="100"/>
            </w:tcMar>
          </w:tcPr>
          <w:p>
            <w:r>
              <w:rPr>
                <w:b w:val="false"/>
                <w:bCs w:val="false"/>
                <w:sz w:val="18"/>
                <w:szCs w:val="18"/>
              </w:rPr>
              <w:t xml:space="preserve">4531</w:t>
            </w:r>
          </w:p>
        </w:tc>
        <w:tc>
          <w:tcPr>
            <w:tcW w:type="dxa" w:w="900"/>
            <w:shd w:fill="F2F5F3" w:val="clear"/>
            <w:tcMar>
              <w:top w:type="dxa" w:w="80"/>
              <w:left w:type="dxa" w:w="100"/>
              <w:bottom w:type="dxa" w:w="80"/>
              <w:right w:type="dxa" w:w="100"/>
            </w:tcMar>
          </w:tcPr>
          <w:p>
            <w:r>
              <w:rPr>
                <w:b w:val="false"/>
                <w:bCs w:val="false"/>
                <w:sz w:val="18"/>
                <w:szCs w:val="18"/>
              </w:rPr>
              <w:t xml:space="preserve">11.9</w:t>
            </w:r>
          </w:p>
        </w:tc>
        <w:tc>
          <w:tcPr>
            <w:tcW w:type="dxa" w:w="800"/>
            <w:shd w:fill="F2F5F3" w:val="clear"/>
            <w:tcMar>
              <w:top w:type="dxa" w:w="80"/>
              <w:left w:type="dxa" w:w="100"/>
              <w:bottom w:type="dxa" w:w="80"/>
              <w:right w:type="dxa" w:w="100"/>
            </w:tcMar>
          </w:tcPr>
          <w:p>
            <w:r>
              <w:rPr>
                <w:b w:val="false"/>
                <w:bCs w:val="false"/>
                <w:sz w:val="18"/>
                <w:szCs w:val="18"/>
              </w:rPr>
              <w:t xml:space="preserve">7</w:t>
            </w:r>
          </w:p>
        </w:tc>
        <w:tc>
          <w:tcPr>
            <w:tcW w:type="dxa" w:w="900"/>
            <w:shd w:fill="F2F5F3" w:val="clear"/>
            <w:tcMar>
              <w:top w:type="dxa" w:w="80"/>
              <w:left w:type="dxa" w:w="100"/>
              <w:bottom w:type="dxa" w:w="80"/>
              <w:right w:type="dxa" w:w="100"/>
            </w:tcMar>
          </w:tcPr>
          <w:p>
            <w:r>
              <w:rPr>
                <w:b w:val="false"/>
                <w:bCs w:val="false"/>
                <w:sz w:val="18"/>
                <w:szCs w:val="18"/>
              </w:rPr>
              <w:t xml:space="preserve">56.6</w:t>
            </w:r>
          </w:p>
        </w:tc>
        <w:tc>
          <w:tcPr>
            <w:tcW w:type="dxa" w:w="800"/>
            <w:shd w:fill="F2F5F3" w:val="clear"/>
            <w:tcMar>
              <w:top w:type="dxa" w:w="80"/>
              <w:left w:type="dxa" w:w="100"/>
              <w:bottom w:type="dxa" w:w="80"/>
              <w:right w:type="dxa" w:w="100"/>
            </w:tcMar>
          </w:tcPr>
          <w:p>
            <w:r>
              <w:rPr>
                <w:b w:val="false"/>
                <w:bCs w:val="false"/>
                <w:sz w:val="18"/>
                <w:szCs w:val="18"/>
              </w:rPr>
              <w:t xml:space="preserve">15</w:t>
            </w:r>
          </w:p>
        </w:tc>
        <w:tc>
          <w:tcPr>
            <w:tcW w:type="dxa" w:w="700"/>
            <w:shd w:fill="F2F5F3" w:val="clear"/>
            <w:tcMar>
              <w:top w:type="dxa" w:w="80"/>
              <w:left w:type="dxa" w:w="100"/>
              <w:bottom w:type="dxa" w:w="80"/>
              <w:right w:type="dxa" w:w="100"/>
            </w:tcMar>
          </w:tcPr>
          <w:p>
            <w:r>
              <w:rPr>
                <w:b w:val="false"/>
                <w:bCs w:val="false"/>
                <w:sz w:val="18"/>
                <w:szCs w:val="18"/>
              </w:rPr>
              <w:t xml:space="preserve">9</w:t>
            </w:r>
          </w:p>
        </w:tc>
        <w:tc>
          <w:tcPr>
            <w:tcW w:type="dxa" w:w="700"/>
            <w:shd w:fill="F2F5F3" w:val="clear"/>
            <w:tcMar>
              <w:top w:type="dxa" w:w="80"/>
              <w:left w:type="dxa" w:w="100"/>
              <w:bottom w:type="dxa" w:w="80"/>
              <w:right w:type="dxa" w:w="100"/>
            </w:tcMar>
          </w:tcPr>
          <w:p>
            <w:r>
              <w:rPr>
                <w:b w:val="false"/>
                <w:bCs w:val="false"/>
                <w:sz w:val="18"/>
                <w:szCs w:val="18"/>
              </w:rPr>
              <w:t xml:space="preserve">7</w:t>
            </w:r>
          </w:p>
        </w:tc>
        <w:tc>
          <w:tcPr>
            <w:tcW w:type="dxa" w:w="800"/>
            <w:shd w:fill="F2F5F3" w:val="clear"/>
            <w:tcMar>
              <w:top w:type="dxa" w:w="80"/>
              <w:left w:type="dxa" w:w="100"/>
              <w:bottom w:type="dxa" w:w="80"/>
              <w:right w:type="dxa" w:w="100"/>
            </w:tcMar>
          </w:tcPr>
          <w:p>
            <w:r>
              <w:rPr>
                <w:b w:val="false"/>
                <w:bCs w:val="false"/>
                <w:sz w:val="18"/>
                <w:szCs w:val="18"/>
              </w:rPr>
              <w:t xml:space="preserve">14</w:t>
            </w:r>
          </w:p>
        </w:tc>
        <w:tc>
          <w:tcPr>
            <w:tcW w:type="dxa" w:w="800"/>
            <w:shd w:fill="F2F5F3" w:val="clear"/>
            <w:tcMar>
              <w:top w:type="dxa" w:w="80"/>
              <w:left w:type="dxa" w:w="100"/>
              <w:bottom w:type="dxa" w:w="80"/>
              <w:right w:type="dxa" w:w="100"/>
            </w:tcMar>
          </w:tcPr>
          <w:p>
            <w:r>
              <w:rPr>
                <w:b w:val="false"/>
                <w:bCs w:val="false"/>
                <w:sz w:val="18"/>
                <w:szCs w:val="18"/>
              </w:rPr>
              <w:t xml:space="preserve">3.8</w:t>
            </w:r>
          </w:p>
        </w:tc>
      </w:tr>
      <w:tr>
        <w:tc>
          <w:tcPr>
            <w:tcW w:type="dxa" w:w="1900"/>
            <w:tcMar>
              <w:top w:type="dxa" w:w="80"/>
              <w:left w:type="dxa" w:w="100"/>
              <w:bottom w:type="dxa" w:w="80"/>
              <w:right w:type="dxa" w:w="100"/>
            </w:tcMar>
          </w:tcPr>
          <w:p>
            <w:r>
              <w:rPr>
                <w:b w:val="false"/>
                <w:bCs w:val="false"/>
                <w:sz w:val="18"/>
                <w:szCs w:val="18"/>
              </w:rPr>
              <w:t xml:space="preserve">Report Generator</w:t>
            </w:r>
          </w:p>
        </w:tc>
        <w:tc>
          <w:tcPr>
            <w:tcW w:type="dxa" w:w="700"/>
            <w:tcMar>
              <w:top w:type="dxa" w:w="80"/>
              <w:left w:type="dxa" w:w="100"/>
              <w:bottom w:type="dxa" w:w="80"/>
              <w:right w:type="dxa" w:w="100"/>
            </w:tcMar>
          </w:tcPr>
          <w:p>
            <w:r>
              <w:rPr>
                <w:b w:val="false"/>
                <w:bCs w:val="false"/>
                <w:sz w:val="18"/>
                <w:szCs w:val="18"/>
              </w:rPr>
              <w:t xml:space="preserve">1336</w:t>
            </w:r>
          </w:p>
        </w:tc>
        <w:tc>
          <w:tcPr>
            <w:tcW w:type="dxa" w:w="900"/>
            <w:tcMar>
              <w:top w:type="dxa" w:w="80"/>
              <w:left w:type="dxa" w:w="100"/>
              <w:bottom w:type="dxa" w:w="80"/>
              <w:right w:type="dxa" w:w="100"/>
            </w:tcMar>
          </w:tcPr>
          <w:p>
            <w:r>
              <w:rPr>
                <w:b w:val="false"/>
                <w:bCs w:val="false"/>
                <w:sz w:val="18"/>
                <w:szCs w:val="18"/>
              </w:rPr>
              <w:t xml:space="preserve">7.7</w:t>
            </w:r>
          </w:p>
        </w:tc>
        <w:tc>
          <w:tcPr>
            <w:tcW w:type="dxa" w:w="800"/>
            <w:tcMar>
              <w:top w:type="dxa" w:w="80"/>
              <w:left w:type="dxa" w:w="100"/>
              <w:bottom w:type="dxa" w:w="80"/>
              <w:right w:type="dxa" w:w="100"/>
            </w:tcMar>
          </w:tcPr>
          <w:p>
            <w:r>
              <w:rPr>
                <w:b w:val="false"/>
                <w:bCs w:val="false"/>
                <w:sz w:val="18"/>
                <w:szCs w:val="18"/>
              </w:rPr>
              <w:t xml:space="preserve">21</w:t>
            </w:r>
          </w:p>
        </w:tc>
        <w:tc>
          <w:tcPr>
            <w:tcW w:type="dxa" w:w="900"/>
            <w:tcMar>
              <w:top w:type="dxa" w:w="80"/>
              <w:left w:type="dxa" w:w="100"/>
              <w:bottom w:type="dxa" w:w="80"/>
              <w:right w:type="dxa" w:w="100"/>
            </w:tcMar>
          </w:tcPr>
          <w:p>
            <w:r>
              <w:rPr>
                <w:b w:val="false"/>
                <w:bCs w:val="false"/>
                <w:sz w:val="18"/>
                <w:szCs w:val="18"/>
              </w:rPr>
              <w:t xml:space="preserve">86</w:t>
            </w:r>
          </w:p>
        </w:tc>
        <w:tc>
          <w:tcPr>
            <w:tcW w:type="dxa" w:w="800"/>
            <w:tcMar>
              <w:top w:type="dxa" w:w="80"/>
              <w:left w:type="dxa" w:w="100"/>
              <w:bottom w:type="dxa" w:w="80"/>
              <w:right w:type="dxa" w:w="100"/>
            </w:tcMar>
          </w:tcPr>
          <w:p>
            <w:r>
              <w:rPr>
                <w:b w:val="false"/>
                <w:bCs w:val="false"/>
                <w:sz w:val="18"/>
                <w:szCs w:val="18"/>
              </w:rPr>
              <w:t xml:space="preserve">6</w:t>
            </w:r>
          </w:p>
        </w:tc>
        <w:tc>
          <w:tcPr>
            <w:tcW w:type="dxa" w:w="700"/>
            <w:tcMar>
              <w:top w:type="dxa" w:w="80"/>
              <w:left w:type="dxa" w:w="100"/>
              <w:bottom w:type="dxa" w:w="80"/>
              <w:right w:type="dxa" w:w="100"/>
            </w:tcMar>
          </w:tcPr>
          <w:p>
            <w:r>
              <w:rPr>
                <w:b w:val="false"/>
                <w:bCs w:val="false"/>
                <w:sz w:val="18"/>
                <w:szCs w:val="18"/>
              </w:rPr>
              <w:t xml:space="preserve">5</w:t>
            </w:r>
          </w:p>
        </w:tc>
        <w:tc>
          <w:tcPr>
            <w:tcW w:type="dxa" w:w="700"/>
            <w:tcMar>
              <w:top w:type="dxa" w:w="80"/>
              <w:left w:type="dxa" w:w="100"/>
              <w:bottom w:type="dxa" w:w="80"/>
              <w:right w:type="dxa" w:w="100"/>
            </w:tcMar>
          </w:tcPr>
          <w:p>
            <w:r>
              <w:rPr>
                <w:b w:val="false"/>
                <w:bCs w:val="false"/>
                <w:sz w:val="18"/>
                <w:szCs w:val="18"/>
              </w:rPr>
              <w:t xml:space="preserve">3</w:t>
            </w:r>
          </w:p>
        </w:tc>
        <w:tc>
          <w:tcPr>
            <w:tcW w:type="dxa" w:w="800"/>
            <w:tcMar>
              <w:top w:type="dxa" w:w="80"/>
              <w:left w:type="dxa" w:w="100"/>
              <w:bottom w:type="dxa" w:w="80"/>
              <w:right w:type="dxa" w:w="100"/>
            </w:tcMar>
          </w:tcPr>
          <w:p>
            <w:r>
              <w:rPr>
                <w:b w:val="false"/>
                <w:bCs w:val="false"/>
                <w:sz w:val="18"/>
                <w:szCs w:val="18"/>
              </w:rPr>
              <w:t xml:space="preserve">6</w:t>
            </w:r>
          </w:p>
        </w:tc>
        <w:tc>
          <w:tcPr>
            <w:tcW w:type="dxa" w:w="800"/>
            <w:tcMar>
              <w:top w:type="dxa" w:w="80"/>
              <w:left w:type="dxa" w:w="100"/>
              <w:bottom w:type="dxa" w:w="80"/>
              <w:right w:type="dxa" w:w="100"/>
            </w:tcMar>
          </w:tcPr>
          <w:p>
            <w:r>
              <w:rPr>
                <w:b w:val="false"/>
                <w:bCs w:val="false"/>
                <w:sz w:val="18"/>
                <w:szCs w:val="18"/>
              </w:rPr>
              <w:t xml:space="preserve">6.5</w:t>
            </w:r>
          </w:p>
        </w:tc>
      </w:tr>
      <w:tr>
        <w:tc>
          <w:tcPr>
            <w:tcW w:type="dxa" w:w="1900"/>
            <w:shd w:fill="F2F5F3" w:val="clear"/>
            <w:tcMar>
              <w:top w:type="dxa" w:w="80"/>
              <w:left w:type="dxa" w:w="100"/>
              <w:bottom w:type="dxa" w:w="80"/>
              <w:right w:type="dxa" w:w="100"/>
            </w:tcMar>
          </w:tcPr>
          <w:p>
            <w:r>
              <w:rPr>
                <w:b w:val="false"/>
                <w:bCs w:val="false"/>
                <w:sz w:val="18"/>
                <w:szCs w:val="18"/>
              </w:rPr>
              <w:t xml:space="preserve">Recurring Bill Scheduler</w:t>
            </w:r>
          </w:p>
        </w:tc>
        <w:tc>
          <w:tcPr>
            <w:tcW w:type="dxa" w:w="700"/>
            <w:shd w:fill="F2F5F3" w:val="clear"/>
            <w:tcMar>
              <w:top w:type="dxa" w:w="80"/>
              <w:left w:type="dxa" w:w="100"/>
              <w:bottom w:type="dxa" w:w="80"/>
              <w:right w:type="dxa" w:w="100"/>
            </w:tcMar>
          </w:tcPr>
          <w:p>
            <w:r>
              <w:rPr>
                <w:b w:val="false"/>
                <w:bCs w:val="false"/>
                <w:sz w:val="18"/>
                <w:szCs w:val="18"/>
              </w:rPr>
              <w:t xml:space="preserve">6361</w:t>
            </w:r>
          </w:p>
        </w:tc>
        <w:tc>
          <w:tcPr>
            <w:tcW w:type="dxa" w:w="900"/>
            <w:shd w:fill="F2F5F3" w:val="clear"/>
            <w:tcMar>
              <w:top w:type="dxa" w:w="80"/>
              <w:left w:type="dxa" w:w="100"/>
              <w:bottom w:type="dxa" w:w="80"/>
              <w:right w:type="dxa" w:w="100"/>
            </w:tcMar>
          </w:tcPr>
          <w:p>
            <w:r>
              <w:rPr>
                <w:b w:val="false"/>
                <w:bCs w:val="false"/>
                <w:sz w:val="18"/>
                <w:szCs w:val="18"/>
              </w:rPr>
              <w:t xml:space="preserve">7.2</w:t>
            </w:r>
          </w:p>
        </w:tc>
        <w:tc>
          <w:tcPr>
            <w:tcW w:type="dxa" w:w="800"/>
            <w:shd w:fill="F2F5F3" w:val="clear"/>
            <w:tcMar>
              <w:top w:type="dxa" w:w="80"/>
              <w:left w:type="dxa" w:w="100"/>
              <w:bottom w:type="dxa" w:w="80"/>
              <w:right w:type="dxa" w:w="100"/>
            </w:tcMar>
          </w:tcPr>
          <w:p>
            <w:r>
              <w:rPr>
                <w:b w:val="false"/>
                <w:bCs w:val="false"/>
                <w:sz w:val="18"/>
                <w:szCs w:val="18"/>
              </w:rPr>
              <w:t xml:space="preserve">19</w:t>
            </w:r>
          </w:p>
        </w:tc>
        <w:tc>
          <w:tcPr>
            <w:tcW w:type="dxa" w:w="900"/>
            <w:shd w:fill="F2F5F3" w:val="clear"/>
            <w:tcMar>
              <w:top w:type="dxa" w:w="80"/>
              <w:left w:type="dxa" w:w="100"/>
              <w:bottom w:type="dxa" w:w="80"/>
              <w:right w:type="dxa" w:w="100"/>
            </w:tcMar>
          </w:tcPr>
          <w:p>
            <w:r>
              <w:rPr>
                <w:b w:val="false"/>
                <w:bCs w:val="false"/>
                <w:sz w:val="18"/>
                <w:szCs w:val="18"/>
              </w:rPr>
              <w:t xml:space="preserve">59.7</w:t>
            </w:r>
          </w:p>
        </w:tc>
        <w:tc>
          <w:tcPr>
            <w:tcW w:type="dxa" w:w="800"/>
            <w:shd w:fill="F2F5F3" w:val="clear"/>
            <w:tcMar>
              <w:top w:type="dxa" w:w="80"/>
              <w:left w:type="dxa" w:w="100"/>
              <w:bottom w:type="dxa" w:w="80"/>
              <w:right w:type="dxa" w:w="100"/>
            </w:tcMar>
          </w:tcPr>
          <w:p>
            <w:r>
              <w:rPr>
                <w:b w:val="false"/>
                <w:bCs w:val="false"/>
                <w:sz w:val="18"/>
                <w:szCs w:val="18"/>
              </w:rPr>
              <w:t xml:space="preserve">5</w:t>
            </w:r>
          </w:p>
        </w:tc>
        <w:tc>
          <w:tcPr>
            <w:tcW w:type="dxa" w:w="700"/>
            <w:shd w:fill="F2F5F3" w:val="clear"/>
            <w:tcMar>
              <w:top w:type="dxa" w:w="80"/>
              <w:left w:type="dxa" w:w="100"/>
              <w:bottom w:type="dxa" w:w="80"/>
              <w:right w:type="dxa" w:w="100"/>
            </w:tcMar>
          </w:tcPr>
          <w:p>
            <w:r>
              <w:rPr>
                <w:b w:val="false"/>
                <w:bCs w:val="false"/>
                <w:sz w:val="18"/>
                <w:szCs w:val="18"/>
              </w:rPr>
              <w:t xml:space="preserve">5</w:t>
            </w:r>
          </w:p>
        </w:tc>
        <w:tc>
          <w:tcPr>
            <w:tcW w:type="dxa" w:w="700"/>
            <w:shd w:fill="F2F5F3" w:val="clear"/>
            <w:tcMar>
              <w:top w:type="dxa" w:w="80"/>
              <w:left w:type="dxa" w:w="100"/>
              <w:bottom w:type="dxa" w:w="80"/>
              <w:right w:type="dxa" w:w="100"/>
            </w:tcMar>
          </w:tcPr>
          <w:p>
            <w:r>
              <w:rPr>
                <w:b w:val="false"/>
                <w:bCs w:val="false"/>
                <w:sz w:val="18"/>
                <w:szCs w:val="18"/>
              </w:rPr>
              <w:t xml:space="preserve">3</w:t>
            </w:r>
          </w:p>
        </w:tc>
        <w:tc>
          <w:tcPr>
            <w:tcW w:type="dxa" w:w="800"/>
            <w:shd w:fill="F2F5F3" w:val="clear"/>
            <w:tcMar>
              <w:top w:type="dxa" w:w="80"/>
              <w:left w:type="dxa" w:w="100"/>
              <w:bottom w:type="dxa" w:w="80"/>
              <w:right w:type="dxa" w:w="100"/>
            </w:tcMar>
          </w:tcPr>
          <w:p>
            <w:r>
              <w:rPr>
                <w:b w:val="false"/>
                <w:bCs w:val="false"/>
                <w:sz w:val="18"/>
                <w:szCs w:val="18"/>
              </w:rPr>
              <w:t xml:space="preserve">6</w:t>
            </w:r>
          </w:p>
        </w:tc>
        <w:tc>
          <w:tcPr>
            <w:tcW w:type="dxa" w:w="800"/>
            <w:shd w:fill="F2F5F3" w:val="clear"/>
            <w:tcMar>
              <w:top w:type="dxa" w:w="80"/>
              <w:left w:type="dxa" w:w="100"/>
              <w:bottom w:type="dxa" w:w="80"/>
              <w:right w:type="dxa" w:w="100"/>
            </w:tcMar>
          </w:tcPr>
          <w:p>
            <w:r>
              <w:rPr>
                <w:b w:val="false"/>
                <w:bCs w:val="false"/>
                <w:sz w:val="18"/>
                <w:szCs w:val="18"/>
              </w:rPr>
              <w:t xml:space="preserve">8.5</w:t>
            </w:r>
          </w:p>
        </w:tc>
      </w:tr>
      <w:tr>
        <w:tc>
          <w:tcPr>
            <w:tcW w:type="dxa" w:w="1900"/>
            <w:tcMar>
              <w:top w:type="dxa" w:w="80"/>
              <w:left w:type="dxa" w:w="100"/>
              <w:bottom w:type="dxa" w:w="80"/>
              <w:right w:type="dxa" w:w="100"/>
            </w:tcMar>
          </w:tcPr>
          <w:p>
            <w:r>
              <w:rPr>
                <w:b w:val="false"/>
                <w:bCs w:val="false"/>
                <w:sz w:val="18"/>
                <w:szCs w:val="18"/>
              </w:rPr>
              <w:t xml:space="preserve">Notification Service</w:t>
            </w:r>
          </w:p>
        </w:tc>
        <w:tc>
          <w:tcPr>
            <w:tcW w:type="dxa" w:w="700"/>
            <w:tcMar>
              <w:top w:type="dxa" w:w="80"/>
              <w:left w:type="dxa" w:w="100"/>
              <w:bottom w:type="dxa" w:w="80"/>
              <w:right w:type="dxa" w:w="100"/>
            </w:tcMar>
          </w:tcPr>
          <w:p>
            <w:r>
              <w:rPr>
                <w:b w:val="false"/>
                <w:bCs w:val="false"/>
                <w:sz w:val="18"/>
                <w:szCs w:val="18"/>
              </w:rPr>
              <w:t xml:space="preserve">1948</w:t>
            </w:r>
          </w:p>
        </w:tc>
        <w:tc>
          <w:tcPr>
            <w:tcW w:type="dxa" w:w="900"/>
            <w:tcMar>
              <w:top w:type="dxa" w:w="80"/>
              <w:left w:type="dxa" w:w="100"/>
              <w:bottom w:type="dxa" w:w="80"/>
              <w:right w:type="dxa" w:w="100"/>
            </w:tcMar>
          </w:tcPr>
          <w:p>
            <w:r>
              <w:rPr>
                <w:b w:val="false"/>
                <w:bCs w:val="false"/>
                <w:sz w:val="18"/>
                <w:szCs w:val="18"/>
              </w:rPr>
              <w:t xml:space="preserve">14.3</w:t>
            </w:r>
          </w:p>
        </w:tc>
        <w:tc>
          <w:tcPr>
            <w:tcW w:type="dxa" w:w="800"/>
            <w:tcMar>
              <w:top w:type="dxa" w:w="80"/>
              <w:left w:type="dxa" w:w="100"/>
              <w:bottom w:type="dxa" w:w="80"/>
              <w:right w:type="dxa" w:w="100"/>
            </w:tcMar>
          </w:tcPr>
          <w:p>
            <w:r>
              <w:rPr>
                <w:b w:val="false"/>
                <w:bCs w:val="false"/>
                <w:sz w:val="18"/>
                <w:szCs w:val="18"/>
              </w:rPr>
              <w:t xml:space="preserve">3</w:t>
            </w:r>
          </w:p>
        </w:tc>
        <w:tc>
          <w:tcPr>
            <w:tcW w:type="dxa" w:w="900"/>
            <w:tcMar>
              <w:top w:type="dxa" w:w="80"/>
              <w:left w:type="dxa" w:w="100"/>
              <w:bottom w:type="dxa" w:w="80"/>
              <w:right w:type="dxa" w:w="100"/>
            </w:tcMar>
          </w:tcPr>
          <w:p>
            <w:r>
              <w:rPr>
                <w:b w:val="false"/>
                <w:bCs w:val="false"/>
                <w:sz w:val="18"/>
                <w:szCs w:val="18"/>
              </w:rPr>
              <w:t xml:space="preserve">87.4</w:t>
            </w:r>
          </w:p>
        </w:tc>
        <w:tc>
          <w:tcPr>
            <w:tcW w:type="dxa" w:w="800"/>
            <w:tcMar>
              <w:top w:type="dxa" w:w="80"/>
              <w:left w:type="dxa" w:w="100"/>
              <w:bottom w:type="dxa" w:w="80"/>
              <w:right w:type="dxa" w:w="100"/>
            </w:tcMar>
          </w:tcPr>
          <w:p>
            <w:r>
              <w:rPr>
                <w:b w:val="false"/>
                <w:bCs w:val="false"/>
                <w:sz w:val="18"/>
                <w:szCs w:val="18"/>
              </w:rPr>
              <w:t xml:space="preserve">13</w:t>
            </w:r>
          </w:p>
        </w:tc>
        <w:tc>
          <w:tcPr>
            <w:tcW w:type="dxa" w:w="700"/>
            <w:tcMar>
              <w:top w:type="dxa" w:w="80"/>
              <w:left w:type="dxa" w:w="100"/>
              <w:bottom w:type="dxa" w:w="80"/>
              <w:right w:type="dxa" w:w="100"/>
            </w:tcMar>
          </w:tcPr>
          <w:p>
            <w:r>
              <w:rPr>
                <w:b w:val="false"/>
                <w:bCs w:val="false"/>
                <w:sz w:val="18"/>
                <w:szCs w:val="18"/>
              </w:rPr>
              <w:t xml:space="preserve">3</w:t>
            </w:r>
          </w:p>
        </w:tc>
        <w:tc>
          <w:tcPr>
            <w:tcW w:type="dxa" w:w="700"/>
            <w:tcMar>
              <w:top w:type="dxa" w:w="80"/>
              <w:left w:type="dxa" w:w="100"/>
              <w:bottom w:type="dxa" w:w="80"/>
              <w:right w:type="dxa" w:w="100"/>
            </w:tcMar>
          </w:tcPr>
          <w:p>
            <w:r>
              <w:rPr>
                <w:b w:val="false"/>
                <w:bCs w:val="false"/>
                <w:sz w:val="18"/>
                <w:szCs w:val="18"/>
              </w:rPr>
              <w:t xml:space="preserve">2</w:t>
            </w:r>
          </w:p>
        </w:tc>
        <w:tc>
          <w:tcPr>
            <w:tcW w:type="dxa" w:w="800"/>
            <w:tcMar>
              <w:top w:type="dxa" w:w="80"/>
              <w:left w:type="dxa" w:w="100"/>
              <w:bottom w:type="dxa" w:w="80"/>
              <w:right w:type="dxa" w:w="100"/>
            </w:tcMar>
          </w:tcPr>
          <w:p>
            <w:r>
              <w:rPr>
                <w:b w:val="false"/>
                <w:bCs w:val="false"/>
                <w:sz w:val="18"/>
                <w:szCs w:val="18"/>
              </w:rPr>
              <w:t xml:space="preserve">3</w:t>
            </w:r>
          </w:p>
        </w:tc>
        <w:tc>
          <w:tcPr>
            <w:tcW w:type="dxa" w:w="800"/>
            <w:tcMar>
              <w:top w:type="dxa" w:w="80"/>
              <w:left w:type="dxa" w:w="100"/>
              <w:bottom w:type="dxa" w:w="80"/>
              <w:right w:type="dxa" w:w="100"/>
            </w:tcMar>
          </w:tcPr>
          <w:p>
            <w:r>
              <w:rPr>
                <w:b w:val="false"/>
                <w:bCs w:val="false"/>
                <w:sz w:val="18"/>
                <w:szCs w:val="18"/>
              </w:rPr>
              <w:t xml:space="preserve">1</w:t>
            </w:r>
          </w:p>
        </w:tc>
      </w:tr>
      <w:tr>
        <w:tc>
          <w:tcPr>
            <w:tcW w:type="dxa" w:w="1900"/>
            <w:shd w:fill="F2F5F3" w:val="clear"/>
            <w:tcMar>
              <w:top w:type="dxa" w:w="80"/>
              <w:left w:type="dxa" w:w="100"/>
              <w:bottom w:type="dxa" w:w="80"/>
              <w:right w:type="dxa" w:w="100"/>
            </w:tcMar>
          </w:tcPr>
          <w:p>
            <w:r>
              <w:rPr>
                <w:b w:val="false"/>
                <w:bCs w:val="false"/>
                <w:sz w:val="18"/>
                <w:szCs w:val="18"/>
              </w:rPr>
              <w:t xml:space="preserve">Expense Prediction Model</w:t>
            </w:r>
          </w:p>
        </w:tc>
        <w:tc>
          <w:tcPr>
            <w:tcW w:type="dxa" w:w="700"/>
            <w:shd w:fill="F2F5F3" w:val="clear"/>
            <w:tcMar>
              <w:top w:type="dxa" w:w="80"/>
              <w:left w:type="dxa" w:w="100"/>
              <w:bottom w:type="dxa" w:w="80"/>
              <w:right w:type="dxa" w:w="100"/>
            </w:tcMar>
          </w:tcPr>
          <w:p>
            <w:r>
              <w:rPr>
                <w:b w:val="false"/>
                <w:bCs w:val="false"/>
                <w:sz w:val="18"/>
                <w:szCs w:val="18"/>
              </w:rPr>
              <w:t xml:space="preserve">3301</w:t>
            </w:r>
          </w:p>
        </w:tc>
        <w:tc>
          <w:tcPr>
            <w:tcW w:type="dxa" w:w="900"/>
            <w:shd w:fill="F2F5F3" w:val="clear"/>
            <w:tcMar>
              <w:top w:type="dxa" w:w="80"/>
              <w:left w:type="dxa" w:w="100"/>
              <w:bottom w:type="dxa" w:w="80"/>
              <w:right w:type="dxa" w:w="100"/>
            </w:tcMar>
          </w:tcPr>
          <w:p>
            <w:r>
              <w:rPr>
                <w:b w:val="false"/>
                <w:bCs w:val="false"/>
                <w:sz w:val="18"/>
                <w:szCs w:val="18"/>
              </w:rPr>
              <w:t xml:space="preserve">7.7</w:t>
            </w:r>
          </w:p>
        </w:tc>
        <w:tc>
          <w:tcPr>
            <w:tcW w:type="dxa" w:w="800"/>
            <w:shd w:fill="F2F5F3" w:val="clear"/>
            <w:tcMar>
              <w:top w:type="dxa" w:w="80"/>
              <w:left w:type="dxa" w:w="100"/>
              <w:bottom w:type="dxa" w:w="80"/>
              <w:right w:type="dxa" w:w="100"/>
            </w:tcMar>
          </w:tcPr>
          <w:p>
            <w:r>
              <w:rPr>
                <w:b w:val="false"/>
                <w:bCs w:val="false"/>
                <w:sz w:val="18"/>
                <w:szCs w:val="18"/>
              </w:rPr>
              <w:t xml:space="preserve">14</w:t>
            </w:r>
          </w:p>
        </w:tc>
        <w:tc>
          <w:tcPr>
            <w:tcW w:type="dxa" w:w="900"/>
            <w:shd w:fill="F2F5F3" w:val="clear"/>
            <w:tcMar>
              <w:top w:type="dxa" w:w="80"/>
              <w:left w:type="dxa" w:w="100"/>
              <w:bottom w:type="dxa" w:w="80"/>
              <w:right w:type="dxa" w:w="100"/>
            </w:tcMar>
          </w:tcPr>
          <w:p>
            <w:r>
              <w:rPr>
                <w:b w:val="false"/>
                <w:bCs w:val="false"/>
                <w:sz w:val="18"/>
                <w:szCs w:val="18"/>
              </w:rPr>
              <w:t xml:space="preserve">79.2</w:t>
            </w:r>
          </w:p>
        </w:tc>
        <w:tc>
          <w:tcPr>
            <w:tcW w:type="dxa" w:w="800"/>
            <w:shd w:fill="F2F5F3" w:val="clear"/>
            <w:tcMar>
              <w:top w:type="dxa" w:w="80"/>
              <w:left w:type="dxa" w:w="100"/>
              <w:bottom w:type="dxa" w:w="80"/>
              <w:right w:type="dxa" w:w="100"/>
            </w:tcMar>
          </w:tcPr>
          <w:p>
            <w:r>
              <w:rPr>
                <w:b w:val="false"/>
                <w:bCs w:val="false"/>
                <w:sz w:val="18"/>
                <w:szCs w:val="18"/>
              </w:rPr>
              <w:t xml:space="preserve">4</w:t>
            </w:r>
          </w:p>
        </w:tc>
        <w:tc>
          <w:tcPr>
            <w:tcW w:type="dxa" w:w="700"/>
            <w:shd w:fill="F2F5F3" w:val="clear"/>
            <w:tcMar>
              <w:top w:type="dxa" w:w="80"/>
              <w:left w:type="dxa" w:w="100"/>
              <w:bottom w:type="dxa" w:w="80"/>
              <w:right w:type="dxa" w:w="100"/>
            </w:tcMar>
          </w:tcPr>
          <w:p>
            <w:r>
              <w:rPr>
                <w:b w:val="false"/>
                <w:bCs w:val="false"/>
                <w:sz w:val="18"/>
                <w:szCs w:val="18"/>
              </w:rPr>
              <w:t xml:space="preserve">5</w:t>
            </w:r>
          </w:p>
        </w:tc>
        <w:tc>
          <w:tcPr>
            <w:tcW w:type="dxa" w:w="700"/>
            <w:shd w:fill="F2F5F3" w:val="clear"/>
            <w:tcMar>
              <w:top w:type="dxa" w:w="80"/>
              <w:left w:type="dxa" w:w="100"/>
              <w:bottom w:type="dxa" w:w="80"/>
              <w:right w:type="dxa" w:w="100"/>
            </w:tcMar>
          </w:tcPr>
          <w:p>
            <w:r>
              <w:rPr>
                <w:b w:val="false"/>
                <w:bCs w:val="false"/>
                <w:sz w:val="18"/>
                <w:szCs w:val="18"/>
              </w:rPr>
              <w:t xml:space="preserve">3</w:t>
            </w:r>
          </w:p>
        </w:tc>
        <w:tc>
          <w:tcPr>
            <w:tcW w:type="dxa" w:w="800"/>
            <w:shd w:fill="F2F5F3" w:val="clear"/>
            <w:tcMar>
              <w:top w:type="dxa" w:w="80"/>
              <w:left w:type="dxa" w:w="100"/>
              <w:bottom w:type="dxa" w:w="80"/>
              <w:right w:type="dxa" w:w="100"/>
            </w:tcMar>
          </w:tcPr>
          <w:p>
            <w:r>
              <w:rPr>
                <w:b w:val="false"/>
                <w:bCs w:val="false"/>
                <w:sz w:val="18"/>
                <w:szCs w:val="18"/>
              </w:rPr>
              <w:t xml:space="preserve">3</w:t>
            </w:r>
          </w:p>
        </w:tc>
        <w:tc>
          <w:tcPr>
            <w:tcW w:type="dxa" w:w="800"/>
            <w:shd w:fill="F2F5F3" w:val="clear"/>
            <w:tcMar>
              <w:top w:type="dxa" w:w="80"/>
              <w:left w:type="dxa" w:w="100"/>
              <w:bottom w:type="dxa" w:w="80"/>
              <w:right w:type="dxa" w:w="100"/>
            </w:tcMar>
          </w:tcPr>
          <w:p>
            <w:r>
              <w:rPr>
                <w:b w:val="false"/>
                <w:bCs w:val="false"/>
                <w:sz w:val="18"/>
                <w:szCs w:val="18"/>
              </w:rPr>
              <w:t xml:space="preserve">2.5</w:t>
            </w:r>
          </w:p>
        </w:tc>
      </w:tr>
    </w:tbl>
    <w:p>
      <w:pPr>
        <w:pStyle w:val="Heading2"/>
        <w:spacing w:after="120" w:before="280"/>
      </w:pPr>
      <w:r>
        <w:t xml:space="preserve">5.1 Correlation and Statistical Test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600"/>
        <w:gridCol w:w="1400"/>
        <w:gridCol w:w="1400"/>
        <w:gridCol w:w="2100"/>
      </w:tblGrid>
      <w:tr>
        <w:trPr>
          <w:tblHeader/>
        </w:trPr>
        <w:tc>
          <w:tcPr>
            <w:tcW w:type="dxa" w:w="4600"/>
            <w:shd w:fill="00625E" w:val="clear"/>
            <w:tcMar>
              <w:top w:type="dxa" w:w="80"/>
              <w:left w:type="dxa" w:w="100"/>
              <w:bottom w:type="dxa" w:w="80"/>
              <w:right w:type="dxa" w:w="100"/>
            </w:tcMar>
          </w:tcPr>
          <w:p>
            <w:r>
              <w:rPr>
                <w:b/>
                <w:bCs/>
                <w:color w:val="FFFFFF"/>
                <w:sz w:val="18"/>
                <w:szCs w:val="18"/>
              </w:rPr>
              <w:t xml:space="preserve">Metric pair</w:t>
            </w:r>
          </w:p>
        </w:tc>
        <w:tc>
          <w:tcPr>
            <w:tcW w:type="dxa" w:w="1400"/>
            <w:shd w:fill="00625E" w:val="clear"/>
            <w:tcMar>
              <w:top w:type="dxa" w:w="80"/>
              <w:left w:type="dxa" w:w="100"/>
              <w:bottom w:type="dxa" w:w="80"/>
              <w:right w:type="dxa" w:w="100"/>
            </w:tcMar>
          </w:tcPr>
          <w:p>
            <w:r>
              <w:rPr>
                <w:b/>
                <w:bCs/>
                <w:color w:val="FFFFFF"/>
                <w:sz w:val="18"/>
                <w:szCs w:val="18"/>
              </w:rPr>
              <w:t xml:space="preserve">Pearson r</w:t>
            </w:r>
          </w:p>
        </w:tc>
        <w:tc>
          <w:tcPr>
            <w:tcW w:type="dxa" w:w="1400"/>
            <w:shd w:fill="00625E" w:val="clear"/>
            <w:tcMar>
              <w:top w:type="dxa" w:w="80"/>
              <w:left w:type="dxa" w:w="100"/>
              <w:bottom w:type="dxa" w:w="80"/>
              <w:right w:type="dxa" w:w="100"/>
            </w:tcMar>
          </w:tcPr>
          <w:p>
            <w:r>
              <w:rPr>
                <w:b/>
                <w:bCs/>
                <w:color w:val="FFFFFF"/>
                <w:sz w:val="18"/>
                <w:szCs w:val="18"/>
              </w:rPr>
              <w:t xml:space="preserve">p-value</w:t>
            </w:r>
          </w:p>
        </w:tc>
        <w:tc>
          <w:tcPr>
            <w:tcW w:type="dxa" w:w="2100"/>
            <w:shd w:fill="00625E" w:val="clear"/>
            <w:tcMar>
              <w:top w:type="dxa" w:w="80"/>
              <w:left w:type="dxa" w:w="100"/>
              <w:bottom w:type="dxa" w:w="80"/>
              <w:right w:type="dxa" w:w="100"/>
            </w:tcMar>
          </w:tcPr>
          <w:p>
            <w:r>
              <w:rPr>
                <w:b/>
                <w:bCs/>
                <w:color w:val="FFFFFF"/>
                <w:sz w:val="18"/>
                <w:szCs w:val="18"/>
              </w:rPr>
              <w:t xml:space="preserve">Significant?</w:t>
            </w:r>
          </w:p>
        </w:tc>
      </w:tr>
      <w:tr>
        <w:tc>
          <w:tcPr>
            <w:tcW w:type="dxa" w:w="4600"/>
            <w:tcMar>
              <w:top w:type="dxa" w:w="80"/>
              <w:left w:type="dxa" w:w="100"/>
              <w:bottom w:type="dxa" w:w="80"/>
              <w:right w:type="dxa" w:w="100"/>
            </w:tcMar>
          </w:tcPr>
          <w:p>
            <w:r>
              <w:rPr>
                <w:b w:val="false"/>
                <w:bCs w:val="false"/>
                <w:sz w:val="18"/>
                <w:szCs w:val="18"/>
              </w:rPr>
              <w:t xml:space="preserve">Cyclomatic Complexity vs Defect Density</w:t>
            </w:r>
          </w:p>
        </w:tc>
        <w:tc>
          <w:tcPr>
            <w:tcW w:type="dxa" w:w="1400"/>
            <w:tcMar>
              <w:top w:type="dxa" w:w="80"/>
              <w:left w:type="dxa" w:w="100"/>
              <w:bottom w:type="dxa" w:w="80"/>
              <w:right w:type="dxa" w:w="100"/>
            </w:tcMar>
          </w:tcPr>
          <w:p>
            <w:r>
              <w:rPr>
                <w:b w:val="false"/>
                <w:bCs w:val="false"/>
                <w:sz w:val="18"/>
                <w:szCs w:val="18"/>
              </w:rPr>
              <w:t xml:space="preserve">0.559</w:t>
            </w:r>
          </w:p>
        </w:tc>
        <w:tc>
          <w:tcPr>
            <w:tcW w:type="dxa" w:w="1400"/>
            <w:tcMar>
              <w:top w:type="dxa" w:w="80"/>
              <w:left w:type="dxa" w:w="100"/>
              <w:bottom w:type="dxa" w:w="80"/>
              <w:right w:type="dxa" w:w="100"/>
            </w:tcMar>
          </w:tcPr>
          <w:p>
            <w:r>
              <w:rPr>
                <w:b w:val="false"/>
                <w:bCs w:val="false"/>
                <w:sz w:val="18"/>
                <w:szCs w:val="18"/>
              </w:rPr>
              <w:t xml:space="preserve">0.0591</w:t>
            </w:r>
          </w:p>
        </w:tc>
        <w:tc>
          <w:tcPr>
            <w:tcW w:type="dxa" w:w="2100"/>
            <w:tcMar>
              <w:top w:type="dxa" w:w="80"/>
              <w:left w:type="dxa" w:w="100"/>
              <w:bottom w:type="dxa" w:w="80"/>
              <w:right w:type="dxa" w:w="100"/>
            </w:tcMar>
          </w:tcPr>
          <w:p>
            <w:r>
              <w:rPr>
                <w:b w:val="false"/>
                <w:bCs w:val="false"/>
                <w:sz w:val="18"/>
                <w:szCs w:val="18"/>
              </w:rPr>
              <w:t xml:space="preserve">No</w:t>
            </w:r>
          </w:p>
        </w:tc>
      </w:tr>
      <w:tr>
        <w:tc>
          <w:tcPr>
            <w:tcW w:type="dxa" w:w="4600"/>
            <w:shd w:fill="F2F5F3" w:val="clear"/>
            <w:tcMar>
              <w:top w:type="dxa" w:w="80"/>
              <w:left w:type="dxa" w:w="100"/>
              <w:bottom w:type="dxa" w:w="80"/>
              <w:right w:type="dxa" w:w="100"/>
            </w:tcMar>
          </w:tcPr>
          <w:p>
            <w:r>
              <w:rPr>
                <w:b w:val="false"/>
                <w:bCs w:val="false"/>
                <w:sz w:val="18"/>
                <w:szCs w:val="18"/>
              </w:rPr>
              <w:t xml:space="preserve">Test Coverage vs Defect Density</w:t>
            </w:r>
          </w:p>
        </w:tc>
        <w:tc>
          <w:tcPr>
            <w:tcW w:type="dxa" w:w="1400"/>
            <w:shd w:fill="F2F5F3" w:val="clear"/>
            <w:tcMar>
              <w:top w:type="dxa" w:w="80"/>
              <w:left w:type="dxa" w:w="100"/>
              <w:bottom w:type="dxa" w:w="80"/>
              <w:right w:type="dxa" w:w="100"/>
            </w:tcMar>
          </w:tcPr>
          <w:p>
            <w:r>
              <w:rPr>
                <w:b w:val="false"/>
                <w:bCs w:val="false"/>
                <w:sz w:val="18"/>
                <w:szCs w:val="18"/>
              </w:rPr>
              <w:t xml:space="preserve">-0.37</w:t>
            </w:r>
          </w:p>
        </w:tc>
        <w:tc>
          <w:tcPr>
            <w:tcW w:type="dxa" w:w="1400"/>
            <w:shd w:fill="F2F5F3" w:val="clear"/>
            <w:tcMar>
              <w:top w:type="dxa" w:w="80"/>
              <w:left w:type="dxa" w:w="100"/>
              <w:bottom w:type="dxa" w:w="80"/>
              <w:right w:type="dxa" w:w="100"/>
            </w:tcMar>
          </w:tcPr>
          <w:p>
            <w:r>
              <w:rPr>
                <w:b w:val="false"/>
                <w:bCs w:val="false"/>
                <w:sz w:val="18"/>
                <w:szCs w:val="18"/>
              </w:rPr>
              <w:t xml:space="preserve">0.2367</w:t>
            </w:r>
          </w:p>
        </w:tc>
        <w:tc>
          <w:tcPr>
            <w:tcW w:type="dxa" w:w="2100"/>
            <w:shd w:fill="F2F5F3" w:val="clear"/>
            <w:tcMar>
              <w:top w:type="dxa" w:w="80"/>
              <w:left w:type="dxa" w:w="100"/>
              <w:bottom w:type="dxa" w:w="80"/>
              <w:right w:type="dxa" w:w="100"/>
            </w:tcMar>
          </w:tcPr>
          <w:p>
            <w:r>
              <w:rPr>
                <w:b w:val="false"/>
                <w:bCs w:val="false"/>
                <w:sz w:val="18"/>
                <w:szCs w:val="18"/>
              </w:rPr>
              <w:t xml:space="preserve">No</w:t>
            </w:r>
          </w:p>
        </w:tc>
      </w:tr>
      <w:tr>
        <w:tc>
          <w:tcPr>
            <w:tcW w:type="dxa" w:w="4600"/>
            <w:tcMar>
              <w:top w:type="dxa" w:w="80"/>
              <w:left w:type="dxa" w:w="100"/>
              <w:bottom w:type="dxa" w:w="80"/>
              <w:right w:type="dxa" w:w="100"/>
            </w:tcMar>
          </w:tcPr>
          <w:p>
            <w:r>
              <w:rPr>
                <w:b w:val="false"/>
                <w:bCs w:val="false"/>
                <w:sz w:val="18"/>
                <w:szCs w:val="18"/>
              </w:rPr>
              <w:t xml:space="preserve">Coupling (CBO) vs Delay (days)</w:t>
            </w:r>
          </w:p>
        </w:tc>
        <w:tc>
          <w:tcPr>
            <w:tcW w:type="dxa" w:w="1400"/>
            <w:tcMar>
              <w:top w:type="dxa" w:w="80"/>
              <w:left w:type="dxa" w:w="100"/>
              <w:bottom w:type="dxa" w:w="80"/>
              <w:right w:type="dxa" w:w="100"/>
            </w:tcMar>
          </w:tcPr>
          <w:p>
            <w:r>
              <w:rPr>
                <w:b w:val="false"/>
                <w:bCs w:val="false"/>
                <w:sz w:val="18"/>
                <w:szCs w:val="18"/>
              </w:rPr>
              <w:t xml:space="preserve">0.647</w:t>
            </w:r>
          </w:p>
        </w:tc>
        <w:tc>
          <w:tcPr>
            <w:tcW w:type="dxa" w:w="1400"/>
            <w:tcMar>
              <w:top w:type="dxa" w:w="80"/>
              <w:left w:type="dxa" w:w="100"/>
              <w:bottom w:type="dxa" w:w="80"/>
              <w:right w:type="dxa" w:w="100"/>
            </w:tcMar>
          </w:tcPr>
          <w:p>
            <w:r>
              <w:rPr>
                <w:b w:val="false"/>
                <w:bCs w:val="false"/>
                <w:sz w:val="18"/>
                <w:szCs w:val="18"/>
              </w:rPr>
              <w:t xml:space="preserve">0.0229</w:t>
            </w:r>
          </w:p>
        </w:tc>
        <w:tc>
          <w:tcPr>
            <w:tcW w:type="dxa" w:w="2100"/>
            <w:tcMar>
              <w:top w:type="dxa" w:w="80"/>
              <w:left w:type="dxa" w:w="100"/>
              <w:bottom w:type="dxa" w:w="80"/>
              <w:right w:type="dxa" w:w="100"/>
            </w:tcMar>
          </w:tcPr>
          <w:p>
            <w:r>
              <w:rPr>
                <w:b w:val="false"/>
                <w:bCs w:val="false"/>
                <w:sz w:val="18"/>
                <w:szCs w:val="18"/>
              </w:rPr>
              <w:t xml:space="preserve">Yes (p&lt;0.05)</w:t>
            </w:r>
          </w:p>
        </w:tc>
      </w:tr>
    </w:tbl>
    <w:p>
      <w:pPr>
        <w:spacing w:after="100"/>
        <w:jc w:val="center"/>
      </w:pPr>
      <w:r>
        <w:drawing>
          <wp:inline distT="0" distB="0" distL="0" distR="0">
            <wp:extent cx="4572000" cy="39319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931920"/>
                    </a:xfrm>
                    <a:prstGeom prst="rect">
                      <a:avLst/>
                    </a:prstGeom>
                  </pic:spPr>
                </pic:pic>
              </a:graphicData>
            </a:graphic>
          </wp:inline>
        </w:drawing>
      </w:r>
    </w:p>
    <w:p>
      <w:pPr>
        <w:spacing w:after="260"/>
        <w:jc w:val="center"/>
      </w:pPr>
      <w:r>
        <w:rPr>
          <w:i/>
          <w:iCs/>
          <w:color w:val="4C5B55"/>
          <w:sz w:val="18"/>
          <w:szCs w:val="18"/>
        </w:rPr>
        <w:t xml:space="preserve">Figure 2 — Correlation matrix across structural metrics, defect density and delay.</w:t>
      </w:r>
    </w:p>
    <w:p>
      <w:pPr>
        <w:pStyle w:val="Heading2"/>
        <w:spacing w:after="120" w:before="280"/>
      </w:pPr>
      <w:r>
        <w:t xml:space="preserve">5.2 Decision Tree</w:t>
      </w:r>
    </w:p>
    <w:p>
      <w:pPr>
        <w:spacing w:after="140"/>
      </w:pPr>
      <w:r>
        <w:t xml:space="preserve">A depth-3 decision tree classifies each module as High/Low defect risk from complexity, coupling, cohesion and coverage. Training-set accuracy: 91.7%.</w:t>
      </w:r>
    </w:p>
    <w:p>
      <w:pPr>
        <w:spacing w:after="100"/>
        <w:jc w:val="center"/>
      </w:pPr>
      <w:r>
        <w:drawing>
          <wp:inline distT="0" distB="0" distL="0" distR="0">
            <wp:extent cx="548640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291840"/>
                    </a:xfrm>
                    <a:prstGeom prst="rect">
                      <a:avLst/>
                    </a:prstGeom>
                  </pic:spPr>
                </pic:pic>
              </a:graphicData>
            </a:graphic>
          </wp:inline>
        </w:drawing>
      </w:r>
    </w:p>
    <w:p>
      <w:pPr>
        <w:spacing w:after="260"/>
        <w:jc w:val="center"/>
      </w:pPr>
      <w:r>
        <w:rPr>
          <w:i/>
          <w:iCs/>
          <w:color w:val="4C5B55"/>
          <w:sz w:val="18"/>
          <w:szCs w:val="18"/>
        </w:rPr>
        <w:t xml:space="preserve">Figure 3 — Decision tree classifying modules as High/Low defect risk.</w:t>
      </w:r>
    </w:p>
    <w:p>
      <w:pPr>
        <w:pStyle w:val="Heading2"/>
        <w:spacing w:after="120" w:before="280"/>
      </w:pPr>
      <w:r>
        <w:t xml:space="preserve">5.3 Box Plot</w:t>
      </w:r>
    </w:p>
    <w:p>
      <w:pPr>
        <w:spacing w:after="100"/>
        <w:jc w:val="center"/>
      </w:pPr>
      <w:r>
        <w:drawing>
          <wp:inline distT="0" distB="0" distL="0" distR="0">
            <wp:extent cx="4937760" cy="25603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7760" cy="2560320"/>
                    </a:xfrm>
                    <a:prstGeom prst="rect">
                      <a:avLst/>
                    </a:prstGeom>
                  </pic:spPr>
                </pic:pic>
              </a:graphicData>
            </a:graphic>
          </wp:inline>
        </w:drawing>
      </w:r>
    </w:p>
    <w:p>
      <w:pPr>
        <w:spacing w:after="260"/>
        <w:jc w:val="center"/>
      </w:pPr>
      <w:r>
        <w:rPr>
          <w:i/>
          <w:iCs/>
          <w:color w:val="4C5B55"/>
          <w:sz w:val="18"/>
          <w:szCs w:val="18"/>
        </w:rPr>
        <w:t xml:space="preserve">Figure 4 — Box plots of defect density and schedule delay across the 12 modules.</w:t>
      </w:r>
    </w:p>
    <w:p>
      <w:pPr>
        <w:pStyle w:val="Heading2"/>
        <w:spacing w:after="120" w:before="280"/>
      </w:pPr>
      <w:r>
        <w:t xml:space="preserve">5.4 Control Chart (I-MR)</w:t>
      </w:r>
    </w:p>
    <w:p>
      <w:pPr>
        <w:spacing w:after="140"/>
      </w:pPr>
      <w:r>
        <w:t xml:space="preserve">Center line = 3.517%, UCL = 6.556%, LCL = 0.477%. Week 12 breaches the UCL, corresponding to a simulated release regression — exactly the kind of assignable-cause signal Sub-Goal 4 (Section 3) calls for.</w:t>
      </w:r>
    </w:p>
    <w:p>
      <w:pPr>
        <w:spacing w:after="100"/>
        <w:jc w:val="center"/>
      </w:pPr>
      <w:r>
        <w:drawing>
          <wp:inline distT="0" distB="0" distL="0" distR="0">
            <wp:extent cx="493776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7760" cy="3108960"/>
                    </a:xfrm>
                    <a:prstGeom prst="rect">
                      <a:avLst/>
                    </a:prstGeom>
                  </pic:spPr>
                </pic:pic>
              </a:graphicData>
            </a:graphic>
          </wp:inline>
        </w:drawing>
      </w:r>
    </w:p>
    <w:p>
      <w:pPr>
        <w:spacing w:after="260"/>
        <w:jc w:val="center"/>
      </w:pPr>
      <w:r>
        <w:rPr>
          <w:i/>
          <w:iCs/>
          <w:color w:val="4C5B55"/>
          <w:sz w:val="18"/>
          <w:szCs w:val="18"/>
        </w:rPr>
        <w:t xml:space="preserve">Figure 5 — I-MR control chart of weekly transaction failure rate.</w:t>
      </w:r>
    </w:p>
    <w:p>
      <w:r>
        <w:br w:type="page"/>
      </w:r>
    </w:p>
    <w:p>
      <w:pPr>
        <w:pStyle w:val="Heading1"/>
        <w:spacing w:after="120" w:before="280"/>
      </w:pPr>
      <w:r>
        <w:t xml:space="preserve">6. Module 4 — Metrics for Decision Support</w:t>
      </w:r>
    </w:p>
    <w:p>
      <w:pPr>
        <w:spacing w:after="140"/>
      </w:pPr>
      <w:r>
        <w:t xml:space="preserve">Correlation tells us two variables move together; it does not tell us what happens to project risk if we change one of them. Bayesian networks close that gap: a small directed acyclic graph of conditional probability tables (CPTs) lets us ask “what is P(ProjectRisk = High) if requirements are volatile AND the team is inexperienced?” and get an exact answer by enumeration.</w:t>
      </w:r>
    </w:p>
    <w:p>
      <w:pPr>
        <w:pStyle w:val="Heading2"/>
        <w:spacing w:after="120" w:before="280"/>
      </w:pPr>
      <w:r>
        <w:t xml:space="preserve">6.1 Network 1 — Project Risk Assessment</w:t>
      </w:r>
    </w:p>
    <w:p>
      <w:pPr>
        <w:spacing w:after="140"/>
      </w:pPr>
      <w:r>
        <w:t xml:space="preserve">Requirement Volatility (R) and Team Experience (T) are root causes; they determine Schedule Delay (S) and Defect Density (D) — the same observables Module 3 measures directly; S and D jointly determine Project Risk (P).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2300"/>
        <w:gridCol w:w="1200"/>
        <w:gridCol w:w="1200"/>
        <w:gridCol w:w="1200"/>
      </w:tblGrid>
      <w:tr>
        <w:trPr>
          <w:tblHeader/>
        </w:trPr>
        <w:tc>
          <w:tcPr>
            <w:tcW w:type="dxa" w:w="3600"/>
            <w:shd w:fill="00625E" w:val="clear"/>
            <w:tcMar>
              <w:top w:type="dxa" w:w="80"/>
              <w:left w:type="dxa" w:w="100"/>
              <w:bottom w:type="dxa" w:w="80"/>
              <w:right w:type="dxa" w:w="100"/>
            </w:tcMar>
          </w:tcPr>
          <w:p>
            <w:r>
              <w:rPr>
                <w:b/>
                <w:bCs/>
                <w:color w:val="FFFFFF"/>
                <w:sz w:val="18"/>
                <w:szCs w:val="18"/>
              </w:rPr>
              <w:t xml:space="preserve">Scenario</w:t>
            </w:r>
          </w:p>
        </w:tc>
        <w:tc>
          <w:tcPr>
            <w:tcW w:type="dxa" w:w="2300"/>
            <w:shd w:fill="00625E" w:val="clear"/>
            <w:tcMar>
              <w:top w:type="dxa" w:w="80"/>
              <w:left w:type="dxa" w:w="100"/>
              <w:bottom w:type="dxa" w:w="80"/>
              <w:right w:type="dxa" w:w="100"/>
            </w:tcMar>
          </w:tcPr>
          <w:p>
            <w:r>
              <w:rPr>
                <w:b/>
                <w:bCs/>
                <w:color w:val="FFFFFF"/>
                <w:sz w:val="18"/>
                <w:szCs w:val="18"/>
              </w:rPr>
              <w:t xml:space="preserve">Evidence</w:t>
            </w:r>
          </w:p>
        </w:tc>
        <w:tc>
          <w:tcPr>
            <w:tcW w:type="dxa" w:w="1200"/>
            <w:shd w:fill="00625E" w:val="clear"/>
            <w:tcMar>
              <w:top w:type="dxa" w:w="80"/>
              <w:left w:type="dxa" w:w="100"/>
              <w:bottom w:type="dxa" w:w="80"/>
              <w:right w:type="dxa" w:w="100"/>
            </w:tcMar>
          </w:tcPr>
          <w:p>
            <w:r>
              <w:rPr>
                <w:b/>
                <w:bCs/>
                <w:color w:val="FFFFFF"/>
                <w:sz w:val="18"/>
                <w:szCs w:val="18"/>
              </w:rPr>
              <w:t xml:space="preserve">P(Low)</w:t>
            </w:r>
          </w:p>
        </w:tc>
        <w:tc>
          <w:tcPr>
            <w:tcW w:type="dxa" w:w="1200"/>
            <w:shd w:fill="00625E" w:val="clear"/>
            <w:tcMar>
              <w:top w:type="dxa" w:w="80"/>
              <w:left w:type="dxa" w:w="100"/>
              <w:bottom w:type="dxa" w:w="80"/>
              <w:right w:type="dxa" w:w="100"/>
            </w:tcMar>
          </w:tcPr>
          <w:p>
            <w:r>
              <w:rPr>
                <w:b/>
                <w:bCs/>
                <w:color w:val="FFFFFF"/>
                <w:sz w:val="18"/>
                <w:szCs w:val="18"/>
              </w:rPr>
              <w:t xml:space="preserve">P(Medium)</w:t>
            </w:r>
          </w:p>
        </w:tc>
        <w:tc>
          <w:tcPr>
            <w:tcW w:type="dxa" w:w="1200"/>
            <w:shd w:fill="00625E" w:val="clear"/>
            <w:tcMar>
              <w:top w:type="dxa" w:w="80"/>
              <w:left w:type="dxa" w:w="100"/>
              <w:bottom w:type="dxa" w:w="80"/>
              <w:right w:type="dxa" w:w="100"/>
            </w:tcMar>
          </w:tcPr>
          <w:p>
            <w:r>
              <w:rPr>
                <w:b/>
                <w:bCs/>
                <w:color w:val="FFFFFF"/>
                <w:sz w:val="18"/>
                <w:szCs w:val="18"/>
              </w:rPr>
              <w:t xml:space="preserve">P(High)</w:t>
            </w:r>
          </w:p>
        </w:tc>
      </w:tr>
      <w:tr>
        <w:tc>
          <w:tcPr>
            <w:tcW w:type="dxa" w:w="3600"/>
            <w:tcMar>
              <w:top w:type="dxa" w:w="80"/>
              <w:left w:type="dxa" w:w="100"/>
              <w:bottom w:type="dxa" w:w="80"/>
              <w:right w:type="dxa" w:w="100"/>
            </w:tcMar>
          </w:tcPr>
          <w:p>
            <w:r>
              <w:rPr>
                <w:b w:val="false"/>
                <w:bCs w:val="false"/>
                <w:sz w:val="18"/>
                <w:szCs w:val="18"/>
              </w:rPr>
              <w:t xml:space="preserve">Baseline (no evidence — population prior)</w:t>
            </w:r>
          </w:p>
        </w:tc>
        <w:tc>
          <w:tcPr>
            <w:tcW w:type="dxa" w:w="2300"/>
            <w:tcMar>
              <w:top w:type="dxa" w:w="80"/>
              <w:left w:type="dxa" w:w="100"/>
              <w:bottom w:type="dxa" w:w="80"/>
              <w:right w:type="dxa" w:w="100"/>
            </w:tcMar>
          </w:tcPr>
          <w:p>
            <w:r>
              <w:rPr>
                <w:b w:val="false"/>
                <w:bCs w:val="false"/>
                <w:sz w:val="18"/>
                <w:szCs w:val="18"/>
              </w:rPr>
              <w:t xml:space="preserve">none (prior)</w:t>
            </w:r>
          </w:p>
        </w:tc>
        <w:tc>
          <w:tcPr>
            <w:tcW w:type="dxa" w:w="1200"/>
            <w:tcMar>
              <w:top w:type="dxa" w:w="80"/>
              <w:left w:type="dxa" w:w="100"/>
              <w:bottom w:type="dxa" w:w="80"/>
              <w:right w:type="dxa" w:w="100"/>
            </w:tcMar>
          </w:tcPr>
          <w:p>
            <w:r>
              <w:rPr>
                <w:b w:val="false"/>
                <w:bCs w:val="false"/>
                <w:sz w:val="18"/>
                <w:szCs w:val="18"/>
              </w:rPr>
              <w:t xml:space="preserve">37.5%</w:t>
            </w:r>
          </w:p>
        </w:tc>
        <w:tc>
          <w:tcPr>
            <w:tcW w:type="dxa" w:w="1200"/>
            <w:tcMar>
              <w:top w:type="dxa" w:w="80"/>
              <w:left w:type="dxa" w:w="100"/>
              <w:bottom w:type="dxa" w:w="80"/>
              <w:right w:type="dxa" w:w="100"/>
            </w:tcMar>
          </w:tcPr>
          <w:p>
            <w:r>
              <w:rPr>
                <w:b w:val="false"/>
                <w:bCs w:val="false"/>
                <w:sz w:val="18"/>
                <w:szCs w:val="18"/>
              </w:rPr>
              <w:t xml:space="preserve">34.3%</w:t>
            </w:r>
          </w:p>
        </w:tc>
        <w:tc>
          <w:tcPr>
            <w:tcW w:type="dxa" w:w="1200"/>
            <w:tcMar>
              <w:top w:type="dxa" w:w="80"/>
              <w:left w:type="dxa" w:w="100"/>
              <w:bottom w:type="dxa" w:w="80"/>
              <w:right w:type="dxa" w:w="100"/>
            </w:tcMar>
          </w:tcPr>
          <w:p>
            <w:r>
              <w:rPr>
                <w:b w:val="false"/>
                <w:bCs w:val="false"/>
                <w:sz w:val="18"/>
                <w:szCs w:val="18"/>
              </w:rPr>
              <w:t xml:space="preserve">28.1%</w:t>
            </w:r>
          </w:p>
        </w:tc>
      </w:tr>
      <w:tr>
        <w:tc>
          <w:tcPr>
            <w:tcW w:type="dxa" w:w="3600"/>
            <w:shd w:fill="F2F5F3" w:val="clear"/>
            <w:tcMar>
              <w:top w:type="dxa" w:w="80"/>
              <w:left w:type="dxa" w:w="100"/>
              <w:bottom w:type="dxa" w:w="80"/>
              <w:right w:type="dxa" w:w="100"/>
            </w:tcMar>
          </w:tcPr>
          <w:p>
            <w:r>
              <w:rPr>
                <w:b w:val="false"/>
                <w:bCs w:val="false"/>
                <w:sz w:val="18"/>
                <w:szCs w:val="18"/>
              </w:rPr>
              <w:t xml:space="preserve">Volatile requirements + inexperienced team (worst case)</w:t>
            </w:r>
          </w:p>
        </w:tc>
        <w:tc>
          <w:tcPr>
            <w:tcW w:type="dxa" w:w="2300"/>
            <w:shd w:fill="F2F5F3" w:val="clear"/>
            <w:tcMar>
              <w:top w:type="dxa" w:w="80"/>
              <w:left w:type="dxa" w:w="100"/>
              <w:bottom w:type="dxa" w:w="80"/>
              <w:right w:type="dxa" w:w="100"/>
            </w:tcMar>
          </w:tcPr>
          <w:p>
            <w:r>
              <w:rPr>
                <w:b w:val="false"/>
                <w:bCs w:val="false"/>
                <w:sz w:val="18"/>
                <w:szCs w:val="18"/>
              </w:rPr>
              <w:t xml:space="preserve">R=High, T=Low</w:t>
            </w:r>
          </w:p>
        </w:tc>
        <w:tc>
          <w:tcPr>
            <w:tcW w:type="dxa" w:w="1200"/>
            <w:shd w:fill="F2F5F3" w:val="clear"/>
            <w:tcMar>
              <w:top w:type="dxa" w:w="80"/>
              <w:left w:type="dxa" w:w="100"/>
              <w:bottom w:type="dxa" w:w="80"/>
              <w:right w:type="dxa" w:w="100"/>
            </w:tcMar>
          </w:tcPr>
          <w:p>
            <w:r>
              <w:rPr>
                <w:b w:val="false"/>
                <w:bCs w:val="false"/>
                <w:sz w:val="18"/>
                <w:szCs w:val="18"/>
              </w:rPr>
              <w:t xml:space="preserve">10.7%</w:t>
            </w:r>
          </w:p>
        </w:tc>
        <w:tc>
          <w:tcPr>
            <w:tcW w:type="dxa" w:w="1200"/>
            <w:shd w:fill="F2F5F3" w:val="clear"/>
            <w:tcMar>
              <w:top w:type="dxa" w:w="80"/>
              <w:left w:type="dxa" w:w="100"/>
              <w:bottom w:type="dxa" w:w="80"/>
              <w:right w:type="dxa" w:w="100"/>
            </w:tcMar>
          </w:tcPr>
          <w:p>
            <w:r>
              <w:rPr>
                <w:b w:val="false"/>
                <w:bCs w:val="false"/>
                <w:sz w:val="18"/>
                <w:szCs w:val="18"/>
              </w:rPr>
              <w:t xml:space="preserve">34.3%</w:t>
            </w:r>
          </w:p>
        </w:tc>
        <w:tc>
          <w:tcPr>
            <w:tcW w:type="dxa" w:w="1200"/>
            <w:shd w:fill="F2F5F3" w:val="clear"/>
            <w:tcMar>
              <w:top w:type="dxa" w:w="80"/>
              <w:left w:type="dxa" w:w="100"/>
              <w:bottom w:type="dxa" w:w="80"/>
              <w:right w:type="dxa" w:w="100"/>
            </w:tcMar>
          </w:tcPr>
          <w:p>
            <w:r>
              <w:rPr>
                <w:b w:val="false"/>
                <w:bCs w:val="false"/>
                <w:sz w:val="18"/>
                <w:szCs w:val="18"/>
              </w:rPr>
              <w:t xml:space="preserve">55.0%</w:t>
            </w:r>
          </w:p>
        </w:tc>
      </w:tr>
      <w:tr>
        <w:tc>
          <w:tcPr>
            <w:tcW w:type="dxa" w:w="3600"/>
            <w:tcMar>
              <w:top w:type="dxa" w:w="80"/>
              <w:left w:type="dxa" w:w="100"/>
              <w:bottom w:type="dxa" w:w="80"/>
              <w:right w:type="dxa" w:w="100"/>
            </w:tcMar>
          </w:tcPr>
          <w:p>
            <w:r>
              <w:rPr>
                <w:b w:val="false"/>
                <w:bCs w:val="false"/>
                <w:sz w:val="18"/>
                <w:szCs w:val="18"/>
              </w:rPr>
              <w:t xml:space="preserve">Stable requirements + experienced team (best case)</w:t>
            </w:r>
          </w:p>
        </w:tc>
        <w:tc>
          <w:tcPr>
            <w:tcW w:type="dxa" w:w="2300"/>
            <w:tcMar>
              <w:top w:type="dxa" w:w="80"/>
              <w:left w:type="dxa" w:w="100"/>
              <w:bottom w:type="dxa" w:w="80"/>
              <w:right w:type="dxa" w:w="100"/>
            </w:tcMar>
          </w:tcPr>
          <w:p>
            <w:r>
              <w:rPr>
                <w:b w:val="false"/>
                <w:bCs w:val="false"/>
                <w:sz w:val="18"/>
                <w:szCs w:val="18"/>
              </w:rPr>
              <w:t xml:space="preserve">R=Low, T=High</w:t>
            </w:r>
          </w:p>
        </w:tc>
        <w:tc>
          <w:tcPr>
            <w:tcW w:type="dxa" w:w="1200"/>
            <w:tcMar>
              <w:top w:type="dxa" w:w="80"/>
              <w:left w:type="dxa" w:w="100"/>
              <w:bottom w:type="dxa" w:w="80"/>
              <w:right w:type="dxa" w:w="100"/>
            </w:tcMar>
          </w:tcPr>
          <w:p>
            <w:r>
              <w:rPr>
                <w:b w:val="false"/>
                <w:bCs w:val="false"/>
                <w:sz w:val="18"/>
                <w:szCs w:val="18"/>
              </w:rPr>
              <w:t xml:space="preserve">57.7%</w:t>
            </w:r>
          </w:p>
        </w:tc>
        <w:tc>
          <w:tcPr>
            <w:tcW w:type="dxa" w:w="1200"/>
            <w:tcMar>
              <w:top w:type="dxa" w:w="80"/>
              <w:left w:type="dxa" w:w="100"/>
              <w:bottom w:type="dxa" w:w="80"/>
              <w:right w:type="dxa" w:w="100"/>
            </w:tcMar>
          </w:tcPr>
          <w:p>
            <w:r>
              <w:rPr>
                <w:b w:val="false"/>
                <w:bCs w:val="false"/>
                <w:sz w:val="18"/>
                <w:szCs w:val="18"/>
              </w:rPr>
              <w:t xml:space="preserve">29.5%</w:t>
            </w:r>
          </w:p>
        </w:tc>
        <w:tc>
          <w:tcPr>
            <w:tcW w:type="dxa" w:w="1200"/>
            <w:tcMar>
              <w:top w:type="dxa" w:w="80"/>
              <w:left w:type="dxa" w:w="100"/>
              <w:bottom w:type="dxa" w:w="80"/>
              <w:right w:type="dxa" w:w="100"/>
            </w:tcMar>
          </w:tcPr>
          <w:p>
            <w:r>
              <w:rPr>
                <w:b w:val="false"/>
                <w:bCs w:val="false"/>
                <w:sz w:val="18"/>
                <w:szCs w:val="18"/>
              </w:rPr>
              <w:t xml:space="preserve">12.8%</w:t>
            </w:r>
          </w:p>
        </w:tc>
      </w:tr>
      <w:tr>
        <w:tc>
          <w:tcPr>
            <w:tcW w:type="dxa" w:w="3600"/>
            <w:shd w:fill="F2F5F3" w:val="clear"/>
            <w:tcMar>
              <w:top w:type="dxa" w:w="80"/>
              <w:left w:type="dxa" w:w="100"/>
              <w:bottom w:type="dxa" w:w="80"/>
              <w:right w:type="dxa" w:w="100"/>
            </w:tcMar>
          </w:tcPr>
          <w:p>
            <w:r>
              <w:rPr>
                <w:b w:val="false"/>
                <w:bCs w:val="false"/>
                <w:sz w:val="18"/>
                <w:szCs w:val="18"/>
              </w:rPr>
              <w:t xml:space="preserve">Observed schedule already slipping (High delay)</w:t>
            </w:r>
          </w:p>
        </w:tc>
        <w:tc>
          <w:tcPr>
            <w:tcW w:type="dxa" w:w="2300"/>
            <w:shd w:fill="F2F5F3" w:val="clear"/>
            <w:tcMar>
              <w:top w:type="dxa" w:w="80"/>
              <w:left w:type="dxa" w:w="100"/>
              <w:bottom w:type="dxa" w:w="80"/>
              <w:right w:type="dxa" w:w="100"/>
            </w:tcMar>
          </w:tcPr>
          <w:p>
            <w:r>
              <w:rPr>
                <w:b w:val="false"/>
                <w:bCs w:val="false"/>
                <w:sz w:val="18"/>
                <w:szCs w:val="18"/>
              </w:rPr>
              <w:t xml:space="preserve">S=High</w:t>
            </w:r>
          </w:p>
        </w:tc>
        <w:tc>
          <w:tcPr>
            <w:tcW w:type="dxa" w:w="1200"/>
            <w:shd w:fill="F2F5F3" w:val="clear"/>
            <w:tcMar>
              <w:top w:type="dxa" w:w="80"/>
              <w:left w:type="dxa" w:w="100"/>
              <w:bottom w:type="dxa" w:w="80"/>
              <w:right w:type="dxa" w:w="100"/>
            </w:tcMar>
          </w:tcPr>
          <w:p>
            <w:r>
              <w:rPr>
                <w:b w:val="false"/>
                <w:bCs w:val="false"/>
                <w:sz w:val="18"/>
                <w:szCs w:val="18"/>
              </w:rPr>
              <w:t xml:space="preserve">10.5%</w:t>
            </w:r>
          </w:p>
        </w:tc>
        <w:tc>
          <w:tcPr>
            <w:tcW w:type="dxa" w:w="1200"/>
            <w:shd w:fill="F2F5F3" w:val="clear"/>
            <w:tcMar>
              <w:top w:type="dxa" w:w="80"/>
              <w:left w:type="dxa" w:w="100"/>
              <w:bottom w:type="dxa" w:w="80"/>
              <w:right w:type="dxa" w:w="100"/>
            </w:tcMar>
          </w:tcPr>
          <w:p>
            <w:r>
              <w:rPr>
                <w:b w:val="false"/>
                <w:bCs w:val="false"/>
                <w:sz w:val="18"/>
                <w:szCs w:val="18"/>
              </w:rPr>
              <w:t xml:space="preserve">39.4%</w:t>
            </w:r>
          </w:p>
        </w:tc>
        <w:tc>
          <w:tcPr>
            <w:tcW w:type="dxa" w:w="1200"/>
            <w:shd w:fill="F2F5F3" w:val="clear"/>
            <w:tcMar>
              <w:top w:type="dxa" w:w="80"/>
              <w:left w:type="dxa" w:w="100"/>
              <w:bottom w:type="dxa" w:w="80"/>
              <w:right w:type="dxa" w:w="100"/>
            </w:tcMar>
          </w:tcPr>
          <w:p>
            <w:r>
              <w:rPr>
                <w:b w:val="false"/>
                <w:bCs w:val="false"/>
                <w:sz w:val="18"/>
                <w:szCs w:val="18"/>
              </w:rPr>
              <w:t xml:space="preserve">50.0%</w:t>
            </w:r>
          </w:p>
        </w:tc>
      </w:tr>
      <w:tr>
        <w:tc>
          <w:tcPr>
            <w:tcW w:type="dxa" w:w="3600"/>
            <w:tcMar>
              <w:top w:type="dxa" w:w="80"/>
              <w:left w:type="dxa" w:w="100"/>
              <w:bottom w:type="dxa" w:w="80"/>
              <w:right w:type="dxa" w:w="100"/>
            </w:tcMar>
          </w:tcPr>
          <w:p>
            <w:r>
              <w:rPr>
                <w:b w:val="false"/>
                <w:bCs w:val="false"/>
                <w:sz w:val="18"/>
                <w:szCs w:val="18"/>
              </w:rPr>
              <w:t xml:space="preserve">Observed high defect density in current sprint</w:t>
            </w:r>
          </w:p>
        </w:tc>
        <w:tc>
          <w:tcPr>
            <w:tcW w:type="dxa" w:w="2300"/>
            <w:tcMar>
              <w:top w:type="dxa" w:w="80"/>
              <w:left w:type="dxa" w:w="100"/>
              <w:bottom w:type="dxa" w:w="80"/>
              <w:right w:type="dxa" w:w="100"/>
            </w:tcMar>
          </w:tcPr>
          <w:p>
            <w:r>
              <w:rPr>
                <w:b w:val="false"/>
                <w:bCs w:val="false"/>
                <w:sz w:val="18"/>
                <w:szCs w:val="18"/>
              </w:rPr>
              <w:t xml:space="preserve">D=High</w:t>
            </w:r>
          </w:p>
        </w:tc>
        <w:tc>
          <w:tcPr>
            <w:tcW w:type="dxa" w:w="1200"/>
            <w:tcMar>
              <w:top w:type="dxa" w:w="80"/>
              <w:left w:type="dxa" w:w="100"/>
              <w:bottom w:type="dxa" w:w="80"/>
              <w:right w:type="dxa" w:w="100"/>
            </w:tcMar>
          </w:tcPr>
          <w:p>
            <w:r>
              <w:rPr>
                <w:b w:val="false"/>
                <w:bCs w:val="false"/>
                <w:sz w:val="18"/>
                <w:szCs w:val="18"/>
              </w:rPr>
              <w:t xml:space="preserve">13.2%</w:t>
            </w:r>
          </w:p>
        </w:tc>
        <w:tc>
          <w:tcPr>
            <w:tcW w:type="dxa" w:w="1200"/>
            <w:tcMar>
              <w:top w:type="dxa" w:w="80"/>
              <w:left w:type="dxa" w:w="100"/>
              <w:bottom w:type="dxa" w:w="80"/>
              <w:right w:type="dxa" w:w="100"/>
            </w:tcMar>
          </w:tcPr>
          <w:p>
            <w:r>
              <w:rPr>
                <w:b w:val="false"/>
                <w:bCs w:val="false"/>
                <w:sz w:val="18"/>
                <w:szCs w:val="18"/>
              </w:rPr>
              <w:t xml:space="preserve">37.7%</w:t>
            </w:r>
          </w:p>
        </w:tc>
        <w:tc>
          <w:tcPr>
            <w:tcW w:type="dxa" w:w="1200"/>
            <w:tcMar>
              <w:top w:type="dxa" w:w="80"/>
              <w:left w:type="dxa" w:w="100"/>
              <w:bottom w:type="dxa" w:w="80"/>
              <w:right w:type="dxa" w:w="100"/>
            </w:tcMar>
          </w:tcPr>
          <w:p>
            <w:r>
              <w:rPr>
                <w:b w:val="false"/>
                <w:bCs w:val="false"/>
                <w:sz w:val="18"/>
                <w:szCs w:val="18"/>
              </w:rPr>
              <w:t xml:space="preserve">49.1%</w:t>
            </w:r>
          </w:p>
        </w:tc>
      </w:tr>
      <w:tr>
        <w:tc>
          <w:tcPr>
            <w:tcW w:type="dxa" w:w="3600"/>
            <w:shd w:fill="F2F5F3" w:val="clear"/>
            <w:tcMar>
              <w:top w:type="dxa" w:w="80"/>
              <w:left w:type="dxa" w:w="100"/>
              <w:bottom w:type="dxa" w:w="80"/>
              <w:right w:type="dxa" w:w="100"/>
            </w:tcMar>
          </w:tcPr>
          <w:p>
            <w:r>
              <w:rPr>
                <w:b w:val="false"/>
                <w:bCs w:val="false"/>
                <w:sz w:val="18"/>
                <w:szCs w:val="18"/>
              </w:rPr>
              <w:t xml:space="preserve">Mitigation applied: inexperienced team upskilled mid-project (T -&gt; High) despite volatile requirements</w:t>
            </w:r>
          </w:p>
        </w:tc>
        <w:tc>
          <w:tcPr>
            <w:tcW w:type="dxa" w:w="2300"/>
            <w:shd w:fill="F2F5F3" w:val="clear"/>
            <w:tcMar>
              <w:top w:type="dxa" w:w="80"/>
              <w:left w:type="dxa" w:w="100"/>
              <w:bottom w:type="dxa" w:w="80"/>
              <w:right w:type="dxa" w:w="100"/>
            </w:tcMar>
          </w:tcPr>
          <w:p>
            <w:r>
              <w:rPr>
                <w:b w:val="false"/>
                <w:bCs w:val="false"/>
                <w:sz w:val="18"/>
                <w:szCs w:val="18"/>
              </w:rPr>
              <w:t xml:space="preserve">R=High, T=High</w:t>
            </w:r>
          </w:p>
        </w:tc>
        <w:tc>
          <w:tcPr>
            <w:tcW w:type="dxa" w:w="1200"/>
            <w:shd w:fill="F2F5F3" w:val="clear"/>
            <w:tcMar>
              <w:top w:type="dxa" w:w="80"/>
              <w:left w:type="dxa" w:w="100"/>
              <w:bottom w:type="dxa" w:w="80"/>
              <w:right w:type="dxa" w:w="100"/>
            </w:tcMar>
          </w:tcPr>
          <w:p>
            <w:r>
              <w:rPr>
                <w:b w:val="false"/>
                <w:bCs w:val="false"/>
                <w:sz w:val="18"/>
                <w:szCs w:val="18"/>
              </w:rPr>
              <w:t xml:space="preserve">36.2%</w:t>
            </w:r>
          </w:p>
        </w:tc>
        <w:tc>
          <w:tcPr>
            <w:tcW w:type="dxa" w:w="1200"/>
            <w:shd w:fill="F2F5F3" w:val="clear"/>
            <w:tcMar>
              <w:top w:type="dxa" w:w="80"/>
              <w:left w:type="dxa" w:w="100"/>
              <w:bottom w:type="dxa" w:w="80"/>
              <w:right w:type="dxa" w:w="100"/>
            </w:tcMar>
          </w:tcPr>
          <w:p>
            <w:r>
              <w:rPr>
                <w:b w:val="false"/>
                <w:bCs w:val="false"/>
                <w:sz w:val="18"/>
                <w:szCs w:val="18"/>
              </w:rPr>
              <w:t xml:space="preserve">37.3%</w:t>
            </w:r>
          </w:p>
        </w:tc>
        <w:tc>
          <w:tcPr>
            <w:tcW w:type="dxa" w:w="1200"/>
            <w:shd w:fill="F2F5F3" w:val="clear"/>
            <w:tcMar>
              <w:top w:type="dxa" w:w="80"/>
              <w:left w:type="dxa" w:w="100"/>
              <w:bottom w:type="dxa" w:w="80"/>
              <w:right w:type="dxa" w:w="100"/>
            </w:tcMar>
          </w:tcPr>
          <w:p>
            <w:r>
              <w:rPr>
                <w:b w:val="false"/>
                <w:bCs w:val="false"/>
                <w:sz w:val="18"/>
                <w:szCs w:val="18"/>
              </w:rPr>
              <w:t xml:space="preserve">26.5%</w:t>
            </w:r>
          </w:p>
        </w:tc>
      </w:tr>
    </w:tbl>
    <w:p>
      <w:pPr>
        <w:spacing w:after="140"/>
      </w:pPr>
      <w:r>
        <w:t xml:space="preserve">The worst-case scenario (volatile requirements + inexperienced team) pushes P(High risk) to 55.0%, more than double the 28.1% baseline. Upskilling the team back to High experience — holding requirements volatility constant — pulls P(High risk) back to 26.5%, below baseline: the network shows which lever actually moves the outcome.</w:t>
      </w:r>
    </w:p>
    <w:p>
      <w:pPr>
        <w:pStyle w:val="Heading2"/>
        <w:spacing w:after="120" w:before="280"/>
      </w:pPr>
      <w:r>
        <w:t xml:space="preserve">6.2 Network 2 — Software Defect Prediction</w:t>
      </w:r>
    </w:p>
    <w:p>
      <w:pPr>
        <w:spacing w:after="140"/>
      </w:pPr>
      <w:r>
        <w:t xml:space="preserve">Calibrated directly against the Module 3 dataset: Code Complexity and Test Coverage are split at their sample median across the 12 modules.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2600"/>
      </w:tblGrid>
      <w:tr>
        <w:trPr>
          <w:tblHeader/>
        </w:trPr>
        <w:tc>
          <w:tcPr>
            <w:tcW w:type="dxa" w:w="2600"/>
            <w:shd w:fill="00625E" w:val="clear"/>
            <w:tcMar>
              <w:top w:type="dxa" w:w="80"/>
              <w:left w:type="dxa" w:w="100"/>
              <w:bottom w:type="dxa" w:w="80"/>
              <w:right w:type="dxa" w:w="100"/>
            </w:tcMar>
          </w:tcPr>
          <w:p>
            <w:r>
              <w:rPr>
                <w:b/>
                <w:bCs/>
                <w:color w:val="FFFFFF"/>
                <w:sz w:val="18"/>
                <w:szCs w:val="18"/>
              </w:rPr>
              <w:t xml:space="preserve">Code complexity</w:t>
            </w:r>
          </w:p>
        </w:tc>
        <w:tc>
          <w:tcPr>
            <w:tcW w:type="dxa" w:w="2600"/>
            <w:shd w:fill="00625E" w:val="clear"/>
            <w:tcMar>
              <w:top w:type="dxa" w:w="80"/>
              <w:left w:type="dxa" w:w="100"/>
              <w:bottom w:type="dxa" w:w="80"/>
              <w:right w:type="dxa" w:w="100"/>
            </w:tcMar>
          </w:tcPr>
          <w:p>
            <w:r>
              <w:rPr>
                <w:b/>
                <w:bCs/>
                <w:color w:val="FFFFFF"/>
                <w:sz w:val="18"/>
                <w:szCs w:val="18"/>
              </w:rPr>
              <w:t xml:space="preserve">Test coverage</w:t>
            </w:r>
          </w:p>
        </w:tc>
        <w:tc>
          <w:tcPr>
            <w:tcW w:type="dxa" w:w="2600"/>
            <w:shd w:fill="00625E" w:val="clear"/>
            <w:tcMar>
              <w:top w:type="dxa" w:w="80"/>
              <w:left w:type="dxa" w:w="100"/>
              <w:bottom w:type="dxa" w:w="80"/>
              <w:right w:type="dxa" w:w="100"/>
            </w:tcMar>
          </w:tcPr>
          <w:p>
            <w:r>
              <w:rPr>
                <w:b/>
                <w:bCs/>
                <w:color w:val="FFFFFF"/>
                <w:sz w:val="18"/>
                <w:szCs w:val="18"/>
              </w:rPr>
              <w:t xml:space="preserve">P(DefectProne=No)</w:t>
            </w:r>
          </w:p>
        </w:tc>
        <w:tc>
          <w:tcPr>
            <w:tcW w:type="dxa" w:w="2600"/>
            <w:shd w:fill="00625E" w:val="clear"/>
            <w:tcMar>
              <w:top w:type="dxa" w:w="80"/>
              <w:left w:type="dxa" w:w="100"/>
              <w:bottom w:type="dxa" w:w="80"/>
              <w:right w:type="dxa" w:w="100"/>
            </w:tcMar>
          </w:tcPr>
          <w:p>
            <w:r>
              <w:rPr>
                <w:b/>
                <w:bCs/>
                <w:color w:val="FFFFFF"/>
                <w:sz w:val="18"/>
                <w:szCs w:val="18"/>
              </w:rPr>
              <w:t xml:space="preserve">P(DefectProne=Yes)</w:t>
            </w:r>
          </w:p>
        </w:tc>
      </w:tr>
      <w:tr>
        <w:tc>
          <w:tcPr>
            <w:tcW w:type="dxa" w:w="2600"/>
            <w:tcMar>
              <w:top w:type="dxa" w:w="80"/>
              <w:left w:type="dxa" w:w="100"/>
              <w:bottom w:type="dxa" w:w="80"/>
              <w:right w:type="dxa" w:w="100"/>
            </w:tcMar>
          </w:tcPr>
          <w:p>
            <w:r>
              <w:rPr>
                <w:b w:val="false"/>
                <w:bCs w:val="false"/>
                <w:sz w:val="18"/>
                <w:szCs w:val="18"/>
              </w:rPr>
              <w:t xml:space="preserve">Low</w:t>
            </w:r>
          </w:p>
        </w:tc>
        <w:tc>
          <w:tcPr>
            <w:tcW w:type="dxa" w:w="2600"/>
            <w:tcMar>
              <w:top w:type="dxa" w:w="80"/>
              <w:left w:type="dxa" w:w="100"/>
              <w:bottom w:type="dxa" w:w="80"/>
              <w:right w:type="dxa" w:w="100"/>
            </w:tcMar>
          </w:tcPr>
          <w:p>
            <w:r>
              <w:rPr>
                <w:b w:val="false"/>
                <w:bCs w:val="false"/>
                <w:sz w:val="18"/>
                <w:szCs w:val="18"/>
              </w:rPr>
              <w:t xml:space="preserve">Low</w:t>
            </w:r>
          </w:p>
        </w:tc>
        <w:tc>
          <w:tcPr>
            <w:tcW w:type="dxa" w:w="2600"/>
            <w:tcMar>
              <w:top w:type="dxa" w:w="80"/>
              <w:left w:type="dxa" w:w="100"/>
              <w:bottom w:type="dxa" w:w="80"/>
              <w:right w:type="dxa" w:w="100"/>
            </w:tcMar>
          </w:tcPr>
          <w:p>
            <w:r>
              <w:rPr>
                <w:b w:val="false"/>
                <w:bCs w:val="false"/>
                <w:sz w:val="18"/>
                <w:szCs w:val="18"/>
              </w:rPr>
              <w:t xml:space="preserve">100%</w:t>
            </w:r>
          </w:p>
        </w:tc>
        <w:tc>
          <w:tcPr>
            <w:tcW w:type="dxa" w:w="2600"/>
            <w:tcMar>
              <w:top w:type="dxa" w:w="80"/>
              <w:left w:type="dxa" w:w="100"/>
              <w:bottom w:type="dxa" w:w="80"/>
              <w:right w:type="dxa" w:w="100"/>
            </w:tcMar>
          </w:tcPr>
          <w:p>
            <w:r>
              <w:rPr>
                <w:b w:val="false"/>
                <w:bCs w:val="false"/>
                <w:sz w:val="18"/>
                <w:szCs w:val="18"/>
              </w:rPr>
              <w:t xml:space="preserve">0%</w:t>
            </w:r>
          </w:p>
        </w:tc>
      </w:tr>
      <w:tr>
        <w:tc>
          <w:tcPr>
            <w:tcW w:type="dxa" w:w="2600"/>
            <w:shd w:fill="F2F5F3" w:val="clear"/>
            <w:tcMar>
              <w:top w:type="dxa" w:w="80"/>
              <w:left w:type="dxa" w:w="100"/>
              <w:bottom w:type="dxa" w:w="80"/>
              <w:right w:type="dxa" w:w="100"/>
            </w:tcMar>
          </w:tcPr>
          <w:p>
            <w:r>
              <w:rPr>
                <w:b w:val="false"/>
                <w:bCs w:val="false"/>
                <w:sz w:val="18"/>
                <w:szCs w:val="18"/>
              </w:rPr>
              <w:t xml:space="preserve">Low</w:t>
            </w:r>
          </w:p>
        </w:tc>
        <w:tc>
          <w:tcPr>
            <w:tcW w:type="dxa" w:w="2600"/>
            <w:shd w:fill="F2F5F3" w:val="clear"/>
            <w:tcMar>
              <w:top w:type="dxa" w:w="80"/>
              <w:left w:type="dxa" w:w="100"/>
              <w:bottom w:type="dxa" w:w="80"/>
              <w:right w:type="dxa" w:w="100"/>
            </w:tcMar>
          </w:tcPr>
          <w:p>
            <w:r>
              <w:rPr>
                <w:b w:val="false"/>
                <w:bCs w:val="false"/>
                <w:sz w:val="18"/>
                <w:szCs w:val="18"/>
              </w:rPr>
              <w:t xml:space="preserve">High</w:t>
            </w:r>
          </w:p>
        </w:tc>
        <w:tc>
          <w:tcPr>
            <w:tcW w:type="dxa" w:w="2600"/>
            <w:shd w:fill="F2F5F3" w:val="clear"/>
            <w:tcMar>
              <w:top w:type="dxa" w:w="80"/>
              <w:left w:type="dxa" w:w="100"/>
              <w:bottom w:type="dxa" w:w="80"/>
              <w:right w:type="dxa" w:w="100"/>
            </w:tcMar>
          </w:tcPr>
          <w:p>
            <w:r>
              <w:rPr>
                <w:b w:val="false"/>
                <w:bCs w:val="false"/>
                <w:sz w:val="18"/>
                <w:szCs w:val="18"/>
              </w:rPr>
              <w:t xml:space="preserve">50%</w:t>
            </w:r>
          </w:p>
        </w:tc>
        <w:tc>
          <w:tcPr>
            <w:tcW w:type="dxa" w:w="2600"/>
            <w:shd w:fill="F2F5F3" w:val="clear"/>
            <w:tcMar>
              <w:top w:type="dxa" w:w="80"/>
              <w:left w:type="dxa" w:w="100"/>
              <w:bottom w:type="dxa" w:w="80"/>
              <w:right w:type="dxa" w:w="100"/>
            </w:tcMar>
          </w:tcPr>
          <w:p>
            <w:r>
              <w:rPr>
                <w:b w:val="false"/>
                <w:bCs w:val="false"/>
                <w:sz w:val="18"/>
                <w:szCs w:val="18"/>
              </w:rPr>
              <w:t xml:space="preserve">50%</w:t>
            </w:r>
          </w:p>
        </w:tc>
      </w:tr>
      <w:tr>
        <w:tc>
          <w:tcPr>
            <w:tcW w:type="dxa" w:w="2600"/>
            <w:tcMar>
              <w:top w:type="dxa" w:w="80"/>
              <w:left w:type="dxa" w:w="100"/>
              <w:bottom w:type="dxa" w:w="80"/>
              <w:right w:type="dxa" w:w="100"/>
            </w:tcMar>
          </w:tcPr>
          <w:p>
            <w:r>
              <w:rPr>
                <w:b w:val="false"/>
                <w:bCs w:val="false"/>
                <w:sz w:val="18"/>
                <w:szCs w:val="18"/>
              </w:rPr>
              <w:t xml:space="preserve">High</w:t>
            </w:r>
          </w:p>
        </w:tc>
        <w:tc>
          <w:tcPr>
            <w:tcW w:type="dxa" w:w="2600"/>
            <w:tcMar>
              <w:top w:type="dxa" w:w="80"/>
              <w:left w:type="dxa" w:w="100"/>
              <w:bottom w:type="dxa" w:w="80"/>
              <w:right w:type="dxa" w:w="100"/>
            </w:tcMar>
          </w:tcPr>
          <w:p>
            <w:r>
              <w:rPr>
                <w:b w:val="false"/>
                <w:bCs w:val="false"/>
                <w:sz w:val="18"/>
                <w:szCs w:val="18"/>
              </w:rPr>
              <w:t xml:space="preserve">Low</w:t>
            </w:r>
          </w:p>
        </w:tc>
        <w:tc>
          <w:tcPr>
            <w:tcW w:type="dxa" w:w="2600"/>
            <w:tcMar>
              <w:top w:type="dxa" w:w="80"/>
              <w:left w:type="dxa" w:w="100"/>
              <w:bottom w:type="dxa" w:w="80"/>
              <w:right w:type="dxa" w:w="100"/>
            </w:tcMar>
          </w:tcPr>
          <w:p>
            <w:r>
              <w:rPr>
                <w:b w:val="false"/>
                <w:bCs w:val="false"/>
                <w:sz w:val="18"/>
                <w:szCs w:val="18"/>
              </w:rPr>
              <w:t xml:space="preserve">25%</w:t>
            </w:r>
          </w:p>
        </w:tc>
        <w:tc>
          <w:tcPr>
            <w:tcW w:type="dxa" w:w="2600"/>
            <w:tcMar>
              <w:top w:type="dxa" w:w="80"/>
              <w:left w:type="dxa" w:w="100"/>
              <w:bottom w:type="dxa" w:w="80"/>
              <w:right w:type="dxa" w:w="100"/>
            </w:tcMar>
          </w:tcPr>
          <w:p>
            <w:r>
              <w:rPr>
                <w:b w:val="false"/>
                <w:bCs w:val="false"/>
                <w:sz w:val="18"/>
                <w:szCs w:val="18"/>
              </w:rPr>
              <w:t xml:space="preserve">75%</w:t>
            </w:r>
          </w:p>
        </w:tc>
      </w:tr>
      <w:tr>
        <w:tc>
          <w:tcPr>
            <w:tcW w:type="dxa" w:w="2600"/>
            <w:shd w:fill="F2F5F3" w:val="clear"/>
            <w:tcMar>
              <w:top w:type="dxa" w:w="80"/>
              <w:left w:type="dxa" w:w="100"/>
              <w:bottom w:type="dxa" w:w="80"/>
              <w:right w:type="dxa" w:w="100"/>
            </w:tcMar>
          </w:tcPr>
          <w:p>
            <w:r>
              <w:rPr>
                <w:b w:val="false"/>
                <w:bCs w:val="false"/>
                <w:sz w:val="18"/>
                <w:szCs w:val="18"/>
              </w:rPr>
              <w:t xml:space="preserve">High</w:t>
            </w:r>
          </w:p>
        </w:tc>
        <w:tc>
          <w:tcPr>
            <w:tcW w:type="dxa" w:w="2600"/>
            <w:shd w:fill="F2F5F3" w:val="clear"/>
            <w:tcMar>
              <w:top w:type="dxa" w:w="80"/>
              <w:left w:type="dxa" w:w="100"/>
              <w:bottom w:type="dxa" w:w="80"/>
              <w:right w:type="dxa" w:w="100"/>
            </w:tcMar>
          </w:tcPr>
          <w:p>
            <w:r>
              <w:rPr>
                <w:b w:val="false"/>
                <w:bCs w:val="false"/>
                <w:sz w:val="18"/>
                <w:szCs w:val="18"/>
              </w:rPr>
              <w:t xml:space="preserve">High</w:t>
            </w:r>
          </w:p>
        </w:tc>
        <w:tc>
          <w:tcPr>
            <w:tcW w:type="dxa" w:w="2600"/>
            <w:shd w:fill="F2F5F3" w:val="clear"/>
            <w:tcMar>
              <w:top w:type="dxa" w:w="80"/>
              <w:left w:type="dxa" w:w="100"/>
              <w:bottom w:type="dxa" w:w="80"/>
              <w:right w:type="dxa" w:w="100"/>
            </w:tcMar>
          </w:tcPr>
          <w:p>
            <w:r>
              <w:rPr>
                <w:b w:val="false"/>
                <w:bCs w:val="false"/>
                <w:sz w:val="18"/>
                <w:szCs w:val="18"/>
              </w:rPr>
              <w:t xml:space="preserve">50%</w:t>
            </w:r>
          </w:p>
        </w:tc>
        <w:tc>
          <w:tcPr>
            <w:tcW w:type="dxa" w:w="2600"/>
            <w:shd w:fill="F2F5F3" w:val="clear"/>
            <w:tcMar>
              <w:top w:type="dxa" w:w="80"/>
              <w:left w:type="dxa" w:w="100"/>
              <w:bottom w:type="dxa" w:w="80"/>
              <w:right w:type="dxa" w:w="100"/>
            </w:tcMar>
          </w:tcPr>
          <w:p>
            <w:r>
              <w:rPr>
                <w:b w:val="false"/>
                <w:bCs w:val="false"/>
                <w:sz w:val="18"/>
                <w:szCs w:val="18"/>
              </w:rPr>
              <w:t xml:space="preserve">50%</w:t>
            </w:r>
          </w:p>
        </w:tc>
      </w:tr>
    </w:tbl>
    <w:p>
      <w:pPr>
        <w:pStyle w:val="Heading2"/>
        <w:spacing w:after="120" w:before="280"/>
      </w:pPr>
      <w:r>
        <w:t xml:space="preserve">6.3 Risk Register and Overcome Ideas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00"/>
        <w:gridCol w:w="5400"/>
      </w:tblGrid>
      <w:tr>
        <w:trPr>
          <w:tblHeader/>
        </w:trPr>
        <w:tc>
          <w:tcPr>
            <w:tcW w:type="dxa" w:w="2600"/>
            <w:shd w:fill="00625E" w:val="clear"/>
            <w:tcMar>
              <w:top w:type="dxa" w:w="80"/>
              <w:left w:type="dxa" w:w="100"/>
              <w:bottom w:type="dxa" w:w="80"/>
              <w:right w:type="dxa" w:w="100"/>
            </w:tcMar>
          </w:tcPr>
          <w:p>
            <w:r>
              <w:rPr>
                <w:b/>
                <w:bCs/>
                <w:color w:val="FFFFFF"/>
                <w:sz w:val="18"/>
                <w:szCs w:val="18"/>
              </w:rPr>
              <w:t xml:space="preserve">Risk</w:t>
            </w:r>
          </w:p>
        </w:tc>
        <w:tc>
          <w:tcPr>
            <w:tcW w:type="dxa" w:w="1300"/>
            <w:shd w:fill="00625E" w:val="clear"/>
            <w:tcMar>
              <w:top w:type="dxa" w:w="80"/>
              <w:left w:type="dxa" w:w="100"/>
              <w:bottom w:type="dxa" w:w="80"/>
              <w:right w:type="dxa" w:w="100"/>
            </w:tcMar>
          </w:tcPr>
          <w:p>
            <w:r>
              <w:rPr>
                <w:b/>
                <w:bCs/>
                <w:color w:val="FFFFFF"/>
                <w:sz w:val="18"/>
                <w:szCs w:val="18"/>
              </w:rPr>
              <w:t xml:space="preserve">Likelihood</w:t>
            </w:r>
          </w:p>
        </w:tc>
        <w:tc>
          <w:tcPr>
            <w:tcW w:type="dxa" w:w="1100"/>
            <w:shd w:fill="00625E" w:val="clear"/>
            <w:tcMar>
              <w:top w:type="dxa" w:w="80"/>
              <w:left w:type="dxa" w:w="100"/>
              <w:bottom w:type="dxa" w:w="80"/>
              <w:right w:type="dxa" w:w="100"/>
            </w:tcMar>
          </w:tcPr>
          <w:p>
            <w:r>
              <w:rPr>
                <w:b/>
                <w:bCs/>
                <w:color w:val="FFFFFF"/>
                <w:sz w:val="18"/>
                <w:szCs w:val="18"/>
              </w:rPr>
              <w:t xml:space="preserve">Impact</w:t>
            </w:r>
          </w:p>
        </w:tc>
        <w:tc>
          <w:tcPr>
            <w:tcW w:type="dxa" w:w="5400"/>
            <w:shd w:fill="00625E" w:val="clear"/>
            <w:tcMar>
              <w:top w:type="dxa" w:w="80"/>
              <w:left w:type="dxa" w:w="100"/>
              <w:bottom w:type="dxa" w:w="80"/>
              <w:right w:type="dxa" w:w="100"/>
            </w:tcMar>
          </w:tcPr>
          <w:p>
            <w:r>
              <w:rPr>
                <w:b/>
                <w:bCs/>
                <w:color w:val="FFFFFF"/>
                <w:sz w:val="18"/>
                <w:szCs w:val="18"/>
              </w:rPr>
              <w:t xml:space="preserve">Overcome idea</w:t>
            </w:r>
          </w:p>
        </w:tc>
      </w:tr>
      <w:tr>
        <w:tc>
          <w:tcPr>
            <w:tcW w:type="dxa" w:w="2600"/>
            <w:tcMar>
              <w:top w:type="dxa" w:w="80"/>
              <w:left w:type="dxa" w:w="100"/>
              <w:bottom w:type="dxa" w:w="80"/>
              <w:right w:type="dxa" w:w="100"/>
            </w:tcMar>
          </w:tcPr>
          <w:p>
            <w:r>
              <w:rPr>
                <w:b w:val="false"/>
                <w:bCs w:val="false"/>
                <w:sz w:val="18"/>
                <w:szCs w:val="18"/>
              </w:rPr>
              <w:t xml:space="preserve">Requirement volatility (frequent scope changes to AI recommendation logic)</w:t>
            </w:r>
          </w:p>
        </w:tc>
        <w:tc>
          <w:tcPr>
            <w:tcW w:type="dxa" w:w="1300"/>
            <w:tcMar>
              <w:top w:type="dxa" w:w="80"/>
              <w:left w:type="dxa" w:w="100"/>
              <w:bottom w:type="dxa" w:w="80"/>
              <w:right w:type="dxa" w:w="100"/>
            </w:tcMar>
          </w:tcPr>
          <w:p>
            <w:r>
              <w:rPr>
                <w:b w:val="false"/>
                <w:bCs w:val="false"/>
                <w:sz w:val="18"/>
                <w:szCs w:val="18"/>
              </w:rPr>
              <w:t xml:space="preserve">Medium-High</w:t>
            </w:r>
          </w:p>
        </w:tc>
        <w:tc>
          <w:tcPr>
            <w:tcW w:type="dxa" w:w="1100"/>
            <w:tcMar>
              <w:top w:type="dxa" w:w="80"/>
              <w:left w:type="dxa" w:w="100"/>
              <w:bottom w:type="dxa" w:w="80"/>
              <w:right w:type="dxa" w:w="100"/>
            </w:tcMar>
          </w:tcPr>
          <w:p>
            <w:r>
              <w:rPr>
                <w:b w:val="false"/>
                <w:bCs w:val="false"/>
                <w:sz w:val="18"/>
                <w:szCs w:val="18"/>
              </w:rPr>
              <w:t xml:space="preserve">High</w:t>
            </w:r>
          </w:p>
        </w:tc>
        <w:tc>
          <w:tcPr>
            <w:tcW w:type="dxa" w:w="5400"/>
            <w:tcMar>
              <w:top w:type="dxa" w:w="80"/>
              <w:left w:type="dxa" w:w="100"/>
              <w:bottom w:type="dxa" w:w="80"/>
              <w:right w:type="dxa" w:w="100"/>
            </w:tcMar>
          </w:tcPr>
          <w:p>
            <w:r>
              <w:rPr>
                <w:b w:val="false"/>
                <w:bCs w:val="false"/>
                <w:sz w:val="18"/>
                <w:szCs w:val="18"/>
              </w:rPr>
              <w:t xml:space="preserve">Freeze the GQ(I)M-derived acceptance criteria per sprint; route all mid-sprint scope changes through a lightweight change-control board before they enter the backlog.</w:t>
            </w:r>
          </w:p>
        </w:tc>
      </w:tr>
      <w:tr>
        <w:tc>
          <w:tcPr>
            <w:tcW w:type="dxa" w:w="2600"/>
            <w:shd w:fill="F2F5F3" w:val="clear"/>
            <w:tcMar>
              <w:top w:type="dxa" w:w="80"/>
              <w:left w:type="dxa" w:w="100"/>
              <w:bottom w:type="dxa" w:w="80"/>
              <w:right w:type="dxa" w:w="100"/>
            </w:tcMar>
          </w:tcPr>
          <w:p>
            <w:r>
              <w:rPr>
                <w:b w:val="false"/>
                <w:bCs w:val="false"/>
                <w:sz w:val="18"/>
                <w:szCs w:val="18"/>
              </w:rPr>
              <w:t xml:space="preserve">Inexperienced team members on the Transaction Engine / Auth modules</w:t>
            </w:r>
          </w:p>
        </w:tc>
        <w:tc>
          <w:tcPr>
            <w:tcW w:type="dxa" w:w="1300"/>
            <w:shd w:fill="F2F5F3" w:val="clear"/>
            <w:tcMar>
              <w:top w:type="dxa" w:w="80"/>
              <w:left w:type="dxa" w:w="100"/>
              <w:bottom w:type="dxa" w:w="80"/>
              <w:right w:type="dxa" w:w="100"/>
            </w:tcMar>
          </w:tcPr>
          <w:p>
            <w:r>
              <w:rPr>
                <w:b w:val="false"/>
                <w:bCs w:val="false"/>
                <w:sz w:val="18"/>
                <w:szCs w:val="18"/>
              </w:rPr>
              <w:t xml:space="preserve">Medium</w:t>
            </w:r>
          </w:p>
        </w:tc>
        <w:tc>
          <w:tcPr>
            <w:tcW w:type="dxa" w:w="1100"/>
            <w:shd w:fill="F2F5F3" w:val="clear"/>
            <w:tcMar>
              <w:top w:type="dxa" w:w="80"/>
              <w:left w:type="dxa" w:w="100"/>
              <w:bottom w:type="dxa" w:w="80"/>
              <w:right w:type="dxa" w:w="100"/>
            </w:tcMar>
          </w:tcPr>
          <w:p>
            <w:r>
              <w:rPr>
                <w:b w:val="false"/>
                <w:bCs w:val="false"/>
                <w:sz w:val="18"/>
                <w:szCs w:val="18"/>
              </w:rPr>
              <w:t xml:space="preserve">High</w:t>
            </w:r>
          </w:p>
        </w:tc>
        <w:tc>
          <w:tcPr>
            <w:tcW w:type="dxa" w:w="5400"/>
            <w:shd w:fill="F2F5F3" w:val="clear"/>
            <w:tcMar>
              <w:top w:type="dxa" w:w="80"/>
              <w:left w:type="dxa" w:w="100"/>
              <w:bottom w:type="dxa" w:w="80"/>
              <w:right w:type="dxa" w:w="100"/>
            </w:tcMar>
          </w:tcPr>
          <w:p>
            <w:r>
              <w:rPr>
                <w:b w:val="false"/>
                <w:bCs w:val="false"/>
                <w:sz w:val="18"/>
                <w:szCs w:val="18"/>
              </w:rPr>
              <w:t xml:space="preserve">Pair junior engineers with senior reviewers on Transaction Engine and Authentication Service PRs; mandatory code review + 85% coverage gate already defined in Sub-Goal 4's CI/CD plan.</w:t>
            </w:r>
          </w:p>
        </w:tc>
      </w:tr>
      <w:tr>
        <w:tc>
          <w:tcPr>
            <w:tcW w:type="dxa" w:w="2600"/>
            <w:tcMar>
              <w:top w:type="dxa" w:w="80"/>
              <w:left w:type="dxa" w:w="100"/>
              <w:bottom w:type="dxa" w:w="80"/>
              <w:right w:type="dxa" w:w="100"/>
            </w:tcMar>
          </w:tcPr>
          <w:p>
            <w:r>
              <w:rPr>
                <w:b w:val="false"/>
                <w:bCs w:val="false"/>
                <w:sz w:val="18"/>
                <w:szCs w:val="18"/>
              </w:rPr>
              <w:t xml:space="preserve">Schedule delay cascading from high-coupling modules</w:t>
            </w:r>
          </w:p>
        </w:tc>
        <w:tc>
          <w:tcPr>
            <w:tcW w:type="dxa" w:w="1300"/>
            <w:tcMar>
              <w:top w:type="dxa" w:w="80"/>
              <w:left w:type="dxa" w:w="100"/>
              <w:bottom w:type="dxa" w:w="80"/>
              <w:right w:type="dxa" w:w="100"/>
            </w:tcMar>
          </w:tcPr>
          <w:p>
            <w:r>
              <w:rPr>
                <w:b w:val="false"/>
                <w:bCs w:val="false"/>
                <w:sz w:val="18"/>
                <w:szCs w:val="18"/>
              </w:rPr>
              <w:t xml:space="preserve">Medium</w:t>
            </w:r>
          </w:p>
        </w:tc>
        <w:tc>
          <w:tcPr>
            <w:tcW w:type="dxa" w:w="1100"/>
            <w:tcMar>
              <w:top w:type="dxa" w:w="80"/>
              <w:left w:type="dxa" w:w="100"/>
              <w:bottom w:type="dxa" w:w="80"/>
              <w:right w:type="dxa" w:w="100"/>
            </w:tcMar>
          </w:tcPr>
          <w:p>
            <w:r>
              <w:rPr>
                <w:b w:val="false"/>
                <w:bCs w:val="false"/>
                <w:sz w:val="18"/>
                <w:szCs w:val="18"/>
              </w:rPr>
              <w:t xml:space="preserve">Medium</w:t>
            </w:r>
          </w:p>
        </w:tc>
        <w:tc>
          <w:tcPr>
            <w:tcW w:type="dxa" w:w="5400"/>
            <w:tcMar>
              <w:top w:type="dxa" w:w="80"/>
              <w:left w:type="dxa" w:w="100"/>
              <w:bottom w:type="dxa" w:w="80"/>
              <w:right w:type="dxa" w:w="100"/>
            </w:tcMar>
          </w:tcPr>
          <w:p>
            <w:r>
              <w:rPr>
                <w:b w:val="false"/>
                <w:bCs w:val="false"/>
                <w:sz w:val="18"/>
                <w:szCs w:val="18"/>
              </w:rPr>
              <w:t xml:space="preserve">Refactor the top-2 highest-coupling modules identified by the decision tree/correlation analysis before the next release; track CBO as a Structural-Metrics KPI in the sprint dashboard.</w:t>
            </w:r>
          </w:p>
        </w:tc>
      </w:tr>
      <w:tr>
        <w:tc>
          <w:tcPr>
            <w:tcW w:type="dxa" w:w="2600"/>
            <w:shd w:fill="F2F5F3" w:val="clear"/>
            <w:tcMar>
              <w:top w:type="dxa" w:w="80"/>
              <w:left w:type="dxa" w:w="100"/>
              <w:bottom w:type="dxa" w:w="80"/>
              <w:right w:type="dxa" w:w="100"/>
            </w:tcMar>
          </w:tcPr>
          <w:p>
            <w:r>
              <w:rPr>
                <w:b w:val="false"/>
                <w:bCs w:val="false"/>
                <w:sz w:val="18"/>
                <w:szCs w:val="18"/>
              </w:rPr>
              <w:t xml:space="preserve">AI model drift degrading recommendation accuracy</w:t>
            </w:r>
          </w:p>
        </w:tc>
        <w:tc>
          <w:tcPr>
            <w:tcW w:type="dxa" w:w="1300"/>
            <w:shd w:fill="F2F5F3" w:val="clear"/>
            <w:tcMar>
              <w:top w:type="dxa" w:w="80"/>
              <w:left w:type="dxa" w:w="100"/>
              <w:bottom w:type="dxa" w:w="80"/>
              <w:right w:type="dxa" w:w="100"/>
            </w:tcMar>
          </w:tcPr>
          <w:p>
            <w:r>
              <w:rPr>
                <w:b w:val="false"/>
                <w:bCs w:val="false"/>
                <w:sz w:val="18"/>
                <w:szCs w:val="18"/>
              </w:rPr>
              <w:t xml:space="preserve">Medium</w:t>
            </w:r>
          </w:p>
        </w:tc>
        <w:tc>
          <w:tcPr>
            <w:tcW w:type="dxa" w:w="1100"/>
            <w:shd w:fill="F2F5F3" w:val="clear"/>
            <w:tcMar>
              <w:top w:type="dxa" w:w="80"/>
              <w:left w:type="dxa" w:w="100"/>
              <w:bottom w:type="dxa" w:w="80"/>
              <w:right w:type="dxa" w:w="100"/>
            </w:tcMar>
          </w:tcPr>
          <w:p>
            <w:r>
              <w:rPr>
                <w:b w:val="false"/>
                <w:bCs w:val="false"/>
                <w:sz w:val="18"/>
                <w:szCs w:val="18"/>
              </w:rPr>
              <w:t xml:space="preserve">Medium</w:t>
            </w:r>
          </w:p>
        </w:tc>
        <w:tc>
          <w:tcPr>
            <w:tcW w:type="dxa" w:w="5400"/>
            <w:shd w:fill="F2F5F3" w:val="clear"/>
            <w:tcMar>
              <w:top w:type="dxa" w:w="80"/>
              <w:left w:type="dxa" w:w="100"/>
              <w:bottom w:type="dxa" w:w="80"/>
              <w:right w:type="dxa" w:w="100"/>
            </w:tcMar>
          </w:tcPr>
          <w:p>
            <w:r>
              <w:rPr>
                <w:b w:val="false"/>
                <w:bCs w:val="false"/>
                <w:sz w:val="18"/>
                <w:szCs w:val="18"/>
              </w:rPr>
              <w:t xml:space="preserve">Auto-trigger retraining when Drift Score (current MAPE - baseline MAPE) exceeds threshold, as already planned in the GQ(I)M measurement plan.</w:t>
            </w:r>
          </w:p>
        </w:tc>
      </w:tr>
      <w:tr>
        <w:tc>
          <w:tcPr>
            <w:tcW w:type="dxa" w:w="2600"/>
            <w:tcMar>
              <w:top w:type="dxa" w:w="80"/>
              <w:left w:type="dxa" w:w="100"/>
              <w:bottom w:type="dxa" w:w="80"/>
              <w:right w:type="dxa" w:w="100"/>
            </w:tcMar>
          </w:tcPr>
          <w:p>
            <w:r>
              <w:rPr>
                <w:b w:val="false"/>
                <w:bCs w:val="false"/>
                <w:sz w:val="18"/>
                <w:szCs w:val="18"/>
              </w:rPr>
              <w:t xml:space="preserve">Production transaction-failure spike (control-chart out-of-control signal)</w:t>
            </w:r>
          </w:p>
        </w:tc>
        <w:tc>
          <w:tcPr>
            <w:tcW w:type="dxa" w:w="1300"/>
            <w:tcMar>
              <w:top w:type="dxa" w:w="80"/>
              <w:left w:type="dxa" w:w="100"/>
              <w:bottom w:type="dxa" w:w="80"/>
              <w:right w:type="dxa" w:w="100"/>
            </w:tcMar>
          </w:tcPr>
          <w:p>
            <w:r>
              <w:rPr>
                <w:b w:val="false"/>
                <w:bCs w:val="false"/>
                <w:sz w:val="18"/>
                <w:szCs w:val="18"/>
              </w:rPr>
              <w:t xml:space="preserve">Observed</w:t>
            </w:r>
          </w:p>
        </w:tc>
        <w:tc>
          <w:tcPr>
            <w:tcW w:type="dxa" w:w="1100"/>
            <w:tcMar>
              <w:top w:type="dxa" w:w="80"/>
              <w:left w:type="dxa" w:w="100"/>
              <w:bottom w:type="dxa" w:w="80"/>
              <w:right w:type="dxa" w:w="100"/>
            </w:tcMar>
          </w:tcPr>
          <w:p>
            <w:r>
              <w:rPr>
                <w:b w:val="false"/>
                <w:bCs w:val="false"/>
                <w:sz w:val="18"/>
                <w:szCs w:val="18"/>
              </w:rPr>
              <w:t xml:space="preserve">High</w:t>
            </w:r>
          </w:p>
        </w:tc>
        <w:tc>
          <w:tcPr>
            <w:tcW w:type="dxa" w:w="5400"/>
            <w:tcMar>
              <w:top w:type="dxa" w:w="80"/>
              <w:left w:type="dxa" w:w="100"/>
              <w:bottom w:type="dxa" w:w="80"/>
              <w:right w:type="dxa" w:w="100"/>
            </w:tcMar>
          </w:tcPr>
          <w:p>
            <w:r>
              <w:rPr>
                <w:b w:val="false"/>
                <w:bCs w:val="false"/>
                <w:sz w:val="18"/>
                <w:szCs w:val="18"/>
              </w:rPr>
              <w:t xml:space="preserve">Treat any UCL breach as an assignable-cause incident: trigger the 48-hour post-mortem SLA already defined in Sub-Goal 4's measurement plan; roll back the release that introduced the regression.</w:t>
            </w:r>
          </w:p>
        </w:tc>
      </w:tr>
    </w:tbl>
    <w:p>
      <w:r>
        <w:br w:type="page"/>
      </w:r>
    </w:p>
    <w:p>
      <w:pPr>
        <w:pStyle w:val="Heading1"/>
        <w:spacing w:after="120" w:before="280"/>
      </w:pPr>
      <w:r>
        <w:t xml:space="preserve">7. Implementation — The Working Product</w:t>
      </w:r>
    </w:p>
    <w:p>
      <w:pPr>
        <w:spacing w:after="140"/>
      </w:pPr>
      <w:r>
        <w:t xml:space="preserve">Every class in Section 4's diagram and every measure in Sections 5-6 is backed by a real, running application: a React 19 + Vite single-page frontend (app/web) talking to a Node/Express REST API (app/server) with JWT authentication, bcrypt password hashing, and a Gemini-API-powered recommendation layer. The screenshots below are taken directly from the deployed app, not mock-ups.</w:t>
      </w:r>
    </w:p>
    <w:p>
      <w:pPr>
        <w:pStyle w:val="Heading2"/>
        <w:spacing w:after="120" w:before="280"/>
      </w:pPr>
      <w:r>
        <w:t xml:space="preserve">7.1 Authentication</w:t>
      </w:r>
    </w:p>
    <w:p>
      <w:pPr>
        <w:spacing w:after="140"/>
      </w:pPr>
      <w:r>
        <w:t xml:space="preserve">AuthenticationService from the class diagram, implemented with bcrypt-hashed passwords and JWT bearer sessions (server/routes/auth.js).</w:t>
      </w:r>
    </w:p>
    <w:p>
      <w:pPr>
        <w:spacing w:after="100"/>
        <w:jc w:val="center"/>
      </w:pPr>
      <w:r>
        <w:drawing>
          <wp:inline distT="0" distB="0" distL="0" distR="0">
            <wp:extent cx="576072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3657600"/>
                    </a:xfrm>
                    <a:prstGeom prst="rect">
                      <a:avLst/>
                    </a:prstGeom>
                  </pic:spPr>
                </pic:pic>
              </a:graphicData>
            </a:graphic>
          </wp:inline>
        </w:drawing>
      </w:r>
    </w:p>
    <w:p>
      <w:pPr>
        <w:spacing w:after="260"/>
        <w:jc w:val="center"/>
      </w:pPr>
      <w:r>
        <w:rPr>
          <w:i/>
          <w:iCs/>
          <w:color w:val="4C5B55"/>
          <w:sz w:val="18"/>
          <w:szCs w:val="18"/>
        </w:rPr>
        <w:t xml:space="preserve">Figure 6 — Login screen.</w:t>
      </w:r>
    </w:p>
    <w:p>
      <w:pPr>
        <w:pStyle w:val="Heading2"/>
        <w:spacing w:after="120" w:before="280"/>
      </w:pPr>
      <w:r>
        <w:t xml:space="preserve">7.2 Dashboard</w:t>
      </w:r>
    </w:p>
    <w:p>
      <w:pPr>
        <w:spacing w:after="140"/>
      </w:pPr>
      <w:r>
        <w:t xml:space="preserve">Net worth, monthly income/expense, savings rate, spend-by-category and recent transactions — all computed live from the User's Accounts and Transactions (server/routes/dashboard.js).</w:t>
      </w:r>
    </w:p>
    <w:p>
      <w:pPr>
        <w:spacing w:after="100"/>
        <w:jc w:val="center"/>
      </w:pPr>
      <w:r>
        <w:drawing>
          <wp:inline distT="0" distB="0" distL="0" distR="0">
            <wp:extent cx="576072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3566160"/>
                    </a:xfrm>
                    <a:prstGeom prst="rect">
                      <a:avLst/>
                    </a:prstGeom>
                  </pic:spPr>
                </pic:pic>
              </a:graphicData>
            </a:graphic>
          </wp:inline>
        </w:drawing>
      </w:r>
    </w:p>
    <w:p>
      <w:pPr>
        <w:spacing w:after="260"/>
        <w:jc w:val="center"/>
      </w:pPr>
      <w:r>
        <w:rPr>
          <w:i/>
          <w:iCs/>
          <w:color w:val="4C5B55"/>
          <w:sz w:val="18"/>
          <w:szCs w:val="18"/>
        </w:rPr>
        <w:t xml:space="preserve">Figure 7 — Dashboard.</w:t>
      </w:r>
    </w:p>
    <w:p>
      <w:pPr>
        <w:pStyle w:val="Heading2"/>
        <w:spacing w:after="120" w:before="280"/>
      </w:pPr>
      <w:r>
        <w:t xml:space="preserve">7.3 Transactions and Anomaly Detection</w:t>
      </w:r>
    </w:p>
    <w:p>
      <w:pPr>
        <w:spacing w:after="140"/>
      </w:pPr>
      <w:r>
        <w:t xml:space="preserve">Every new expense is scored by the AnomalyDetectionModel (z-score against the category's trailing history, |z| ≥ 2.5 flags it) — visible below as the ₹6,000 outlier flagged z=137.31 against a normal ₹400-500 grocery history.</w:t>
      </w:r>
    </w:p>
    <w:p>
      <w:pPr>
        <w:spacing w:after="100"/>
        <w:jc w:val="center"/>
      </w:pPr>
      <w:r>
        <w:drawing>
          <wp:inline distT="0" distB="0" distL="0" distR="0">
            <wp:extent cx="576072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3566160"/>
                    </a:xfrm>
                    <a:prstGeom prst="rect">
                      <a:avLst/>
                    </a:prstGeom>
                  </pic:spPr>
                </pic:pic>
              </a:graphicData>
            </a:graphic>
          </wp:inline>
        </w:drawing>
      </w:r>
    </w:p>
    <w:p>
      <w:pPr>
        <w:spacing w:after="260"/>
        <w:jc w:val="center"/>
      </w:pPr>
      <w:r>
        <w:rPr>
          <w:i/>
          <w:iCs/>
          <w:color w:val="4C5B55"/>
          <w:sz w:val="18"/>
          <w:szCs w:val="18"/>
        </w:rPr>
        <w:t xml:space="preserve">Figure 8 — Transactions, with the anomaly flag visible.</w:t>
      </w:r>
    </w:p>
    <w:p>
      <w:pPr>
        <w:pStyle w:val="Heading2"/>
        <w:spacing w:after="120" w:before="280"/>
      </w:pPr>
      <w:r>
        <w:t xml:space="preserve">7.4 AI Insights — Gemini-Powered Recommendations</w:t>
      </w:r>
    </w:p>
    <w:p>
      <w:pPr>
        <w:spacing w:after="140"/>
      </w:pPr>
      <w:r>
        <w:t xml:space="preserve">The AIRecommendationEngine combines the deterministic forecast/budget/anomaly rules with live calls to the Gemini API (gemini-3.6-flash), which reads the user's real financial snapshot and returns specific, actionable recommendations. Each carries Accept/Dismiss actions that log the Recommendation Acceptance Rate metric from Sub-Goal 1 (Section 3).</w:t>
      </w:r>
    </w:p>
    <w:p>
      <w:pPr>
        <w:spacing w:after="100"/>
        <w:jc w:val="center"/>
      </w:pPr>
      <w:r>
        <w:drawing>
          <wp:inline distT="0" distB="0" distL="0" distR="0">
            <wp:extent cx="5760720" cy="4206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0720" cy="4206240"/>
                    </a:xfrm>
                    <a:prstGeom prst="rect">
                      <a:avLst/>
                    </a:prstGeom>
                  </pic:spPr>
                </pic:pic>
              </a:graphicData>
            </a:graphic>
          </wp:inline>
        </w:drawing>
      </w:r>
    </w:p>
    <w:p>
      <w:pPr>
        <w:spacing w:after="260"/>
        <w:jc w:val="center"/>
      </w:pPr>
      <w:r>
        <w:rPr>
          <w:i/>
          <w:iCs/>
          <w:color w:val="4C5B55"/>
          <w:sz w:val="18"/>
          <w:szCs w:val="18"/>
        </w:rPr>
        <w:t xml:space="preserve">Figure 9 — AI Insights, showing rule-based and Gemini-generated recommendations (dark theme).</w:t>
      </w:r>
    </w:p>
    <w:p>
      <w:pPr>
        <w:pStyle w:val="Heading2"/>
        <w:spacing w:after="120" w:before="280"/>
      </w:pPr>
      <w:r>
        <w:t xml:space="preserve">7.5 Budgets and Goals</w:t>
      </w:r>
    </w:p>
    <w:p>
      <w:pPr>
        <w:spacing w:after="100"/>
        <w:jc w:val="center"/>
      </w:pPr>
      <w:r>
        <w:drawing>
          <wp:inline distT="0" distB="0" distL="0" distR="0">
            <wp:extent cx="576072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0720" cy="3566160"/>
                    </a:xfrm>
                    <a:prstGeom prst="rect">
                      <a:avLst/>
                    </a:prstGeom>
                  </pic:spPr>
                </pic:pic>
              </a:graphicData>
            </a:graphic>
          </wp:inline>
        </w:drawing>
      </w:r>
    </w:p>
    <w:p>
      <w:pPr>
        <w:spacing w:after="260"/>
        <w:jc w:val="center"/>
      </w:pPr>
      <w:r>
        <w:rPr>
          <w:i/>
          <w:iCs/>
          <w:color w:val="4C5B55"/>
          <w:sz w:val="18"/>
          <w:szCs w:val="18"/>
        </w:rPr>
        <w:t xml:space="preserve">Figure 10 — Budgets, tracked live against category spend.</w:t>
      </w:r>
    </w:p>
    <w:p>
      <w:pPr>
        <w:spacing w:after="100"/>
        <w:jc w:val="center"/>
      </w:pPr>
      <w:r>
        <w:drawing>
          <wp:inline distT="0" distB="0" distL="0" distR="0">
            <wp:extent cx="576072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0720" cy="3566160"/>
                    </a:xfrm>
                    <a:prstGeom prst="rect">
                      <a:avLst/>
                    </a:prstGeom>
                  </pic:spPr>
                </pic:pic>
              </a:graphicData>
            </a:graphic>
          </wp:inline>
        </w:drawing>
      </w:r>
    </w:p>
    <w:p>
      <w:pPr>
        <w:spacing w:after="260"/>
        <w:jc w:val="center"/>
      </w:pPr>
      <w:r>
        <w:rPr>
          <w:i/>
          <w:iCs/>
          <w:color w:val="4C5B55"/>
          <w:sz w:val="18"/>
          <w:szCs w:val="18"/>
        </w:rPr>
        <w:t xml:space="preserve">Figure 11 — Financial goals with contribution tracking.</w:t>
      </w:r>
    </w:p>
    <w:p>
      <w:pPr>
        <w:pStyle w:val="Heading2"/>
        <w:spacing w:after="120" w:before="280"/>
      </w:pPr>
      <w:r>
        <w:t xml:space="preserve">7.6 Metrics Command Deck — Embedded In-App</w:t>
      </w:r>
    </w:p>
    <w:p>
      <w:pPr>
        <w:spacing w:after="140"/>
      </w:pPr>
      <w:r>
        <w:t xml:space="preserve">The Module 3/4 metrics dashboard from this report is not a separate document to dig up during the review — it is served by the same Express server under /metrics and embedded directly as a tab inside Wealthline, so the whole measurement program is one click away from the product it measures.</w:t>
      </w:r>
    </w:p>
    <w:p>
      <w:pPr>
        <w:spacing w:after="100"/>
        <w:jc w:val="center"/>
      </w:pPr>
      <w:r>
        <w:drawing>
          <wp:inline distT="0" distB="0" distL="0" distR="0">
            <wp:extent cx="576072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0720" cy="3566160"/>
                    </a:xfrm>
                    <a:prstGeom prst="rect">
                      <a:avLst/>
                    </a:prstGeom>
                  </pic:spPr>
                </pic:pic>
              </a:graphicData>
            </a:graphic>
          </wp:inline>
        </w:drawing>
      </w:r>
    </w:p>
    <w:p>
      <w:pPr>
        <w:spacing w:after="260"/>
        <w:jc w:val="center"/>
      </w:pPr>
      <w:r>
        <w:rPr>
          <w:i/>
          <w:iCs/>
          <w:color w:val="4C5B55"/>
          <w:sz w:val="18"/>
          <w:szCs w:val="18"/>
        </w:rPr>
        <w:t xml:space="preserve">Figure 12 — The Metrics Command Deck, open as an in-app tab.</w:t>
      </w:r>
    </w:p>
    <w:p>
      <w:pPr>
        <w:pStyle w:val="Heading2"/>
        <w:spacing w:after="120" w:before="280"/>
      </w:pPr>
      <w:r>
        <w:t xml:space="preserve">7.7 Notifications</w:t>
      </w:r>
    </w:p>
    <w:p>
      <w:pPr>
        <w:spacing w:after="100"/>
        <w:jc w:val="center"/>
      </w:pPr>
      <w:r>
        <w:drawing>
          <wp:inline distT="0" distB="0" distL="0" distR="0">
            <wp:extent cx="576072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0720" cy="3566160"/>
                    </a:xfrm>
                    <a:prstGeom prst="rect">
                      <a:avLst/>
                    </a:prstGeom>
                  </pic:spPr>
                </pic:pic>
              </a:graphicData>
            </a:graphic>
          </wp:inline>
        </w:drawing>
      </w:r>
    </w:p>
    <w:p>
      <w:pPr>
        <w:spacing w:after="260"/>
        <w:jc w:val="center"/>
      </w:pPr>
      <w:r>
        <w:rPr>
          <w:i/>
          <w:iCs/>
          <w:color w:val="4C5B55"/>
          <w:sz w:val="18"/>
          <w:szCs w:val="18"/>
        </w:rPr>
        <w:t xml:space="preserve">Figure 13 — Notifications, driven by the anomaly detector.</w:t>
      </w:r>
    </w:p>
    <w:p>
      <w:pPr>
        <w:pStyle w:val="Heading1"/>
        <w:spacing w:after="120" w:before="280"/>
      </w:pPr>
      <w:r>
        <w:t xml:space="preserve">8. Conclusion</w:t>
      </w:r>
    </w:p>
    <w:p>
      <w:pPr>
        <w:spacing w:after="140"/>
      </w:pPr>
      <w:r>
        <w:t xml:space="preserve">Across all four modules, every measurement plan in this report has a working counterpart in the shipped product: the ten scopes framed the problem (Module 1); the GQ(I)M plan for Quality Models and Measures made it concrete and traceable to specific classes in the architecture (Module 2); the data-collection pipeline and classical analysis techniques evaluated real, generated data for that architecture (Module 3); and Bayesian networks turned that data into an actionable, causal risk model with a mitigation plan (Module 4). Wealthline — the React/Express personal-finance app in Section 7 — is the object all of this measures, running end-to-end from signup to AI-generated financial advice.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2f8243498053445052067838e720b1ce5024968.png"/><Relationship Id="rId8" Type="http://schemas.openxmlformats.org/officeDocument/2006/relationships/image" Target="media/d805d6fcc453a6f6f49d4761a2d2314691bae823.png"/><Relationship Id="rId9" Type="http://schemas.openxmlformats.org/officeDocument/2006/relationships/image" Target="media/5c0f5b22efae4683a839a9efcb6f97d6b3cc6389.png"/><Relationship Id="rId10" Type="http://schemas.openxmlformats.org/officeDocument/2006/relationships/image" Target="media/eadb76dc242577eafba46e68ab6848e82e5b1cff.png"/><Relationship Id="rId11" Type="http://schemas.openxmlformats.org/officeDocument/2006/relationships/image" Target="media/200501c7890545114dfca8258f14141013a5619d.png"/><Relationship Id="rId12" Type="http://schemas.openxmlformats.org/officeDocument/2006/relationships/image" Target="media/27a2e47125bc9dc5d19b9b19e76fb8222fb8125c.png"/><Relationship Id="rId13" Type="http://schemas.openxmlformats.org/officeDocument/2006/relationships/image" Target="media/0fdc74ad703b5136dac679933d11f27e00fa9c18.png"/><Relationship Id="rId14" Type="http://schemas.openxmlformats.org/officeDocument/2006/relationships/image" Target="media/ba45ab34f6c61bc5c2162aa0d6157714911e6669.png"/><Relationship Id="rId15" Type="http://schemas.openxmlformats.org/officeDocument/2006/relationships/image" Target="media/b369a0a7c239a31e73d7e8d890b20d3dbf8c9c90.png"/><Relationship Id="rId16" Type="http://schemas.openxmlformats.org/officeDocument/2006/relationships/image" Target="media/cf6ea9dfc8399bb5fe416878e612a3b4fbdee3d0.png"/><Relationship Id="rId17" Type="http://schemas.openxmlformats.org/officeDocument/2006/relationships/image" Target="media/c7065edcb4bf11ddb63a6e7db25007ff308372e4.png"/><Relationship Id="rId18" Type="http://schemas.openxmlformats.org/officeDocument/2006/relationships/image" Target="media/5e0e5a8ce358ac9bf243681ad061c59cd87fc035.png"/><Relationship Id="rId19" Type="http://schemas.openxmlformats.org/officeDocument/2006/relationships/image" Target="media/de5b4d3b95863c1fff50cf4ca4e2112aba6ec7bb.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2026-08-31T16:58:44.080Z</dcterms:created>
  <dcterms:modified xsi:type="dcterms:W3CDTF">2026-08-31T16:58:44.080Z</dcterms:modified>
</cp:coreProperties>
</file>

<file path=docProps/custom.xml><?xml version="1.0" encoding="utf-8"?>
<Properties xmlns="http://schemas.openxmlformats.org/officeDocument/2006/custom-properties" xmlns:vt="http://schemas.openxmlformats.org/officeDocument/2006/docPropsVTypes"/>
</file>