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DATA PROTECTION</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Data Breach Response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What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does in the first hour, the first day and the first three days after personal information is lost, stolen, exposed or sent to the wrong person.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Most breaches in small organisations are ordinary accidents: a lost phone, an email to the wrong person, a stolen bag of paper forms. What matters is a fast, calm response that protects the people affected and meets legal deadlines, which can be as short as 72 hours. This procedure tells everyone what to do and gives the data protection lead a checklist, a log and notification wording.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partners in due diligence and in grant and data sharing agreements; data protection regulators; insurers;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IT and Information Security Policy · Incident Reporting Procedure · Safeguarding Policy and Procedure · Data Sharing Agreement · Risk Register</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Data Breach Response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and contractors who handle personal information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[phone number for urgent reports]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 every breach</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a breach is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Example: Lost phone with participant contacts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1: Report it at once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Timescales at a glance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2: Contain it in the first hour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3: Assess the risk to people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4: Decide on notification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Breach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5: Communicate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Risk assessment questions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6: Recover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C: Notification text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7: Learn</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We do not have an IT department, so this procedure relies on quick reporting and clear decisions.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data protection lead, and leads on breaches</w:t>
            </w:r>
            <w:r>
              <w:rPr>
                <w:rFonts w:ascii="Nunito Sans" w:cs="Nunito Sans" w:eastAsia="Nunito Sans" w:hAnsi="Nunito Sans"/>
                <w:color w:val="102E3B"/>
                <w:sz w:val="19"/>
                <w:szCs w:val="19"/>
              </w:rPr>
              <w:t xml:space="preserve"> (the "breach lead" in this procedure). They take charge of every breach, decide on containment and notification, and keep the breach log.</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w:t>
            </w:r>
            <w:r>
              <w:rPr>
                <w:rFonts w:ascii="Nunito Sans" w:cs="Nunito Sans" w:eastAsia="Nunito Sans" w:hAnsi="Nunito Sans"/>
                <w:color w:val="102E3B"/>
                <w:sz w:val="19"/>
                <w:szCs w:val="19"/>
              </w:rPr>
              <w:t xml:space="preserve"> They lead when the breach lead cannot be reached within </w:t>
            </w:r>
            <w:r>
              <w:rPr>
                <w:rFonts w:ascii="Nunito Sans" w:cs="Nunito Sans" w:eastAsia="Nunito Sans" w:hAnsi="Nunito Sans"/>
                <w:color w:val="102E3B"/>
                <w:sz w:val="19"/>
                <w:szCs w:val="19"/>
                <w:highlight w:val="yellow"/>
              </w:rPr>
              <w:t xml:space="preserve">[2 hours]</w:t>
            </w:r>
            <w:r>
              <w:rPr>
                <w:rFonts w:ascii="Nunito Sans" w:cs="Nunito Sans" w:eastAsia="Nunito Sans" w:hAnsi="Nunito Sans"/>
                <w:color w:val="102E3B"/>
                <w:sz w:val="19"/>
                <w:szCs w:val="19"/>
              </w:rPr>
              <w:t xml:space="preserve">, or is involved in the breach.</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once a year, after every serious breach, and when the law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and make sure both can be reached by phone outside office hours. The deputy should be able to act without the founder's permission, for example a board member. Add your external support: the person or company who manages your IT, your insurer's breach helpline if you have cyber insurance, and a lawyer you can call. If you have a data protection officer, they must be told about every breach.</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 breach is any incident where personal information is lost, stolen, exposed, changed or made unavailable without permission.</w:t>
            </w:r>
          </w:p>
          <w:p>
            <w:pPr>
              <w:pStyle w:val="ListParagraph"/>
              <w:numPr>
                <w:ilvl w:val="0"/>
                <w:numId w:val="3"/>
              </w:numPr>
              <w:spacing w:after="80" w:line="290"/>
            </w:pPr>
            <w:r>
              <w:rPr>
                <w:rFonts w:ascii="Nunito Sans" w:cs="Nunito Sans" w:eastAsia="Nunito Sans" w:hAnsi="Nunito Sans"/>
                <w:color w:val="102E3B"/>
                <w:sz w:val="19"/>
                <w:szCs w:val="19"/>
              </w:rPr>
              <w:t xml:space="preserve">Report any suspected breach to the breach lead within </w:t>
            </w:r>
            <w:r>
              <w:rPr>
                <w:rFonts w:ascii="Nunito Sans" w:cs="Nunito Sans" w:eastAsia="Nunito Sans" w:hAnsi="Nunito Sans"/>
                <w:color w:val="102E3B"/>
                <w:sz w:val="19"/>
                <w:szCs w:val="19"/>
                <w:highlight w:val="yellow"/>
              </w:rPr>
              <w:t xml:space="preserve">[1 hour]</w:t>
            </w:r>
            <w:r>
              <w:rPr>
                <w:rFonts w:ascii="Nunito Sans" w:cs="Nunito Sans" w:eastAsia="Nunito Sans" w:hAnsi="Nunito Sans"/>
                <w:color w:val="102E3B"/>
                <w:sz w:val="19"/>
                <w:szCs w:val="19"/>
              </w:rPr>
              <w:t xml:space="preserve"> of noticing it, by phone. Report even if you are not sure.</w:t>
            </w:r>
          </w:p>
          <w:p>
            <w:pPr>
              <w:pStyle w:val="ListParagraph"/>
              <w:numPr>
                <w:ilvl w:val="0"/>
                <w:numId w:val="3"/>
              </w:numPr>
              <w:spacing w:after="80" w:line="290"/>
            </w:pPr>
            <w:r>
              <w:rPr>
                <w:rFonts w:ascii="Nunito Sans" w:cs="Nunito Sans" w:eastAsia="Nunito Sans" w:hAnsi="Nunito Sans"/>
                <w:color w:val="102E3B"/>
                <w:sz w:val="19"/>
                <w:szCs w:val="19"/>
              </w:rPr>
              <w:t xml:space="preserve">In the first hour, we contain it: lock or wipe the device, recall the email, change passwords, secure the files.</w:t>
            </w:r>
          </w:p>
          <w:p>
            <w:pPr>
              <w:pStyle w:val="ListParagraph"/>
              <w:numPr>
                <w:ilvl w:val="0"/>
                <w:numId w:val="3"/>
              </w:numPr>
              <w:spacing w:after="80" w:line="290"/>
            </w:pPr>
            <w:r>
              <w:rPr>
                <w:rFonts w:ascii="Nunito Sans" w:cs="Nunito Sans" w:eastAsia="Nunito Sans" w:hAnsi="Nunito Sans"/>
                <w:color w:val="102E3B"/>
                <w:sz w:val="19"/>
                <w:szCs w:val="19"/>
              </w:rPr>
              <w:t xml:space="preserve">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we assess the risk to the people affected.</w:t>
            </w:r>
          </w:p>
          <w:p>
            <w:pPr>
              <w:pStyle w:val="ListParagraph"/>
              <w:numPr>
                <w:ilvl w:val="0"/>
                <w:numId w:val="3"/>
              </w:numPr>
              <w:spacing w:after="80" w:line="290"/>
            </w:pPr>
            <w:r>
              <w:rPr>
                <w:rFonts w:ascii="Nunito Sans" w:cs="Nunito Sans" w:eastAsia="Nunito Sans" w:hAnsi="Nunito Sans"/>
                <w:color w:val="102E3B"/>
                <w:sz w:val="19"/>
                <w:szCs w:val="19"/>
              </w:rPr>
              <w:t xml:space="preserve">Within </w:t>
            </w:r>
            <w:r>
              <w:rPr>
                <w:rFonts w:ascii="Nunito Sans" w:cs="Nunito Sans" w:eastAsia="Nunito Sans" w:hAnsi="Nunito Sans"/>
                <w:color w:val="102E3B"/>
                <w:sz w:val="19"/>
                <w:szCs w:val="19"/>
                <w:highlight w:val="yellow"/>
              </w:rPr>
              <w:t xml:space="preserve">[72 hours]</w:t>
            </w:r>
            <w:r>
              <w:rPr>
                <w:rFonts w:ascii="Nunito Sans" w:cs="Nunito Sans" w:eastAsia="Nunito Sans" w:hAnsi="Nunito Sans"/>
                <w:color w:val="102E3B"/>
                <w:sz w:val="19"/>
                <w:szCs w:val="19"/>
              </w:rPr>
              <w:t xml:space="preserve"> of becoming aware, we decide whether to tell the regulator and, where required, notify it. We tell people affected without undue delay if the risk to them is high.</w:t>
            </w:r>
          </w:p>
          <w:p>
            <w:pPr>
              <w:pStyle w:val="ListParagraph"/>
              <w:numPr>
                <w:ilvl w:val="0"/>
                <w:numId w:val="3"/>
              </w:numPr>
              <w:spacing w:after="80" w:line="290"/>
            </w:pPr>
            <w:r>
              <w:rPr>
                <w:rFonts w:ascii="Nunito Sans" w:cs="Nunito Sans" w:eastAsia="Nunito Sans" w:hAnsi="Nunito Sans"/>
                <w:color w:val="102E3B"/>
                <w:sz w:val="19"/>
                <w:szCs w:val="19"/>
              </w:rPr>
              <w:t xml:space="preserve">We tell funders and partners as our agreements require.</w:t>
            </w:r>
          </w:p>
          <w:p>
            <w:pPr>
              <w:pStyle w:val="ListParagraph"/>
              <w:numPr>
                <w:ilvl w:val="0"/>
                <w:numId w:val="3"/>
              </w:numPr>
              <w:spacing w:after="80" w:line="290"/>
            </w:pPr>
            <w:r>
              <w:rPr>
                <w:rFonts w:ascii="Nunito Sans" w:cs="Nunito Sans" w:eastAsia="Nunito Sans" w:hAnsi="Nunito Sans"/>
                <w:color w:val="102E3B"/>
                <w:sz w:val="19"/>
                <w:szCs w:val="19"/>
              </w:rPr>
              <w:t xml:space="preserve">We record every breach and near miss, even when we notify no one, and learn from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This procedure applies to personal information held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or by others for us, in any form: phones, laptops, cloud systems, email, messaging apps, spreadsheets, paper files and photos. It also applies when a partner or service provider has a breach involving information we share with them.</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We follow </w:t>
      </w:r>
      <w:r>
        <w:rPr>
          <w:rFonts w:ascii="Nunito Sans" w:cs="Nunito Sans" w:eastAsia="Nunito Sans" w:hAnsi="Nunito Sans"/>
          <w:color w:val="102E3B"/>
          <w:sz w:val="20"/>
          <w:szCs w:val="20"/>
          <w:highlight w:val="yellow"/>
        </w:rPr>
        <w:t xml:space="preserve">[name of the national data protection law and year]</w:t>
      </w:r>
      <w:r>
        <w:rPr>
          <w:rFonts w:ascii="Nunito Sans" w:cs="Nunito Sans" w:eastAsia="Nunito Sans" w:hAnsi="Nunito Sans"/>
          <w:color w:val="102E3B"/>
          <w:sz w:val="20"/>
          <w:szCs w:val="20"/>
        </w:rPr>
        <w:t xml:space="preserve"> and the rules of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Where we hold information about people in other countries, we also follow the law that applies there. We use the GDPR as our benchmark. Where rules differ, we follow the stricter one.</w:t>
      </w:r>
    </w:p>
    <w:p>
      <w:pPr>
        <w:pStyle w:val="Heading1"/>
        <w:keepNext/>
        <w:spacing w:after="160" w:before="360"/>
      </w:pPr>
      <w:r>
        <w:rPr>
          <w:rFonts w:ascii="DM Serif Display" w:cs="DM Serif Display" w:eastAsia="DM Serif Display" w:hAnsi="DM Serif Display"/>
          <w:color w:val="123C48"/>
          <w:sz w:val="40"/>
          <w:szCs w:val="40"/>
        </w:rPr>
        <w:t xml:space="preserve">What a breach is</w:t>
      </w:r>
    </w:p>
    <w:p>
      <w:pPr>
        <w:spacing w:after="120" w:before="0" w:line="300"/>
      </w:pPr>
      <w:r>
        <w:rPr>
          <w:rFonts w:ascii="Nunito Sans" w:cs="Nunito Sans" w:eastAsia="Nunito Sans" w:hAnsi="Nunito Sans"/>
          <w:color w:val="102E3B"/>
          <w:sz w:val="20"/>
          <w:szCs w:val="20"/>
        </w:rPr>
        <w:t xml:space="preserve">A personal data breach is a security incident that leads to personal information being lost, destroyed, changed, disclosed or accessed without permission, or becoming unavailable. It can be an accident or deliberate. Examples:</w:t>
      </w:r>
    </w:p>
    <w:p>
      <w:pPr>
        <w:pStyle w:val="ListParagraph"/>
        <w:numPr>
          <w:ilvl w:val="0"/>
          <w:numId w:val="3"/>
        </w:numPr>
        <w:spacing w:after="80" w:line="290"/>
      </w:pPr>
      <w:r>
        <w:rPr>
          <w:rFonts w:ascii="Nunito Sans" w:cs="Nunito Sans" w:eastAsia="Nunito Sans" w:hAnsi="Nunito Sans"/>
          <w:color w:val="102E3B"/>
          <w:sz w:val="20"/>
          <w:szCs w:val="20"/>
        </w:rPr>
        <w:t xml:space="preserve">A work phone with participant contacts and WhatsApp groups is lost or stolen.</w:t>
      </w:r>
    </w:p>
    <w:p>
      <w:pPr>
        <w:pStyle w:val="ListParagraph"/>
        <w:numPr>
          <w:ilvl w:val="0"/>
          <w:numId w:val="3"/>
        </w:numPr>
        <w:spacing w:after="80" w:line="290"/>
      </w:pPr>
      <w:r>
        <w:rPr>
          <w:rFonts w:ascii="Nunito Sans" w:cs="Nunito Sans" w:eastAsia="Nunito Sans" w:hAnsi="Nunito Sans"/>
          <w:color w:val="102E3B"/>
          <w:sz w:val="20"/>
          <w:szCs w:val="20"/>
        </w:rPr>
        <w:t xml:space="preserve">An email goes to the wrong person, or a group email shows everyone's address in the "To" field instead of "Bcc".</w:t>
      </w:r>
    </w:p>
    <w:p>
      <w:pPr>
        <w:pStyle w:val="ListParagraph"/>
        <w:numPr>
          <w:ilvl w:val="0"/>
          <w:numId w:val="3"/>
        </w:numPr>
        <w:spacing w:after="80" w:line="290"/>
      </w:pPr>
      <w:r>
        <w:rPr>
          <w:rFonts w:ascii="Nunito Sans" w:cs="Nunito Sans" w:eastAsia="Nunito Sans" w:hAnsi="Nunito Sans"/>
          <w:color w:val="102E3B"/>
          <w:sz w:val="20"/>
          <w:szCs w:val="20"/>
        </w:rPr>
        <w:t xml:space="preserve">Ransomware, a type of malicious software, locks our files and demands payment.</w:t>
      </w:r>
    </w:p>
    <w:p>
      <w:pPr>
        <w:pStyle w:val="ListParagraph"/>
        <w:numPr>
          <w:ilvl w:val="0"/>
          <w:numId w:val="3"/>
        </w:numPr>
        <w:spacing w:after="80" w:line="290"/>
      </w:pPr>
      <w:r>
        <w:rPr>
          <w:rFonts w:ascii="Nunito Sans" w:cs="Nunito Sans" w:eastAsia="Nunito Sans" w:hAnsi="Nunito Sans"/>
          <w:color w:val="102E3B"/>
          <w:sz w:val="20"/>
          <w:szCs w:val="20"/>
        </w:rPr>
        <w:t xml:space="preserve">Paper registration forms are left on a bus, or stolen from a field office.</w:t>
      </w:r>
    </w:p>
    <w:p>
      <w:pPr>
        <w:pStyle w:val="ListParagraph"/>
        <w:numPr>
          <w:ilvl w:val="0"/>
          <w:numId w:val="3"/>
        </w:numPr>
        <w:spacing w:after="80" w:line="290"/>
      </w:pPr>
      <w:r>
        <w:rPr>
          <w:rFonts w:ascii="Nunito Sans" w:cs="Nunito Sans" w:eastAsia="Nunito Sans" w:hAnsi="Nunito Sans"/>
          <w:color w:val="102E3B"/>
          <w:sz w:val="20"/>
          <w:szCs w:val="20"/>
        </w:rPr>
        <w:t xml:space="preserve">Someone's email account is taken over after a phishing message, a fake email that tricks people into giving passwords.</w:t>
      </w:r>
    </w:p>
    <w:p>
      <w:pPr>
        <w:pStyle w:val="ListParagraph"/>
        <w:numPr>
          <w:ilvl w:val="0"/>
          <w:numId w:val="3"/>
        </w:numPr>
        <w:spacing w:after="80" w:line="290"/>
      </w:pPr>
      <w:r>
        <w:rPr>
          <w:rFonts w:ascii="Nunito Sans" w:cs="Nunito Sans" w:eastAsia="Nunito Sans" w:hAnsi="Nunito Sans"/>
          <w:color w:val="102E3B"/>
          <w:sz w:val="20"/>
          <w:szCs w:val="20"/>
        </w:rPr>
        <w:t xml:space="preserve">A shared folder link is set to "anyone with the link" and passed on.</w:t>
      </w:r>
    </w:p>
    <w:p>
      <w:pPr>
        <w:pStyle w:val="ListParagraph"/>
        <w:numPr>
          <w:ilvl w:val="0"/>
          <w:numId w:val="3"/>
        </w:numPr>
        <w:spacing w:after="80" w:line="290"/>
      </w:pPr>
      <w:r>
        <w:rPr>
          <w:rFonts w:ascii="Nunito Sans" w:cs="Nunito Sans" w:eastAsia="Nunito Sans" w:hAnsi="Nunito Sans"/>
          <w:color w:val="102E3B"/>
          <w:sz w:val="20"/>
          <w:szCs w:val="20"/>
        </w:rPr>
        <w:t xml:space="preserve">A staff member looks at case files they have no reason to see.</w:t>
      </w:r>
    </w:p>
    <w:p>
      <w:pPr>
        <w:pStyle w:val="ListParagraph"/>
        <w:numPr>
          <w:ilvl w:val="0"/>
          <w:numId w:val="3"/>
        </w:numPr>
        <w:spacing w:after="80" w:line="290"/>
      </w:pPr>
      <w:r>
        <w:rPr>
          <w:rFonts w:ascii="Nunito Sans" w:cs="Nunito Sans" w:eastAsia="Nunito Sans" w:hAnsi="Nunito Sans"/>
          <w:color w:val="102E3B"/>
          <w:sz w:val="20"/>
          <w:szCs w:val="20"/>
        </w:rPr>
        <w:t xml:space="preserve">A photo or story is published that reveals where someone lives.</w:t>
      </w:r>
    </w:p>
    <w:p>
      <w:pPr>
        <w:pStyle w:val="ListParagraph"/>
        <w:numPr>
          <w:ilvl w:val="0"/>
          <w:numId w:val="3"/>
        </w:numPr>
        <w:spacing w:after="80" w:line="290"/>
      </w:pPr>
      <w:r>
        <w:rPr>
          <w:rFonts w:ascii="Nunito Sans" w:cs="Nunito Sans" w:eastAsia="Nunito Sans" w:hAnsi="Nunito Sans"/>
          <w:color w:val="102E3B"/>
          <w:sz w:val="20"/>
          <w:szCs w:val="20"/>
        </w:rPr>
        <w:t xml:space="preserve">A provider or partner who holds our data has a breach.</w:t>
      </w:r>
    </w:p>
    <w:p>
      <w:pPr>
        <w:pStyle w:val="ListParagraph"/>
        <w:numPr>
          <w:ilvl w:val="0"/>
          <w:numId w:val="3"/>
        </w:numPr>
        <w:spacing w:after="80" w:line="290"/>
      </w:pPr>
      <w:r>
        <w:rPr>
          <w:rFonts w:ascii="Nunito Sans" w:cs="Nunito Sans" w:eastAsia="Nunito Sans" w:hAnsi="Nunito Sans"/>
          <w:color w:val="102E3B"/>
          <w:sz w:val="20"/>
          <w:szCs w:val="20"/>
        </w:rPr>
        <w:t xml:space="preserve">Records are deleted by mistake and there is no backup.</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near miss</w:t>
      </w:r>
      <w:r>
        <w:rPr>
          <w:rFonts w:ascii="Nunito Sans" w:cs="Nunito Sans" w:eastAsia="Nunito Sans" w:hAnsi="Nunito Sans"/>
          <w:color w:val="102E3B"/>
          <w:sz w:val="20"/>
          <w:szCs w:val="20"/>
        </w:rPr>
        <w:t xml:space="preserve"> is an incident that could have caused a breach but did not, for example a lost laptop found unopened an hour later. We record near misses too.</w:t>
      </w:r>
    </w:p>
    <w:p>
      <w:pPr>
        <w:pStyle w:val="Heading1"/>
        <w:keepNext/>
        <w:spacing w:after="160" w:before="360"/>
      </w:pPr>
      <w:r>
        <w:rPr>
          <w:rFonts w:ascii="DM Serif Display" w:cs="DM Serif Display" w:eastAsia="DM Serif Display" w:hAnsi="DM Serif Display"/>
          <w:color w:val="123C48"/>
          <w:sz w:val="40"/>
          <w:szCs w:val="40"/>
        </w:rPr>
        <w:t xml:space="preserve">Step 1: Report it at once</w:t>
      </w:r>
    </w:p>
    <w:p>
      <w:pPr>
        <w:spacing w:after="120" w:before="0" w:line="300"/>
      </w:pPr>
      <w:r>
        <w:rPr>
          <w:rFonts w:ascii="Nunito Sans" w:cs="Nunito Sans" w:eastAsia="Nunito Sans" w:hAnsi="Nunito Sans"/>
          <w:color w:val="102E3B"/>
          <w:sz w:val="20"/>
          <w:szCs w:val="20"/>
        </w:rPr>
        <w:t xml:space="preserve">If you discover or suspect a breach, at any time and whoever caused it:</w:t>
      </w:r>
    </w:p>
    <w:p>
      <w:pPr>
        <w:pStyle w:val="ListParagraph"/>
        <w:numPr>
          <w:ilvl w:val="0"/>
          <w:numId w:val="4"/>
        </w:numPr>
        <w:spacing w:after="80" w:line="290"/>
      </w:pPr>
      <w:r>
        <w:rPr>
          <w:rFonts w:ascii="Nunito Sans" w:cs="Nunito Sans" w:eastAsia="Nunito Sans" w:hAnsi="Nunito Sans"/>
          <w:color w:val="102E3B"/>
          <w:sz w:val="20"/>
          <w:szCs w:val="20"/>
        </w:rPr>
        <w:t xml:space="preserve">Phone the breach lead on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 hour]</w:t>
      </w:r>
      <w:r>
        <w:rPr>
          <w:rFonts w:ascii="Nunito Sans" w:cs="Nunito Sans" w:eastAsia="Nunito Sans" w:hAnsi="Nunito Sans"/>
          <w:color w:val="102E3B"/>
          <w:sz w:val="20"/>
          <w:szCs w:val="20"/>
        </w:rPr>
        <w:t xml:space="preserve">. If you cannot reach them within </w:t>
      </w:r>
      <w:r>
        <w:rPr>
          <w:rFonts w:ascii="Nunito Sans" w:cs="Nunito Sans" w:eastAsia="Nunito Sans" w:hAnsi="Nunito Sans"/>
          <w:color w:val="102E3B"/>
          <w:sz w:val="20"/>
          <w:szCs w:val="20"/>
          <w:highlight w:val="yellow"/>
        </w:rPr>
        <w:t xml:space="preserve">[30 minutes]</w:t>
      </w:r>
      <w:r>
        <w:rPr>
          <w:rFonts w:ascii="Nunito Sans" w:cs="Nunito Sans" w:eastAsia="Nunito Sans" w:hAnsi="Nunito Sans"/>
          <w:color w:val="102E3B"/>
          <w:sz w:val="20"/>
          <w:szCs w:val="20"/>
        </w:rPr>
        <w:t xml:space="preserve">, phone the deputy on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 Then email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with the details.</w:t>
      </w:r>
    </w:p>
    <w:p>
      <w:pPr>
        <w:pStyle w:val="ListParagraph"/>
        <w:numPr>
          <w:ilvl w:val="0"/>
          <w:numId w:val="4"/>
        </w:numPr>
        <w:spacing w:after="80" w:line="290"/>
      </w:pPr>
      <w:r>
        <w:rPr>
          <w:rFonts w:ascii="Nunito Sans" w:cs="Nunito Sans" w:eastAsia="Nunito Sans" w:hAnsi="Nunito Sans"/>
          <w:color w:val="102E3B"/>
          <w:sz w:val="20"/>
          <w:szCs w:val="20"/>
        </w:rPr>
        <w:t xml:space="preserve">Say what happened, when, what information is involved, and what you have already done.</w:t>
      </w:r>
    </w:p>
    <w:p>
      <w:pPr>
        <w:pStyle w:val="ListParagraph"/>
        <w:numPr>
          <w:ilvl w:val="0"/>
          <w:numId w:val="4"/>
        </w:numPr>
        <w:spacing w:after="80" w:line="290"/>
      </w:pPr>
      <w:r>
        <w:rPr>
          <w:rFonts w:ascii="Nunito Sans" w:cs="Nunito Sans" w:eastAsia="Nunito Sans" w:hAnsi="Nunito Sans"/>
          <w:color w:val="102E3B"/>
          <w:sz w:val="20"/>
          <w:szCs w:val="20"/>
        </w:rPr>
        <w:t xml:space="preserve">Do not delete anything, try to investigate, or contact the people affected yourself.</w:t>
      </w:r>
    </w:p>
    <w:p>
      <w:pPr>
        <w:pStyle w:val="ListParagraph"/>
        <w:numPr>
          <w:ilvl w:val="0"/>
          <w:numId w:val="4"/>
        </w:numPr>
        <w:spacing w:after="80" w:line="290"/>
      </w:pPr>
      <w:r>
        <w:rPr>
          <w:rFonts w:ascii="Nunito Sans" w:cs="Nunito Sans" w:eastAsia="Nunito Sans" w:hAnsi="Nunito Sans"/>
          <w:color w:val="102E3B"/>
          <w:sz w:val="20"/>
          <w:szCs w:val="20"/>
        </w:rPr>
        <w:t xml:space="preserve">If anyone may be in danger as a result, follow the Safeguarding Policy and Procedure at the same time.</w:t>
      </w:r>
    </w:p>
    <w:p>
      <w:pPr>
        <w:spacing w:after="120" w:before="0" w:line="300"/>
      </w:pPr>
      <w:r>
        <w:rPr>
          <w:rFonts w:ascii="Nunito Sans" w:cs="Nunito Sans" w:eastAsia="Nunito Sans" w:hAnsi="Nunito Sans"/>
          <w:color w:val="102E3B"/>
          <w:sz w:val="20"/>
          <w:szCs w:val="20"/>
        </w:rPr>
        <w:t xml:space="preserve">Report even if you caused the breach. We treat honest mistakes as a chance to learn. Hiding a breach, or delaying a report, is a serious matter.</w:t>
      </w:r>
    </w:p>
    <w:p>
      <w:pPr>
        <w:pStyle w:val="Heading1"/>
        <w:keepNext/>
        <w:spacing w:after="160" w:before="360"/>
      </w:pPr>
      <w:r>
        <w:rPr>
          <w:rFonts w:ascii="DM Serif Display" w:cs="DM Serif Display" w:eastAsia="DM Serif Display" w:hAnsi="DM Serif Display"/>
          <w:color w:val="123C48"/>
          <w:sz w:val="40"/>
          <w:szCs w:val="40"/>
        </w:rPr>
        <w:t xml:space="preserve">Step 2: Contain it in the first hour</w:t>
      </w:r>
    </w:p>
    <w:p>
      <w:pPr>
        <w:spacing w:after="120" w:before="0" w:line="300"/>
      </w:pPr>
      <w:r>
        <w:rPr>
          <w:rFonts w:ascii="Nunito Sans" w:cs="Nunito Sans" w:eastAsia="Nunito Sans" w:hAnsi="Nunito Sans"/>
          <w:color w:val="102E3B"/>
          <w:sz w:val="20"/>
          <w:szCs w:val="20"/>
        </w:rPr>
        <w:t xml:space="preserve">The breach lead takes charge and opens an entry in the breach log (Annex A). They record the time we became aware: legal deadlines usually run from this moment. They then act to stop the breach and limit harm.</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Lost or stolen device: lock, locate or wipe it remotely; sign the device out of email, cloud and messaging accounts; change passwords; remove it from WhatsApp groups.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Wrong email recipient: try to recall the message; contact the recipient, ask them to delete it and confirm in writing.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Account taken over: change the password, sign out all sessions, turn on two-step sign-in, check forwarding rules.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Ransomware or malware: disconnect affected devices from the internet and network; do not pay any ransom without advice; call IT support.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Paper files lost or stolen: search the last known location; report theft to the police; secure remaining files.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Shared link or wrong access: remove the link or access, and check who opened the file.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Provider or partner breach: ask for details in writing and what they are doing.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Keep evidence: logs, screenshots, emails and notes of what was done, with times.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CONTAINMENT TOOLS</w:t>
            </w:r>
          </w:p>
          <w:p>
            <w:pPr>
              <w:spacing w:after="120" w:before="0" w:line="300"/>
            </w:pPr>
            <w:r>
              <w:rPr>
                <w:rFonts w:ascii="Nunito Sans" w:cs="Nunito Sans" w:eastAsia="Nunito Sans" w:hAnsi="Nunito Sans"/>
                <w:color w:val="102E3B"/>
                <w:sz w:val="19"/>
                <w:szCs w:val="19"/>
              </w:rPr>
              <w:t xml:space="preserve">Check now that you can do these things before a breach happens. Can you wipe work phones remotely? Who holds the administrator password for email and cloud accounts? Are backups kept separately from the main system, so that ransomware cannot reach them? Write the steps for your own tools here, and add a short contact list for IT support and your insurer. The IT and Information Security Policy should set the underlying controls.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3: Assess the risk to people</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the breach lead assesses the likely effect on the people whose information is involved, using the questions in Annex B. The question is not how embarrassing the breach is for us. It is what could happen to the people affected. Harms include physical harm, discrimination, identity theft, financial loss, damage to reputation, loss of confidentiality and distress.</w:t>
      </w:r>
    </w:p>
    <w:p>
      <w:pPr>
        <w:spacing w:after="120" w:before="0" w:line="300"/>
      </w:pPr>
      <w:r>
        <w:rPr>
          <w:rFonts w:ascii="Nunito Sans" w:cs="Nunito Sans" w:eastAsia="Nunito Sans" w:hAnsi="Nunito Sans"/>
          <w:color w:val="102E3B"/>
          <w:sz w:val="20"/>
          <w:szCs w:val="20"/>
        </w:rPr>
        <w:t xml:space="preserve">They rate the breach:</w:t>
      </w:r>
    </w:p>
    <w:p>
      <w:pPr>
        <w:pStyle w:val="ListParagraph"/>
        <w:numPr>
          <w:ilvl w:val="0"/>
          <w:numId w:val="3"/>
        </w:numPr>
        <w:spacing w:after="80" w:line="290"/>
      </w:pPr>
      <w:r>
        <w:rPr>
          <w:rFonts w:ascii="Nunito Sans" w:cs="Nunito Sans" w:eastAsia="Nunito Sans" w:hAnsi="Nunito Sans"/>
          <w:b/>
          <w:bCs/>
          <w:color w:val="102E3B"/>
          <w:sz w:val="20"/>
          <w:szCs w:val="20"/>
        </w:rPr>
        <w:t xml:space="preserve">No likely risk:</w:t>
      </w:r>
      <w:r>
        <w:rPr>
          <w:rFonts w:ascii="Nunito Sans" w:cs="Nunito Sans" w:eastAsia="Nunito Sans" w:hAnsi="Nunito Sans"/>
          <w:color w:val="102E3B"/>
          <w:sz w:val="20"/>
          <w:szCs w:val="20"/>
        </w:rPr>
        <w:t xml:space="preserve"> for example, an encrypted laptop lost with a strong password, or a list of public email addresses sent to a partner who deleted it.</w:t>
      </w:r>
    </w:p>
    <w:p>
      <w:pPr>
        <w:pStyle w:val="ListParagraph"/>
        <w:numPr>
          <w:ilvl w:val="0"/>
          <w:numId w:val="3"/>
        </w:numPr>
        <w:spacing w:after="80" w:line="290"/>
      </w:pPr>
      <w:r>
        <w:rPr>
          <w:rFonts w:ascii="Nunito Sans" w:cs="Nunito Sans" w:eastAsia="Nunito Sans" w:hAnsi="Nunito Sans"/>
          <w:b/>
          <w:bCs/>
          <w:color w:val="102E3B"/>
          <w:sz w:val="20"/>
          <w:szCs w:val="20"/>
        </w:rPr>
        <w:t xml:space="preserve">Risk:</w:t>
      </w:r>
      <w:r>
        <w:rPr>
          <w:rFonts w:ascii="Nunito Sans" w:cs="Nunito Sans" w:eastAsia="Nunito Sans" w:hAnsi="Nunito Sans"/>
          <w:color w:val="102E3B"/>
          <w:sz w:val="20"/>
          <w:szCs w:val="20"/>
        </w:rPr>
        <w:t xml:space="preserve"> some harm is possible, but not serious or not likely.</w:t>
      </w:r>
    </w:p>
    <w:p>
      <w:pPr>
        <w:pStyle w:val="ListParagraph"/>
        <w:numPr>
          <w:ilvl w:val="0"/>
          <w:numId w:val="3"/>
        </w:numPr>
        <w:spacing w:after="80" w:line="290"/>
      </w:pPr>
      <w:r>
        <w:rPr>
          <w:rFonts w:ascii="Nunito Sans" w:cs="Nunito Sans" w:eastAsia="Nunito Sans" w:hAnsi="Nunito Sans"/>
          <w:b/>
          <w:bCs/>
          <w:color w:val="102E3B"/>
          <w:sz w:val="20"/>
          <w:szCs w:val="20"/>
        </w:rPr>
        <w:t xml:space="preserve">High risk:</w:t>
      </w:r>
      <w:r>
        <w:rPr>
          <w:rFonts w:ascii="Nunito Sans" w:cs="Nunito Sans" w:eastAsia="Nunito Sans" w:hAnsi="Nunito Sans"/>
          <w:color w:val="102E3B"/>
          <w:sz w:val="20"/>
          <w:szCs w:val="20"/>
        </w:rPr>
        <w:t xml:space="preserve"> serious harm is likely, for example when health, HIV status, sexual orientation, immigration status, survivor or safeguarding information, children's data, location of people at risk, or bank details is exposed.</w:t>
      </w:r>
    </w:p>
    <w:p>
      <w:pPr>
        <w:spacing w:after="120" w:before="0" w:line="300"/>
      </w:pPr>
      <w:r>
        <w:rPr>
          <w:rFonts w:ascii="Nunito Sans" w:cs="Nunito Sans" w:eastAsia="Nunito Sans" w:hAnsi="Nunito Sans"/>
          <w:color w:val="102E3B"/>
          <w:sz w:val="20"/>
          <w:szCs w:val="20"/>
        </w:rPr>
        <w:t xml:space="preserve">For serious or high-risk breaches, the breach lead brings together a small response team: </w:t>
      </w:r>
      <w:r>
        <w:rPr>
          <w:rFonts w:ascii="Nunito Sans" w:cs="Nunito Sans" w:eastAsia="Nunito Sans" w:hAnsi="Nunito Sans"/>
          <w:color w:val="102E3B"/>
          <w:sz w:val="20"/>
          <w:szCs w:val="20"/>
          <w:highlight w:val="yellow"/>
        </w:rPr>
        <w:t xml:space="preserve">[director / founder]</w:t>
      </w:r>
      <w:r>
        <w:rPr>
          <w:rFonts w:ascii="Nunito Sans" w:cs="Nunito Sans" w:eastAsia="Nunito Sans" w:hAnsi="Nunito Sans"/>
          <w:color w:val="102E3B"/>
          <w:sz w:val="20"/>
          <w:szCs w:val="20"/>
        </w:rPr>
        <w:t xml:space="preserve">, the safeguarding lead, IT support and, where needed, a lawyer and the insurer.</w:t>
      </w:r>
    </w:p>
    <w:p>
      <w:pPr>
        <w:pStyle w:val="Heading1"/>
        <w:keepNext/>
        <w:spacing w:after="160" w:before="360"/>
      </w:pPr>
      <w:r>
        <w:rPr>
          <w:rFonts w:ascii="DM Serif Display" w:cs="DM Serif Display" w:eastAsia="DM Serif Display" w:hAnsi="DM Serif Display"/>
          <w:color w:val="123C48"/>
          <w:sz w:val="40"/>
          <w:szCs w:val="40"/>
        </w:rPr>
        <w:t xml:space="preserve">Step 4: Decide on notification</w:t>
      </w:r>
    </w:p>
    <w:p>
      <w:pPr>
        <w:spacing w:after="120" w:before="0" w:line="300"/>
      </w:pPr>
      <w:r>
        <w:rPr>
          <w:rFonts w:ascii="Nunito Sans" w:cs="Nunito Sans" w:eastAsia="Nunito Sans" w:hAnsi="Nunito Sans"/>
          <w:color w:val="102E3B"/>
          <w:sz w:val="20"/>
          <w:szCs w:val="20"/>
        </w:rPr>
        <w:t xml:space="preserve">The breach lead decides who must be told and records the reasons for each decision, including decisions not to notify.</w:t>
      </w:r>
    </w:p>
    <w:p>
      <w:pPr>
        <w:pStyle w:val="Heading2"/>
        <w:keepNext/>
        <w:spacing w:after="120" w:before="280"/>
      </w:pPr>
      <w:r>
        <w:rPr>
          <w:rFonts w:ascii="DM Serif Display" w:cs="DM Serif Display" w:eastAsia="DM Serif Display" w:hAnsi="DM Serif Display"/>
          <w:color w:val="123C48"/>
          <w:sz w:val="28"/>
          <w:szCs w:val="28"/>
        </w:rPr>
        <w:t xml:space="preserve">The regulator</w:t>
      </w:r>
    </w:p>
    <w:p>
      <w:pPr>
        <w:spacing w:after="120" w:before="0" w:line="300"/>
      </w:pPr>
      <w:r>
        <w:rPr>
          <w:rFonts w:ascii="Nunito Sans" w:cs="Nunito Sans" w:eastAsia="Nunito Sans" w:hAnsi="Nunito Sans"/>
          <w:color w:val="102E3B"/>
          <w:sz w:val="20"/>
          <w:szCs w:val="20"/>
        </w:rPr>
        <w:t xml:space="preserve">Under the GDPR, we must notify the regulator within 72 hours of becoming aware of a breach, unless it is unlikely to result in a risk to people. If we do not have all the facts, we notify what we know and send the rest later. We notify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through </w:t>
      </w:r>
      <w:r>
        <w:rPr>
          <w:rFonts w:ascii="Nunito Sans" w:cs="Nunito Sans" w:eastAsia="Nunito Sans" w:hAnsi="Nunito Sans"/>
          <w:color w:val="102E3B"/>
          <w:sz w:val="20"/>
          <w:szCs w:val="20"/>
          <w:highlight w:val="yellow"/>
        </w:rPr>
        <w:t xml:space="preserve">[their online form / 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[72 hours]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The people affected</w:t>
      </w:r>
    </w:p>
    <w:p>
      <w:pPr>
        <w:spacing w:after="120" w:before="0" w:line="300"/>
      </w:pPr>
      <w:r>
        <w:rPr>
          <w:rFonts w:ascii="Nunito Sans" w:cs="Nunito Sans" w:eastAsia="Nunito Sans" w:hAnsi="Nunito Sans"/>
          <w:color w:val="102E3B"/>
          <w:sz w:val="20"/>
          <w:szCs w:val="20"/>
        </w:rPr>
        <w:t xml:space="preserve">We tell the people affected without undue delay when the breach is likely to result in a high risk to them, so they can protect themselves. We may also tell them when the risk is lower, if it helps them. We use plain language, their own language, and a channel that reaches them safely: a phone call or visit may be better than a letter for people with low literacy or where post is not private.</w:t>
      </w:r>
    </w:p>
    <w:p>
      <w:pPr>
        <w:pStyle w:val="Heading2"/>
        <w:keepNext/>
        <w:spacing w:after="120" w:before="280"/>
      </w:pPr>
      <w:r>
        <w:rPr>
          <w:rFonts w:ascii="DM Serif Display" w:cs="DM Serif Display" w:eastAsia="DM Serif Display" w:hAnsi="DM Serif Display"/>
          <w:color w:val="123C48"/>
          <w:sz w:val="28"/>
          <w:szCs w:val="28"/>
        </w:rPr>
        <w:t xml:space="preserve">Funders, partners and others</w:t>
      </w:r>
    </w:p>
    <w:p>
      <w:pPr>
        <w:pStyle w:val="ListParagraph"/>
        <w:numPr>
          <w:ilvl w:val="0"/>
          <w:numId w:val="3"/>
        </w:numPr>
        <w:spacing w:after="80" w:line="290"/>
      </w:pPr>
      <w:r>
        <w:rPr>
          <w:rFonts w:ascii="Nunito Sans" w:cs="Nunito Sans" w:eastAsia="Nunito Sans" w:hAnsi="Nunito Sans"/>
          <w:b/>
          <w:bCs/>
          <w:color w:val="102E3B"/>
          <w:sz w:val="20"/>
          <w:szCs w:val="20"/>
        </w:rPr>
        <w:t xml:space="preserve">Funders:</w:t>
      </w:r>
      <w:r>
        <w:rPr>
          <w:rFonts w:ascii="Nunito Sans" w:cs="Nunito Sans" w:eastAsia="Nunito Sans" w:hAnsi="Nunito Sans"/>
          <w:color w:val="102E3B"/>
          <w:sz w:val="20"/>
          <w:szCs w:val="20"/>
        </w:rPr>
        <w:t xml:space="preserve"> many grant agreements require notice of a data breach within a set time, often </w:t>
      </w:r>
      <w:r>
        <w:rPr>
          <w:rFonts w:ascii="Nunito Sans" w:cs="Nunito Sans" w:eastAsia="Nunito Sans" w:hAnsi="Nunito Sans"/>
          <w:color w:val="102E3B"/>
          <w:sz w:val="20"/>
          <w:szCs w:val="20"/>
          <w:highlight w:val="yellow"/>
        </w:rPr>
        <w:t xml:space="preserve">[24 to 72 hours]</w:t>
      </w:r>
      <w:r>
        <w:rPr>
          <w:rFonts w:ascii="Nunito Sans" w:cs="Nunito Sans" w:eastAsia="Nunito Sans" w:hAnsi="Nunito Sans"/>
          <w:color w:val="102E3B"/>
          <w:sz w:val="20"/>
          <w:szCs w:val="20"/>
        </w:rPr>
        <w:t xml:space="preserve">. Check each agreement.</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Partners:</w:t>
      </w:r>
      <w:r>
        <w:rPr>
          <w:rFonts w:ascii="Nunito Sans" w:cs="Nunito Sans" w:eastAsia="Nunito Sans" w:hAnsi="Nunito Sans"/>
          <w:color w:val="102E3B"/>
          <w:sz w:val="20"/>
          <w:szCs w:val="20"/>
        </w:rPr>
        <w:t xml:space="preserve"> if a partner shared the data with us, our Data Sharing Agreement says how fast we must tell them. If we are acting on their behalf, they make the notification decisions and we support them.</w:t>
      </w:r>
    </w:p>
    <w:p>
      <w:pPr>
        <w:pStyle w:val="ListParagraph"/>
        <w:numPr>
          <w:ilvl w:val="0"/>
          <w:numId w:val="3"/>
        </w:numPr>
        <w:spacing w:after="80" w:line="290"/>
      </w:pPr>
      <w:r>
        <w:rPr>
          <w:rFonts w:ascii="Nunito Sans" w:cs="Nunito Sans" w:eastAsia="Nunito Sans" w:hAnsi="Nunito Sans"/>
          <w:b/>
          <w:bCs/>
          <w:color w:val="102E3B"/>
          <w:sz w:val="20"/>
          <w:szCs w:val="20"/>
        </w:rPr>
        <w:t xml:space="preserve">Police:</w:t>
      </w:r>
      <w:r>
        <w:rPr>
          <w:rFonts w:ascii="Nunito Sans" w:cs="Nunito Sans" w:eastAsia="Nunito Sans" w:hAnsi="Nunito Sans"/>
          <w:color w:val="102E3B"/>
          <w:sz w:val="20"/>
          <w:szCs w:val="20"/>
        </w:rPr>
        <w:t xml:space="preserve"> for theft, fraud, extortion or ransomware.</w:t>
      </w:r>
    </w:p>
    <w:p>
      <w:pPr>
        <w:pStyle w:val="ListParagraph"/>
        <w:numPr>
          <w:ilvl w:val="0"/>
          <w:numId w:val="3"/>
        </w:numPr>
        <w:spacing w:after="80" w:line="290"/>
      </w:pPr>
      <w:r>
        <w:rPr>
          <w:rFonts w:ascii="Nunito Sans" w:cs="Nunito Sans" w:eastAsia="Nunito Sans" w:hAnsi="Nunito Sans"/>
          <w:b/>
          <w:bCs/>
          <w:color w:val="102E3B"/>
          <w:sz w:val="20"/>
          <w:szCs w:val="20"/>
        </w:rPr>
        <w:t xml:space="preserve">Bank:</w:t>
      </w:r>
      <w:r>
        <w:rPr>
          <w:rFonts w:ascii="Nunito Sans" w:cs="Nunito Sans" w:eastAsia="Nunito Sans" w:hAnsi="Nunito Sans"/>
          <w:color w:val="102E3B"/>
          <w:sz w:val="20"/>
          <w:szCs w:val="20"/>
        </w:rPr>
        <w:t xml:space="preserve"> if financial details or accounts are involved.</w:t>
      </w:r>
    </w:p>
    <w:p>
      <w:pPr>
        <w:pStyle w:val="ListParagraph"/>
        <w:numPr>
          <w:ilvl w:val="0"/>
          <w:numId w:val="3"/>
        </w:numPr>
        <w:spacing w:after="80" w:line="290"/>
      </w:pPr>
      <w:r>
        <w:rPr>
          <w:rFonts w:ascii="Nunito Sans" w:cs="Nunito Sans" w:eastAsia="Nunito Sans" w:hAnsi="Nunito Sans"/>
          <w:b/>
          <w:bCs/>
          <w:color w:val="102E3B"/>
          <w:sz w:val="20"/>
          <w:szCs w:val="20"/>
        </w:rPr>
        <w:t xml:space="preserve">Insurer:</w:t>
      </w:r>
      <w:r>
        <w:rPr>
          <w:rFonts w:ascii="Nunito Sans" w:cs="Nunito Sans" w:eastAsia="Nunito Sans" w:hAnsi="Nunito Sans"/>
          <w:color w:val="102E3B"/>
          <w:sz w:val="20"/>
          <w:szCs w:val="20"/>
        </w:rPr>
        <w:t xml:space="preserve"> as the policy requires, often before taking other steps.</w:t>
      </w:r>
    </w:p>
    <w:p>
      <w:pPr>
        <w:pStyle w:val="ListParagraph"/>
        <w:numPr>
          <w:ilvl w:val="0"/>
          <w:numId w:val="3"/>
        </w:numPr>
        <w:spacing w:after="80" w:line="290"/>
      </w:pPr>
      <w:r>
        <w:rPr>
          <w:rFonts w:ascii="Nunito Sans" w:cs="Nunito Sans" w:eastAsia="Nunito Sans" w:hAnsi="Nunito Sans"/>
          <w:b/>
          <w:bCs/>
          <w:color w:val="102E3B"/>
          <w:sz w:val="20"/>
          <w:szCs w:val="20"/>
        </w:rPr>
        <w:t xml:space="preserve">Board:</w:t>
      </w:r>
      <w:r>
        <w:rPr>
          <w:rFonts w:ascii="Nunito Sans" w:cs="Nunito Sans" w:eastAsia="Nunito Sans" w:hAnsi="Nunito Sans"/>
          <w:color w:val="102E3B"/>
          <w:sz w:val="20"/>
          <w:szCs w:val="20"/>
        </w:rPr>
        <w:t xml:space="preserve"> the chair is told of every high-risk breach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NOTIFICATION RULES BY COUNTRY</w:t>
            </w:r>
          </w:p>
          <w:p>
            <w:pPr>
              <w:spacing w:after="120" w:before="0" w:line="300"/>
            </w:pPr>
            <w:r>
              <w:rPr>
                <w:rFonts w:ascii="Nunito Sans" w:cs="Nunito Sans" w:eastAsia="Nunito Sans" w:hAnsi="Nunito Sans"/>
                <w:color w:val="102E3B"/>
                <w:sz w:val="19"/>
                <w:szCs w:val="19"/>
              </w:rPr>
              <w:t xml:space="preserve">Check the deadlines and thresholds that apply to you. GDPR and UK GDPR: the regulator within 72 hours unless unlikely to result in a risk; people affected without undue delay if high risk. Kenya, Data Protection Act 2019: the Data Commissioner within 72 hours, and people affected within a reasonably practical period. Nigeria, Data Protection Act 2023: the Nigeria Data Protection Commission within 72 hours, and people affected immediately where the risk is high. South Africa, POPIA: the Information Regulator and the people affected as soon as reasonably possible, with no fixed number of hours. Brazil, LGPD: the ANPD and people affected where there is relevant risk; ANPD Resolution 15/2024 sets 3 working days from becoming aware, doubled for small processing agents. India, DPDP Act 2023 and its 2025 Rules: the Data Protection Board and each affected person, with a detailed report to the Board within 72 hours; these Rules were set to apply 18 months after their notification in November 2025, so check whether they are in force. Indonesia, Law 27 of 2022: written notice to people affected and the authority within 3 x 24 hours. Peru, Law 29733 and its 2024 regulation: the national authority within 48 hours of detecting the incident. Argentina: check current rules, which have been changing. If you hold data on donors in the United States, state breach laws may also apply.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5: Communicate</w:t>
      </w:r>
    </w:p>
    <w:p>
      <w:pPr>
        <w:pStyle w:val="ListParagraph"/>
        <w:numPr>
          <w:ilvl w:val="0"/>
          <w:numId w:val="3"/>
        </w:numPr>
        <w:spacing w:after="80" w:line="290"/>
      </w:pPr>
      <w:r>
        <w:rPr>
          <w:rFonts w:ascii="Nunito Sans" w:cs="Nunito Sans" w:eastAsia="Nunito Sans" w:hAnsi="Nunito Sans"/>
          <w:color w:val="102E3B"/>
          <w:sz w:val="20"/>
          <w:szCs w:val="20"/>
        </w:rPr>
        <w:t xml:space="preserve">Only the breach lead, or someone they authorise, speaks about a breach outside the organisation.</w:t>
      </w:r>
    </w:p>
    <w:p>
      <w:pPr>
        <w:pStyle w:val="ListParagraph"/>
        <w:numPr>
          <w:ilvl w:val="0"/>
          <w:numId w:val="3"/>
        </w:numPr>
        <w:spacing w:after="80" w:line="290"/>
      </w:pPr>
      <w:r>
        <w:rPr>
          <w:rFonts w:ascii="Nunito Sans" w:cs="Nunito Sans" w:eastAsia="Nunito Sans" w:hAnsi="Nunito Sans"/>
          <w:color w:val="102E3B"/>
          <w:sz w:val="20"/>
          <w:szCs w:val="20"/>
        </w:rPr>
        <w:t xml:space="preserve">Everyone involved keeps the details confidential, including on personal social media.</w:t>
      </w:r>
    </w:p>
    <w:p>
      <w:pPr>
        <w:pStyle w:val="ListParagraph"/>
        <w:numPr>
          <w:ilvl w:val="0"/>
          <w:numId w:val="3"/>
        </w:numPr>
        <w:spacing w:after="80" w:line="290"/>
      </w:pPr>
      <w:r>
        <w:rPr>
          <w:rFonts w:ascii="Nunito Sans" w:cs="Nunito Sans" w:eastAsia="Nunito Sans" w:hAnsi="Nunito Sans"/>
          <w:color w:val="102E3B"/>
          <w:sz w:val="20"/>
          <w:szCs w:val="20"/>
        </w:rPr>
        <w:t xml:space="preserve">Messages to people affected say what happened, what information was involved, what harm could follow, what we have done, what they can do, and who to contact. Annex C has wording.</w:t>
      </w:r>
    </w:p>
    <w:p>
      <w:pPr>
        <w:pStyle w:val="ListParagraph"/>
        <w:numPr>
          <w:ilvl w:val="0"/>
          <w:numId w:val="3"/>
        </w:numPr>
        <w:spacing w:after="80" w:line="290"/>
      </w:pPr>
      <w:r>
        <w:rPr>
          <w:rFonts w:ascii="Nunito Sans" w:cs="Nunito Sans" w:eastAsia="Nunito Sans" w:hAnsi="Nunito Sans"/>
          <w:color w:val="102E3B"/>
          <w:sz w:val="20"/>
          <w:szCs w:val="20"/>
        </w:rPr>
        <w:t xml:space="preserve">If the media ask, we use a short, honest holding statement agreed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and do not name anyone affected.</w:t>
      </w:r>
    </w:p>
    <w:p>
      <w:pPr>
        <w:pStyle w:val="ListParagraph"/>
        <w:numPr>
          <w:ilvl w:val="0"/>
          <w:numId w:val="3"/>
        </w:numPr>
        <w:spacing w:after="80" w:line="290"/>
      </w:pPr>
      <w:r>
        <w:rPr>
          <w:rFonts w:ascii="Nunito Sans" w:cs="Nunito Sans" w:eastAsia="Nunito Sans" w:hAnsi="Nunito Sans"/>
          <w:color w:val="102E3B"/>
          <w:sz w:val="20"/>
          <w:szCs w:val="20"/>
        </w:rPr>
        <w:t xml:space="preserve">Where people could be at risk of physical harm, the safeguarding lead decides how and when they are told, so that the message itself does not put them in danger.</w:t>
      </w:r>
    </w:p>
    <w:p>
      <w:pPr>
        <w:pStyle w:val="Heading1"/>
        <w:keepNext/>
        <w:spacing w:after="160" w:before="360"/>
      </w:pPr>
      <w:r>
        <w:rPr>
          <w:rFonts w:ascii="DM Serif Display" w:cs="DM Serif Display" w:eastAsia="DM Serif Display" w:hAnsi="DM Serif Display"/>
          <w:color w:val="123C48"/>
          <w:sz w:val="40"/>
          <w:szCs w:val="40"/>
        </w:rPr>
        <w:t xml:space="preserve">Step 6: Recover</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[2 weeks]</w:t>
      </w:r>
      <w:r>
        <w:rPr>
          <w:rFonts w:ascii="Nunito Sans" w:cs="Nunito Sans" w:eastAsia="Nunito Sans" w:hAnsi="Nunito Sans"/>
          <w:color w:val="102E3B"/>
          <w:sz w:val="20"/>
          <w:szCs w:val="20"/>
        </w:rPr>
        <w:t xml:space="preserve">, or sooner for serious breaches, the breach lead makes sure that:</w:t>
      </w:r>
    </w:p>
    <w:p>
      <w:pPr>
        <w:pStyle w:val="ListParagraph"/>
        <w:numPr>
          <w:ilvl w:val="0"/>
          <w:numId w:val="3"/>
        </w:numPr>
        <w:spacing w:after="80" w:line="290"/>
      </w:pPr>
      <w:r>
        <w:rPr>
          <w:rFonts w:ascii="Nunito Sans" w:cs="Nunito Sans" w:eastAsia="Nunito Sans" w:hAnsi="Nunito Sans"/>
          <w:color w:val="102E3B"/>
          <w:sz w:val="20"/>
          <w:szCs w:val="20"/>
        </w:rPr>
        <w:t xml:space="preserve">systems are restored from clean backups and checked;</w:t>
      </w:r>
    </w:p>
    <w:p>
      <w:pPr>
        <w:pStyle w:val="ListParagraph"/>
        <w:numPr>
          <w:ilvl w:val="0"/>
          <w:numId w:val="3"/>
        </w:numPr>
        <w:spacing w:after="80" w:line="290"/>
      </w:pPr>
      <w:r>
        <w:rPr>
          <w:rFonts w:ascii="Nunito Sans" w:cs="Nunito Sans" w:eastAsia="Nunito Sans" w:hAnsi="Nunito Sans"/>
          <w:color w:val="102E3B"/>
          <w:sz w:val="20"/>
          <w:szCs w:val="20"/>
        </w:rPr>
        <w:t xml:space="preserve">passwords and access are reset and lost devices are replaced and set up securely;</w:t>
      </w:r>
    </w:p>
    <w:p>
      <w:pPr>
        <w:pStyle w:val="ListParagraph"/>
        <w:numPr>
          <w:ilvl w:val="0"/>
          <w:numId w:val="3"/>
        </w:numPr>
        <w:spacing w:after="80" w:line="290"/>
      </w:pPr>
      <w:r>
        <w:rPr>
          <w:rFonts w:ascii="Nunito Sans" w:cs="Nunito Sans" w:eastAsia="Nunito Sans" w:hAnsi="Nunito Sans"/>
          <w:color w:val="102E3B"/>
          <w:sz w:val="20"/>
          <w:szCs w:val="20"/>
        </w:rPr>
        <w:t xml:space="preserve">recipients have confirmed deletion, and we have checked for any misuse of the data;</w:t>
      </w:r>
    </w:p>
    <w:p>
      <w:pPr>
        <w:pStyle w:val="ListParagraph"/>
        <w:numPr>
          <w:ilvl w:val="0"/>
          <w:numId w:val="3"/>
        </w:numPr>
        <w:spacing w:after="80" w:line="290"/>
      </w:pPr>
      <w:r>
        <w:rPr>
          <w:rFonts w:ascii="Nunito Sans" w:cs="Nunito Sans" w:eastAsia="Nunito Sans" w:hAnsi="Nunito Sans"/>
          <w:color w:val="102E3B"/>
          <w:sz w:val="20"/>
          <w:szCs w:val="20"/>
        </w:rPr>
        <w:t xml:space="preserve">people affected have the support we promised, such as a call from a staff member they know.</w:t>
      </w:r>
    </w:p>
    <w:p>
      <w:pPr>
        <w:pStyle w:val="Heading1"/>
        <w:keepNext/>
        <w:spacing w:after="160" w:before="360"/>
      </w:pPr>
      <w:r>
        <w:rPr>
          <w:rFonts w:ascii="DM Serif Display" w:cs="DM Serif Display" w:eastAsia="DM Serif Display" w:hAnsi="DM Serif Display"/>
          <w:color w:val="123C48"/>
          <w:sz w:val="40"/>
          <w:szCs w:val="40"/>
        </w:rPr>
        <w:t xml:space="preserve">Step 7: Learn</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the breach lead reviews what happened with the people involved. The review asks what caused the breach, what worked and what did not, and what we will change. Actions are recorded in the log with an owner and a date, and added to the Risk Register where relevant. The board receives a summary of all breaches </w:t>
      </w:r>
      <w:r>
        <w:rPr>
          <w:rFonts w:ascii="Nunito Sans" w:cs="Nunito Sans" w:eastAsia="Nunito Sans" w:hAnsi="Nunito Sans"/>
          <w:color w:val="102E3B"/>
          <w:sz w:val="20"/>
          <w:szCs w:val="20"/>
          <w:highlight w:val="yellow"/>
        </w:rPr>
        <w:t xml:space="preserve">[every six months / once a year]</w:t>
      </w:r>
      <w:r>
        <w:rPr>
          <w:rFonts w:ascii="Nunito Sans" w:cs="Nunito Sans" w:eastAsia="Nunito Sans" w:hAnsi="Nunito Sans"/>
          <w:color w:val="102E3B"/>
          <w:sz w:val="20"/>
          <w:szCs w:val="20"/>
        </w:rPr>
        <w:t xml:space="preserve">, and a full report on any high-risk breach.</w:t>
      </w:r>
    </w:p>
    <w:p>
      <w:pPr>
        <w:pStyle w:val="Heading1"/>
        <w:keepNext/>
        <w:spacing w:after="160" w:before="360"/>
      </w:pPr>
      <w:r>
        <w:rPr>
          <w:rFonts w:ascii="DM Serif Display" w:cs="DM Serif Display" w:eastAsia="DM Serif Display" w:hAnsi="DM Serif Display"/>
          <w:color w:val="123C48"/>
          <w:sz w:val="40"/>
          <w:szCs w:val="40"/>
        </w:rPr>
        <w:t xml:space="preserve">Record every breach</w:t>
      </w:r>
    </w:p>
    <w:p>
      <w:pPr>
        <w:spacing w:after="120" w:before="0" w:line="300"/>
      </w:pPr>
      <w:r>
        <w:rPr>
          <w:rFonts w:ascii="Nunito Sans" w:cs="Nunito Sans" w:eastAsia="Nunito Sans" w:hAnsi="Nunito Sans"/>
          <w:color w:val="102E3B"/>
          <w:sz w:val="20"/>
          <w:szCs w:val="20"/>
        </w:rPr>
        <w:t xml:space="preserve">The breach lead records every breach and near miss in the breach log, whether or not anyone is notified. The record shows the facts, the effects, the actions taken and the reasons for each notification decision. Regulators can ask to see it. The log is kept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and is visible only to the breach lead, the deputy and the director.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BREACH LOG STORAGE</w:t>
            </w:r>
          </w:p>
          <w:p>
            <w:pPr>
              <w:spacing w:after="120" w:before="0" w:line="300"/>
            </w:pPr>
            <w:r>
              <w:rPr>
                <w:rFonts w:ascii="Nunito Sans" w:cs="Nunito Sans" w:eastAsia="Nunito Sans" w:hAnsi="Nunito Sans"/>
                <w:color w:val="102E3B"/>
                <w:sz w:val="19"/>
                <w:szCs w:val="19"/>
              </w:rPr>
              <w:t xml:space="preserve">Keep the log somewhere that would survive the breach, for example not on the laptop that was stolen or the account that was hacked. A protected spreadsheet in a separate account, or a paper register in a locked drawer, works for a small team. Match the retention period to your Records Retention Schedule.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Example: Lost phone with participant contacts</w:t>
      </w:r>
    </w:p>
    <w:p>
      <w:pPr>
        <w:spacing w:after="120" w:before="0" w:line="300"/>
      </w:pPr>
      <w:r>
        <w:rPr>
          <w:rFonts w:ascii="Nunito Sans" w:cs="Nunito Sans" w:eastAsia="Nunito Sans" w:hAnsi="Nunito Sans"/>
          <w:color w:val="102E3B"/>
          <w:sz w:val="20"/>
          <w:szCs w:val="20"/>
        </w:rPr>
        <w:t xml:space="preserve">A field officer leaves a work phone in a taxi on Friday at 5pm. It holds the names and numbers of 40 programme participants, and a WhatsApp group for a support group for survivors of violence.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5904"/>
        <w:gridCol w:w="1906"/>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5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5:40pm</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Officer notices, tries calling the phone, then phones the breach lead</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Field officer</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5:50pm</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 opens a log entry; asks if the phone had a screen lock (yes, 4-digit PIN)</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6:00pm</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is located remotely, then locked and wiped; the officer's accounts are signed out and passwords changed; the officer's number is removed from the WhatsApp group by another admin</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 IT support</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Saturday</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assessed as high: a survivors' group could reveal who is in it, and a PIN is weak protection. Safeguarding lead joins</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 safeguarding lead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Sunday</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informed. Decision to notify the regulator and the funder. Safeguarding lead plans how to tell group members safely</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Monday</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Regulator notified within 72 hours; funder notified as the grant requires; theft or loss reported to the police for a reference</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Mon–Tue</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 and a trusted facilitator call each group member individually, explain, and agree any safety steps</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30 days</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all work phones get 6-digit PINs and remote wipe; sensitive groups move to a setting where members cannot see each other's numbers</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OWN EXAMPLE</w:t>
            </w:r>
          </w:p>
          <w:p>
            <w:pPr>
              <w:spacing w:after="120" w:before="0" w:line="300"/>
            </w:pPr>
            <w:r>
              <w:rPr>
                <w:rFonts w:ascii="Nunito Sans" w:cs="Nunito Sans" w:eastAsia="Nunito Sans" w:hAnsi="Nunito Sans"/>
                <w:color w:val="102E3B"/>
                <w:sz w:val="19"/>
                <w:szCs w:val="19"/>
              </w:rPr>
              <w:t xml:space="preserve">Replace this example with one that matches your work, for example paper forms from a community health survey, or a spreadsheet of donors sent to the wrong partner. Practise it once a year as a 30-minute desk exercise with the team.</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Timescales at a glance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a suspected breach</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hour]</w:t>
            </w:r>
            <w:r>
              <w:rPr>
                <w:rFonts w:ascii="Nunito Sans" w:cs="Nunito Sans" w:eastAsia="Nunito Sans" w:hAnsi="Nunito Sans"/>
                <w:color w:val="102E3B"/>
                <w:sz w:val="18"/>
                <w:szCs w:val="18"/>
              </w:rPr>
              <w:t xml:space="preserve"> of noticing it</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Contain and open the log</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first hour of the report</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Assess risk to people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the chair of a high-risk breach</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and, where required, notify the regulator</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[72 hours]</w:t>
            </w:r>
            <w:r>
              <w:rPr>
                <w:rFonts w:ascii="Nunito Sans" w:cs="Nunito Sans" w:eastAsia="Nunito Sans" w:hAnsi="Nunito Sans"/>
                <w:color w:val="102E3B"/>
                <w:sz w:val="18"/>
                <w:szCs w:val="18"/>
              </w:rPr>
              <w:t xml:space="preserve"> of becoming aware</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people affected where risk is high</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Without undue delay</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funders and partners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each agreement requires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Recover</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weeks]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and lessons learned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[30 days]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Reports suspected breaches within </w:t>
            </w:r>
            <w:r>
              <w:rPr>
                <w:rFonts w:ascii="Nunito Sans" w:cs="Nunito Sans" w:eastAsia="Nunito Sans" w:hAnsi="Nunito Sans"/>
                <w:color w:val="102E3B"/>
                <w:sz w:val="18"/>
                <w:szCs w:val="18"/>
                <w:highlight w:val="yellow"/>
              </w:rPr>
              <w:t xml:space="preserve">[1 hour]</w:t>
            </w:r>
            <w:r>
              <w:rPr>
                <w:rFonts w:ascii="Nunito Sans" w:cs="Nunito Sans" w:eastAsia="Nunito Sans" w:hAnsi="Nunito Sans"/>
                <w:color w:val="102E3B"/>
                <w:sz w:val="18"/>
                <w:szCs w:val="18"/>
              </w:rPr>
              <w:t xml:space="preserve">; follows containment instructions; keeps details confidential.</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Leads the response; keeps the log; assesses risk; decides and makes notifications; leads the review.</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Leads when the breach lead is unavailable or involved.</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Advises where people could be harmed, and leads contact with people at risk.</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 told of high-risk breaches; reviews the breach summary; checks that lessons are acted 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Sharing Agreement</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Breach log</w:t>
      </w:r>
    </w:p>
    <w:p>
      <w:pPr>
        <w:spacing w:after="120" w:before="0" w:line="300"/>
      </w:pPr>
      <w:r>
        <w:rPr>
          <w:rFonts w:ascii="Nunito Sans" w:cs="Nunito Sans" w:eastAsia="Nunito Sans" w:hAnsi="Nunito Sans"/>
          <w:color w:val="102E3B"/>
          <w:sz w:val="20"/>
          <w:szCs w:val="20"/>
        </w:rPr>
        <w:t xml:space="preserve">Copy this table for each breach. Keep the log separate from the systems it records.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[DB-2026-01]</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we became aware; who reported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happened; when it started and ended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and people affected (types, number, countries)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Sensitive information involved? (health, safeguarding, children, location, financial)</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Systems, providers or partners involved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Containment actions, with times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rating (no likely risk / risk / high risk) and reasons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Regulator notified? When, reference, or reason not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affected told? When, how, or reason not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Funders, partners, police, insurer told? When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Lessons, actions, owner and due date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closed; signed off by</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Risk assessment questions</w:t>
      </w:r>
    </w:p>
    <w:p>
      <w:pPr>
        <w:pStyle w:val="ListParagraph"/>
        <w:numPr>
          <w:ilvl w:val="0"/>
          <w:numId w:val="5"/>
        </w:numPr>
        <w:spacing w:after="80" w:line="290"/>
      </w:pPr>
      <w:r>
        <w:rPr>
          <w:rFonts w:ascii="Nunito Sans" w:cs="Nunito Sans" w:eastAsia="Nunito Sans" w:hAnsi="Nunito Sans"/>
          <w:color w:val="102E3B"/>
          <w:sz w:val="20"/>
          <w:szCs w:val="20"/>
        </w:rPr>
        <w:t xml:space="preserve">What information is involved? Is any of it sensitive: health, sexual life, ethnicity, religion, political views, criminal records, immigration status, safeguarding or survivor information, biometric data, bank details?</w:t>
      </w:r>
    </w:p>
    <w:p>
      <w:pPr>
        <w:pStyle w:val="ListParagraph"/>
        <w:numPr>
          <w:ilvl w:val="0"/>
          <w:numId w:val="5"/>
        </w:numPr>
        <w:spacing w:after="80" w:line="290"/>
      </w:pPr>
      <w:r>
        <w:rPr>
          <w:rFonts w:ascii="Nunito Sans" w:cs="Nunito Sans" w:eastAsia="Nunito Sans" w:hAnsi="Nunito Sans"/>
          <w:color w:val="102E3B"/>
          <w:sz w:val="20"/>
          <w:szCs w:val="20"/>
        </w:rPr>
        <w:t xml:space="preserve">Whose information is it? Children, adults at risk, people in conflict or displacement, activists or others who could be targeted?</w:t>
      </w:r>
    </w:p>
    <w:p>
      <w:pPr>
        <w:pStyle w:val="ListParagraph"/>
        <w:numPr>
          <w:ilvl w:val="0"/>
          <w:numId w:val="5"/>
        </w:numPr>
        <w:spacing w:after="80" w:line="290"/>
      </w:pPr>
      <w:r>
        <w:rPr>
          <w:rFonts w:ascii="Nunito Sans" w:cs="Nunito Sans" w:eastAsia="Nunito Sans" w:hAnsi="Nunito Sans"/>
          <w:color w:val="102E3B"/>
          <w:sz w:val="20"/>
          <w:szCs w:val="20"/>
        </w:rPr>
        <w:t xml:space="preserve">How many people are affected?</w:t>
      </w:r>
    </w:p>
    <w:p>
      <w:pPr>
        <w:pStyle w:val="ListParagraph"/>
        <w:numPr>
          <w:ilvl w:val="0"/>
          <w:numId w:val="5"/>
        </w:numPr>
        <w:spacing w:after="80" w:line="290"/>
      </w:pPr>
      <w:r>
        <w:rPr>
          <w:rFonts w:ascii="Nunito Sans" w:cs="Nunito Sans" w:eastAsia="Nunito Sans" w:hAnsi="Nunito Sans"/>
          <w:color w:val="102E3B"/>
          <w:sz w:val="20"/>
          <w:szCs w:val="20"/>
        </w:rPr>
        <w:t xml:space="preserve">Was the information protected, for example by encryption or a strong password?</w:t>
      </w:r>
    </w:p>
    <w:p>
      <w:pPr>
        <w:pStyle w:val="ListParagraph"/>
        <w:numPr>
          <w:ilvl w:val="0"/>
          <w:numId w:val="5"/>
        </w:numPr>
        <w:spacing w:after="80" w:line="290"/>
      </w:pPr>
      <w:r>
        <w:rPr>
          <w:rFonts w:ascii="Nunito Sans" w:cs="Nunito Sans" w:eastAsia="Nunito Sans" w:hAnsi="Nunito Sans"/>
          <w:color w:val="102E3B"/>
          <w:sz w:val="20"/>
          <w:szCs w:val="20"/>
        </w:rPr>
        <w:t xml:space="preserve">Who now has it? A trusted partner who deleted it, a stranger, or someone who could misuse it?</w:t>
      </w:r>
    </w:p>
    <w:p>
      <w:pPr>
        <w:pStyle w:val="ListParagraph"/>
        <w:numPr>
          <w:ilvl w:val="0"/>
          <w:numId w:val="5"/>
        </w:numPr>
        <w:spacing w:after="80" w:line="290"/>
      </w:pPr>
      <w:r>
        <w:rPr>
          <w:rFonts w:ascii="Nunito Sans" w:cs="Nunito Sans" w:eastAsia="Nunito Sans" w:hAnsi="Nunito Sans"/>
          <w:color w:val="102E3B"/>
          <w:sz w:val="20"/>
          <w:szCs w:val="20"/>
        </w:rPr>
        <w:t xml:space="preserve">Can it be recovered or the exposure reversed?</w:t>
      </w:r>
    </w:p>
    <w:p>
      <w:pPr>
        <w:pStyle w:val="ListParagraph"/>
        <w:numPr>
          <w:ilvl w:val="0"/>
          <w:numId w:val="5"/>
        </w:numPr>
        <w:spacing w:after="80" w:line="290"/>
      </w:pPr>
      <w:r>
        <w:rPr>
          <w:rFonts w:ascii="Nunito Sans" w:cs="Nunito Sans" w:eastAsia="Nunito Sans" w:hAnsi="Nunito Sans"/>
          <w:color w:val="102E3B"/>
          <w:sz w:val="20"/>
          <w:szCs w:val="20"/>
        </w:rPr>
        <w:t xml:space="preserve">Could the people be identified from it, alone or combined with other information?</w:t>
      </w:r>
    </w:p>
    <w:p>
      <w:pPr>
        <w:pStyle w:val="ListParagraph"/>
        <w:numPr>
          <w:ilvl w:val="0"/>
          <w:numId w:val="5"/>
        </w:numPr>
        <w:spacing w:after="80" w:line="290"/>
      </w:pPr>
      <w:r>
        <w:rPr>
          <w:rFonts w:ascii="Nunito Sans" w:cs="Nunito Sans" w:eastAsia="Nunito Sans" w:hAnsi="Nunito Sans"/>
          <w:color w:val="102E3B"/>
          <w:sz w:val="20"/>
          <w:szCs w:val="20"/>
        </w:rPr>
        <w:t xml:space="preserve">What harm could follow, and how likely and how serious is it?</w:t>
      </w:r>
    </w:p>
    <w:p>
      <w:pPr>
        <w:pStyle w:val="ListParagraph"/>
        <w:numPr>
          <w:ilvl w:val="0"/>
          <w:numId w:val="5"/>
        </w:numPr>
        <w:spacing w:after="80" w:line="290"/>
      </w:pPr>
      <w:r>
        <w:rPr>
          <w:rFonts w:ascii="Nunito Sans" w:cs="Nunito Sans" w:eastAsia="Nunito Sans" w:hAnsi="Nunito Sans"/>
          <w:color w:val="102E3B"/>
          <w:sz w:val="20"/>
          <w:szCs w:val="20"/>
        </w:rPr>
        <w:t xml:space="preserve">Does the breach affect our ability to deliver services, for example lost case records?</w:t>
      </w:r>
    </w:p>
    <w:p>
      <w:pPr>
        <w:pStyle w:val="ListParagraph"/>
        <w:numPr>
          <w:ilvl w:val="0"/>
          <w:numId w:val="5"/>
        </w:numPr>
        <w:spacing w:after="80" w:line="290"/>
      </w:pPr>
      <w:r>
        <w:rPr>
          <w:rFonts w:ascii="Nunito Sans" w:cs="Nunito Sans" w:eastAsia="Nunito Sans" w:hAnsi="Nunito Sans"/>
          <w:color w:val="102E3B"/>
          <w:sz w:val="20"/>
          <w:szCs w:val="20"/>
        </w:rPr>
        <w:t xml:space="preserve">Do any laws, funder agreements or data sharing agreements set specific duties?</w:t>
      </w:r>
    </w:p>
    <w:p>
      <w:pPr>
        <w:pStyle w:val="Heading1"/>
        <w:keepNext/>
        <w:spacing w:after="160" w:before="360"/>
      </w:pPr>
      <w:r>
        <w:rPr>
          <w:rFonts w:ascii="DM Serif Display" w:cs="DM Serif Display" w:eastAsia="DM Serif Display" w:hAnsi="DM Serif Display"/>
          <w:color w:val="123C48"/>
          <w:sz w:val="40"/>
          <w:szCs w:val="40"/>
        </w:rPr>
        <w:t xml:space="preserve">Annex C: Notification text</w:t>
      </w:r>
    </w:p>
    <w:p>
      <w:pPr>
        <w:pStyle w:val="Heading3"/>
        <w:keepNext/>
        <w:spacing w:after="80" w:before="200"/>
      </w:pPr>
      <w:r>
        <w:rPr>
          <w:rFonts w:ascii="Nunito Sans" w:cs="Nunito Sans" w:eastAsia="Nunito Sans" w:hAnsi="Nunito Sans"/>
          <w:b/>
          <w:bCs/>
          <w:color w:val="16746E"/>
          <w:sz w:val="21"/>
          <w:szCs w:val="21"/>
        </w:rPr>
        <w:t xml:space="preserve">To the regulator</w:t>
      </w:r>
    </w:p>
    <w:p>
      <w:pPr>
        <w:spacing w:after="120" w:before="0" w:line="300"/>
      </w:pPr>
      <w:r>
        <w:rPr>
          <w:rFonts w:ascii="Nunito Sans" w:cs="Nunito Sans" w:eastAsia="Nunito Sans" w:hAnsi="Nunito Sans"/>
          <w:color w:val="102E3B"/>
          <w:sz w:val="20"/>
          <w:szCs w:val="20"/>
        </w:rPr>
        <w:t xml:space="preserve">Most regulators have an online form. Have this ready: our name and contact; the breach lead's name; what happened and when; when we became aware; the types and approximate number of people and records; likely consequences; measures taken and planned; whether people affected have been told; and, if late, the reasons for delay.</w:t>
      </w:r>
    </w:p>
    <w:p>
      <w:pPr>
        <w:pStyle w:val="Heading3"/>
        <w:keepNext/>
        <w:spacing w:after="80" w:before="200"/>
      </w:pPr>
      <w:r>
        <w:rPr>
          <w:rFonts w:ascii="Nunito Sans" w:cs="Nunito Sans" w:eastAsia="Nunito Sans" w:hAnsi="Nunito Sans"/>
          <w:b/>
          <w:bCs/>
          <w:color w:val="16746E"/>
          <w:sz w:val="21"/>
          <w:szCs w:val="21"/>
        </w:rPr>
        <w:t xml:space="preserve">To people affected</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are writing to tell you about an incident involving your personal information.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[describe what happened in one or two plain sentences]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The information involved was </w:t>
      </w:r>
      <w:r>
        <w:rPr>
          <w:rFonts w:ascii="Nunito Sans" w:cs="Nunito Sans" w:eastAsia="Nunito Sans" w:hAnsi="Nunito Sans"/>
          <w:color w:val="102E3B"/>
          <w:sz w:val="20"/>
          <w:szCs w:val="20"/>
          <w:highlight w:val="yellow"/>
        </w:rPr>
        <w:t xml:space="preserve">[list]</w:t>
      </w:r>
      <w:r>
        <w:rPr>
          <w:rFonts w:ascii="Nunito Sans" w:cs="Nunito Sans" w:eastAsia="Nunito Sans" w:hAnsi="Nunito Sans"/>
          <w:color w:val="102E3B"/>
          <w:sz w:val="20"/>
          <w:szCs w:val="20"/>
        </w:rPr>
        <w:t xml:space="preserve">. We do not believe </w:t>
      </w:r>
      <w:r>
        <w:rPr>
          <w:rFonts w:ascii="Nunito Sans" w:cs="Nunito Sans" w:eastAsia="Nunito Sans" w:hAnsi="Nunito Sans"/>
          <w:color w:val="102E3B"/>
          <w:sz w:val="20"/>
          <w:szCs w:val="20"/>
          <w:highlight w:val="yellow"/>
        </w:rPr>
        <w:t xml:space="preserve">[other information]</w:t>
      </w:r>
      <w:r>
        <w:rPr>
          <w:rFonts w:ascii="Nunito Sans" w:cs="Nunito Sans" w:eastAsia="Nunito Sans" w:hAnsi="Nunito Sans"/>
          <w:color w:val="102E3B"/>
          <w:sz w:val="20"/>
          <w:szCs w:val="20"/>
        </w:rPr>
        <w:t xml:space="preserve"> was involved.</w:t>
      </w:r>
    </w:p>
    <w:p>
      <w:pPr>
        <w:spacing w:after="120" w:before="0" w:line="300"/>
      </w:pPr>
      <w:r>
        <w:rPr>
          <w:rFonts w:ascii="Nunito Sans" w:cs="Nunito Sans" w:eastAsia="Nunito Sans" w:hAnsi="Nunito Sans"/>
          <w:color w:val="102E3B"/>
          <w:sz w:val="20"/>
          <w:szCs w:val="20"/>
        </w:rPr>
        <w:t xml:space="preserve">As soon as we found out, we </w:t>
      </w:r>
      <w:r>
        <w:rPr>
          <w:rFonts w:ascii="Nunito Sans" w:cs="Nunito Sans" w:eastAsia="Nunito Sans" w:hAnsi="Nunito Sans"/>
          <w:color w:val="102E3B"/>
          <w:sz w:val="20"/>
          <w:szCs w:val="20"/>
          <w:highlight w:val="yellow"/>
        </w:rPr>
        <w:t xml:space="preserve">[actions taken]</w:t>
      </w:r>
      <w:r>
        <w:rPr>
          <w:rFonts w:ascii="Nunito Sans" w:cs="Nunito Sans" w:eastAsia="Nunito Sans" w:hAnsi="Nunito Sans"/>
          <w:color w:val="102E3B"/>
          <w:sz w:val="20"/>
          <w:szCs w:val="20"/>
        </w:rPr>
        <w:t xml:space="preserve">. We have </w:t>
      </w:r>
      <w:r>
        <w:rPr>
          <w:rFonts w:ascii="Nunito Sans" w:cs="Nunito Sans" w:eastAsia="Nunito Sans" w:hAnsi="Nunito Sans"/>
          <w:color w:val="102E3B"/>
          <w:sz w:val="20"/>
          <w:szCs w:val="20"/>
          <w:highlight w:val="yellow"/>
        </w:rPr>
        <w:t xml:space="preserve">[reported this to name of regulator / the police]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This could mean that </w:t>
      </w:r>
      <w:r>
        <w:rPr>
          <w:rFonts w:ascii="Nunito Sans" w:cs="Nunito Sans" w:eastAsia="Nunito Sans" w:hAnsi="Nunito Sans"/>
          <w:color w:val="102E3B"/>
          <w:sz w:val="20"/>
          <w:szCs w:val="20"/>
          <w:highlight w:val="yellow"/>
        </w:rPr>
        <w:t xml:space="preserve">[possible effect]</w:t>
      </w:r>
      <w:r>
        <w:rPr>
          <w:rFonts w:ascii="Nunito Sans" w:cs="Nunito Sans" w:eastAsia="Nunito Sans" w:hAnsi="Nunito Sans"/>
          <w:color w:val="102E3B"/>
          <w:sz w:val="20"/>
          <w:szCs w:val="20"/>
        </w:rPr>
        <w:t xml:space="preserve">. To protect yourself, we suggest you </w:t>
      </w:r>
      <w:r>
        <w:rPr>
          <w:rFonts w:ascii="Nunito Sans" w:cs="Nunito Sans" w:eastAsia="Nunito Sans" w:hAnsi="Nunito Sans"/>
          <w:color w:val="102E3B"/>
          <w:sz w:val="20"/>
          <w:szCs w:val="20"/>
          <w:highlight w:val="yellow"/>
        </w:rPr>
        <w:t xml:space="preserve">[practical steps, for example: be careful of calls asking for personal details; change your password]</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are very sorry this has happened. If you have any questions or concerns, please contact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 / email]</w:t>
      </w:r>
      <w:r>
        <w:rPr>
          <w:rFonts w:ascii="Nunito Sans" w:cs="Nunito Sans" w:eastAsia="Nunito Sans" w:hAnsi="Nunito Sans"/>
          <w:color w:val="102E3B"/>
          <w:sz w:val="20"/>
          <w:szCs w:val="20"/>
        </w:rPr>
        <w:t xml:space="preserve">. You can also contact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[website]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Kind regards,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p>
    <w:p>
      <w:pPr>
        <w:pStyle w:val="Heading3"/>
        <w:keepNext/>
        <w:spacing w:after="80" w:before="200"/>
      </w:pPr>
      <w:r>
        <w:rPr>
          <w:rFonts w:ascii="Nunito Sans" w:cs="Nunito Sans" w:eastAsia="Nunito Sans" w:hAnsi="Nunito Sans"/>
          <w:b/>
          <w:bCs/>
          <w:color w:val="16746E"/>
          <w:sz w:val="21"/>
          <w:szCs w:val="21"/>
        </w:rPr>
        <w:t xml:space="preserve">To funders and partners</w:t>
      </w:r>
    </w:p>
    <w:p>
      <w:pPr>
        <w:spacing w:after="120" w:before="0" w:line="300"/>
      </w:pPr>
      <w:r>
        <w:rPr>
          <w:rFonts w:ascii="Nunito Sans" w:cs="Nunito Sans" w:eastAsia="Nunito Sans" w:hAnsi="Nunito Sans"/>
          <w:color w:val="102E3B"/>
          <w:sz w:val="20"/>
          <w:szCs w:val="20"/>
        </w:rPr>
        <w:t xml:space="preserve">On </w:t>
      </w:r>
      <w:r>
        <w:rPr>
          <w:rFonts w:ascii="Nunito Sans" w:cs="Nunito Sans" w:eastAsia="Nunito Sans" w:hAnsi="Nunito Sans"/>
          <w:color w:val="102E3B"/>
          <w:sz w:val="20"/>
          <w:szCs w:val="20"/>
          <w:highlight w:val="yellow"/>
        </w:rPr>
        <w:t xml:space="preserve">[date and time]</w:t>
      </w:r>
      <w:r>
        <w:rPr>
          <w:rFonts w:ascii="Nunito Sans" w:cs="Nunito Sans" w:eastAsia="Nunito Sans" w:hAnsi="Nunito Sans"/>
          <w:color w:val="102E3B"/>
          <w:sz w:val="20"/>
          <w:szCs w:val="20"/>
        </w:rPr>
        <w:t xml:space="preserve"> we became aware of a data breach involving </w:t>
      </w:r>
      <w:r>
        <w:rPr>
          <w:rFonts w:ascii="Nunito Sans" w:cs="Nunito Sans" w:eastAsia="Nunito Sans" w:hAnsi="Nunito Sans"/>
          <w:color w:val="102E3B"/>
          <w:sz w:val="20"/>
          <w:szCs w:val="20"/>
          <w:highlight w:val="yellow"/>
        </w:rPr>
        <w:t xml:space="preserve">[information]</w:t>
      </w:r>
      <w:r>
        <w:rPr>
          <w:rFonts w:ascii="Nunito Sans" w:cs="Nunito Sans" w:eastAsia="Nunito Sans" w:hAnsi="Nunito Sans"/>
          <w:color w:val="102E3B"/>
          <w:sz w:val="20"/>
          <w:szCs w:val="20"/>
        </w:rPr>
        <w:t xml:space="preserve"> relating to </w:t>
      </w:r>
      <w:r>
        <w:rPr>
          <w:rFonts w:ascii="Nunito Sans" w:cs="Nunito Sans" w:eastAsia="Nunito Sans" w:hAnsi="Nunito Sans"/>
          <w:color w:val="102E3B"/>
          <w:sz w:val="20"/>
          <w:szCs w:val="20"/>
          <w:highlight w:val="yellow"/>
        </w:rPr>
        <w:t xml:space="preserve">[project or agreement]</w:t>
      </w:r>
      <w:r>
        <w:rPr>
          <w:rFonts w:ascii="Nunito Sans" w:cs="Nunito Sans" w:eastAsia="Nunito Sans" w:hAnsi="Nunito Sans"/>
          <w:color w:val="102E3B"/>
          <w:sz w:val="20"/>
          <w:szCs w:val="20"/>
        </w:rPr>
        <w:t xml:space="preserve">. We have </w:t>
      </w:r>
      <w:r>
        <w:rPr>
          <w:rFonts w:ascii="Nunito Sans" w:cs="Nunito Sans" w:eastAsia="Nunito Sans" w:hAnsi="Nunito Sans"/>
          <w:color w:val="102E3B"/>
          <w:sz w:val="20"/>
          <w:szCs w:val="20"/>
          <w:highlight w:val="yellow"/>
        </w:rPr>
        <w:t xml:space="preserve">[containment actions]</w:t>
      </w:r>
      <w:r>
        <w:rPr>
          <w:rFonts w:ascii="Nunito Sans" w:cs="Nunito Sans" w:eastAsia="Nunito Sans" w:hAnsi="Nunito Sans"/>
          <w:color w:val="102E3B"/>
          <w:sz w:val="20"/>
          <w:szCs w:val="20"/>
        </w:rPr>
        <w:t xml:space="preserve"> and assessed the risk to people as </w:t>
      </w:r>
      <w:r>
        <w:rPr>
          <w:rFonts w:ascii="Nunito Sans" w:cs="Nunito Sans" w:eastAsia="Nunito Sans" w:hAnsi="Nunito Sans"/>
          <w:color w:val="102E3B"/>
          <w:sz w:val="20"/>
          <w:szCs w:val="20"/>
          <w:highlight w:val="yellow"/>
        </w:rPr>
        <w:t xml:space="preserve">[rating]</w:t>
      </w:r>
      <w:r>
        <w:rPr>
          <w:rFonts w:ascii="Nunito Sans" w:cs="Nunito Sans" w:eastAsia="Nunito Sans" w:hAnsi="Nunito Sans"/>
          <w:color w:val="102E3B"/>
          <w:sz w:val="20"/>
          <w:szCs w:val="20"/>
        </w:rPr>
        <w:t xml:space="preserve">. We </w:t>
      </w:r>
      <w:r>
        <w:rPr>
          <w:rFonts w:ascii="Nunito Sans" w:cs="Nunito Sans" w:eastAsia="Nunito Sans" w:hAnsi="Nunito Sans"/>
          <w:color w:val="102E3B"/>
          <w:sz w:val="20"/>
          <w:szCs w:val="20"/>
          <w:highlight w:val="yellow"/>
        </w:rPr>
        <w:t xml:space="preserve">[have / have not]</w:t>
      </w:r>
      <w:r>
        <w:rPr>
          <w:rFonts w:ascii="Nunito Sans" w:cs="Nunito Sans" w:eastAsia="Nunito Sans" w:hAnsi="Nunito Sans"/>
          <w:color w:val="102E3B"/>
          <w:sz w:val="20"/>
          <w:szCs w:val="20"/>
        </w:rPr>
        <w:t xml:space="preserve"> notified </w:t>
      </w:r>
      <w:r>
        <w:rPr>
          <w:rFonts w:ascii="Nunito Sans" w:cs="Nunito Sans" w:eastAsia="Nunito Sans" w:hAnsi="Nunito Sans"/>
          <w:color w:val="102E3B"/>
          <w:sz w:val="20"/>
          <w:szCs w:val="20"/>
          <w:highlight w:val="yellow"/>
        </w:rPr>
        <w:t xml:space="preserve">[regulator]</w:t>
      </w:r>
      <w:r>
        <w:rPr>
          <w:rFonts w:ascii="Nunito Sans" w:cs="Nunito Sans" w:eastAsia="Nunito Sans" w:hAnsi="Nunito Sans"/>
          <w:color w:val="102E3B"/>
          <w:sz w:val="20"/>
          <w:szCs w:val="20"/>
        </w:rPr>
        <w:t xml:space="preserve"> and </w:t>
      </w:r>
      <w:r>
        <w:rPr>
          <w:rFonts w:ascii="Nunito Sans" w:cs="Nunito Sans" w:eastAsia="Nunito Sans" w:hAnsi="Nunito Sans"/>
          <w:color w:val="102E3B"/>
          <w:sz w:val="20"/>
          <w:szCs w:val="20"/>
          <w:highlight w:val="yellow"/>
        </w:rPr>
        <w:t xml:space="preserve">[the people affected]</w:t>
      </w:r>
      <w:r>
        <w:rPr>
          <w:rFonts w:ascii="Nunito Sans" w:cs="Nunito Sans" w:eastAsia="Nunito Sans" w:hAnsi="Nunito Sans"/>
          <w:color w:val="102E3B"/>
          <w:sz w:val="20"/>
          <w:szCs w:val="20"/>
        </w:rPr>
        <w:t xml:space="preserve">. We will send an update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Contact: </w:t>
      </w:r>
      <w:r>
        <w:rPr>
          <w:rFonts w:ascii="Nunito Sans" w:cs="Nunito Sans" w:eastAsia="Nunito Sans" w:hAnsi="Nunito Sans"/>
          <w:color w:val="102E3B"/>
          <w:sz w:val="20"/>
          <w:szCs w:val="20"/>
          <w:highlight w:val="yellow"/>
        </w:rPr>
        <w:t xml:space="preserve">[Name, role, phone]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Data Breach Response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D98479E-3018-AC81-E41D-41349B3DC1C3}"/>
  </w:font>
  <w:font w:name="DM Serif Display">
    <w:family w:val="auto"/>
    <w:pitch w:val="variable"/>
    <w:sig w:usb0="E0002AFF" w:usb1="C000247B" w:usb2="00000009" w:usb3="00000000" w:csb0="000001FF" w:csb1="00000000"/>
    <w:embedRegular r:id="rId2" w:fontKey="{86120591-487C-E358-C5EE-445BCFA1B70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Data Breach Response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DATA BREACH RESPONSE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Breach Response Procedure</dc:title>
  <dc:creator>Method into Impact</dc:creator>
  <dc:description>What [[Organisation name]] does in the first hour, the first day and the first three days after personal information is lost, stolen, exposed or sent to the wrong person.</dc:description>
  <cp:lastModifiedBy>Un-named</cp:lastModifiedBy>
  <cp:revision>1</cp:revision>
  <dcterms:created xsi:type="dcterms:W3CDTF">2026-10-29T06:09:11.785Z</dcterms:created>
  <dcterms:modified xsi:type="dcterms:W3CDTF">2026-10-29T06:09:11.785Z</dcterms:modified>
</cp:coreProperties>
</file>

<file path=docProps/custom.xml><?xml version="1.0" encoding="utf-8"?>
<Properties xmlns="http://schemas.openxmlformats.org/officeDocument/2006/custom-properties" xmlns:vt="http://schemas.openxmlformats.org/officeDocument/2006/docPropsVTypes"/>
</file>