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PROCEDURE TEMPLATE · PEOPLE AND EMPLOYMENT</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Disciplinary and Grievance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deals fairly with concerns about an employee's conduct, and how employees can raise a problem about their own work and get a fair, timely answer.</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clear disciplinary and grievance procedure means problems are dealt with early, consistently and lawfully, and nobody is warned or dismissed without knowing the allegation and having a fair chance to respond. Your Code of Conduct, Safeguarding Policy and Procedure and Employment Contract all rely on it. In many countries a dismissal without a fair procedure is unlawful even when the reason is good.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Labour authorities and employment courts; funders and international NGO partners in due diligence; new employees; your board; auditors reviewing safeguarding and fraud cases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to adapt, plus local legal review of the disciplinary steps and timescales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4 (people and culture); 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Employment Contract · Code of Conduct · Safeguarding Policy and Procedure · Anti-Harassment, Intimidation and Bullying Policy and Procedure · Whistleblowing Policy and Procedure · Fraud, Bribery and Corruption Policy and Procedure · Independent Contact Role Note · Volunteer Agreement · Independent Contractor Agreement · Delegation of Authority Matrix · Records Retention Schedule · Data Protection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Disciplinary and Grievance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Employees of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including during probation. Volunteers, interns, board members and contractors are covered as set out in "Who this procedure applies 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[hr@yourorganisation.org]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[Name, role]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procedure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Principles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Invitation to an investigation meeting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A: Disciplinary procedure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Invitation to a disciplinary hearing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B: Grievance procedure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C: Disciplinary outcome letter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D: Appeal outcome letter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E: Grievance form</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F: Hearing record</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procedure. We will expand it as we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people lead.</w:t>
            </w:r>
            <w:r>
              <w:rPr>
                <w:rFonts w:ascii="Nunito Sans" w:cs="Nunito Sans" w:eastAsia="Nunito Sans" w:hAnsi="Nunito Sans"/>
                <w:color w:val="102E3B"/>
                <w:sz w:val="19"/>
                <w:szCs w:val="19"/>
              </w:rPr>
              <w:t xml:space="preserve"> They advise managers, make sure this procedure is followed, arrange investigators and keep the records.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makes disciplinary decisions</w:t>
            </w:r>
            <w:r>
              <w:rPr>
                <w:rFonts w:ascii="Nunito Sans" w:cs="Nunito Sans" w:eastAsia="Nunito Sans" w:hAnsi="Nunito Sans"/>
                <w:color w:val="102E3B"/>
                <w:sz w:val="19"/>
                <w:szCs w:val="19"/>
              </w:rPr>
              <w:t xml:space="preserve"> and hears formal grievances, unless they are involved in the matter.</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 for example the chair of the board]</w:t>
            </w:r>
            <w:r>
              <w:rPr>
                <w:rFonts w:ascii="Nunito Sans" w:cs="Nunito Sans" w:eastAsia="Nunito Sans" w:hAnsi="Nunito Sans"/>
                <w:b/>
                <w:bCs/>
                <w:color w:val="102E3B"/>
                <w:sz w:val="19"/>
                <w:szCs w:val="19"/>
              </w:rPr>
              <w:t xml:space="preserve"> hears appeals</w:t>
            </w:r>
            <w:r>
              <w:rPr>
                <w:rFonts w:ascii="Nunito Sans" w:cs="Nunito Sans" w:eastAsia="Nunito Sans" w:hAnsi="Nunito Sans"/>
                <w:color w:val="102E3B"/>
                <w:sz w:val="19"/>
                <w:szCs w:val="19"/>
              </w:rPr>
              <w:t xml:space="preserve"> and handles any disciplinary matter or grievance about the director or founder, with our independent contact where needed.</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procedure</w:t>
            </w:r>
            <w:r>
              <w:rPr>
                <w:rFonts w:ascii="Nunito Sans" w:cs="Nunito Sans" w:eastAsia="Nunito Sans" w:hAnsi="Nunito Sans"/>
                <w:color w:val="102E3B"/>
                <w:sz w:val="19"/>
                <w:szCs w:val="19"/>
              </w:rPr>
              <w:t xml:space="preserve"> at least once a year, after any dismissal or formal grievance, and when employment law changes.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In a team of three to ten people, the director usually decides disciplinary cases and hears grievances, and a board member hears appeals. Nobody should investigate, decide and hear the appeal in the same case. If you cannot keep these roles separate internally, agree in advance who you will call: a board member, your independent contact (see the Independent Contact Role Note), an external HR adviser or an employment lawyer. Check that your Delegation of Authority Matrix says who may dismiss.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Most problems are solved early through an honest conversation, support and clear expectations.</w:t>
            </w:r>
          </w:p>
          <w:p>
            <w:pPr>
              <w:pStyle w:val="ListParagraph"/>
              <w:numPr>
                <w:ilvl w:val="0"/>
                <w:numId w:val="3"/>
              </w:numPr>
              <w:spacing w:after="80" w:line="290"/>
            </w:pPr>
            <w:r>
              <w:rPr>
                <w:rFonts w:ascii="Nunito Sans" w:cs="Nunito Sans" w:eastAsia="Nunito Sans" w:hAnsi="Nunito Sans"/>
                <w:color w:val="102E3B"/>
                <w:sz w:val="19"/>
                <w:szCs w:val="19"/>
              </w:rPr>
              <w:t xml:space="preserve">Before any formal action, you are told the allegation in writing, see the evidence and have a fair chance to respond at a meeting.</w:t>
            </w:r>
          </w:p>
          <w:p>
            <w:pPr>
              <w:pStyle w:val="ListParagraph"/>
              <w:numPr>
                <w:ilvl w:val="0"/>
                <w:numId w:val="3"/>
              </w:numPr>
              <w:spacing w:after="80" w:line="290"/>
            </w:pPr>
            <w:r>
              <w:rPr>
                <w:rFonts w:ascii="Nunito Sans" w:cs="Nunito Sans" w:eastAsia="Nunito Sans" w:hAnsi="Nunito Sans"/>
                <w:color w:val="102E3B"/>
                <w:sz w:val="19"/>
                <w:szCs w:val="19"/>
              </w:rPr>
              <w:t xml:space="preserve">You may bring </w:t>
            </w:r>
            <w:r>
              <w:rPr>
                <w:rFonts w:ascii="Nunito Sans" w:cs="Nunito Sans" w:eastAsia="Nunito Sans" w:hAnsi="Nunito Sans"/>
                <w:color w:val="102E3B"/>
                <w:sz w:val="19"/>
                <w:szCs w:val="19"/>
                <w:highlight w:val="yellow"/>
              </w:rPr>
              <w:t xml:space="preserve">[a colleague or trade union representative]</w:t>
            </w:r>
            <w:r>
              <w:rPr>
                <w:rFonts w:ascii="Nunito Sans" w:cs="Nunito Sans" w:eastAsia="Nunito Sans" w:hAnsi="Nunito Sans"/>
                <w:color w:val="102E3B"/>
                <w:sz w:val="19"/>
                <w:szCs w:val="19"/>
              </w:rPr>
              <w:t xml:space="preserve"> to formal meetings.</w:t>
            </w:r>
          </w:p>
          <w:p>
            <w:pPr>
              <w:pStyle w:val="ListParagraph"/>
              <w:numPr>
                <w:ilvl w:val="0"/>
                <w:numId w:val="3"/>
              </w:numPr>
              <w:spacing w:after="80" w:line="290"/>
            </w:pPr>
            <w:r>
              <w:rPr>
                <w:rFonts w:ascii="Nunito Sans" w:cs="Nunito Sans" w:eastAsia="Nunito Sans" w:hAnsi="Nunito Sans"/>
                <w:color w:val="102E3B"/>
                <w:sz w:val="19"/>
                <w:szCs w:val="19"/>
              </w:rPr>
              <w:t xml:space="preserve">Nobody decides a case they are involved in. Investigation and decision are kept separate where possible.</w:t>
            </w:r>
          </w:p>
          <w:p>
            <w:pPr>
              <w:pStyle w:val="ListParagraph"/>
              <w:numPr>
                <w:ilvl w:val="0"/>
                <w:numId w:val="3"/>
              </w:numPr>
              <w:spacing w:after="80" w:line="290"/>
            </w:pPr>
            <w:r>
              <w:rPr>
                <w:rFonts w:ascii="Nunito Sans" w:cs="Nunito Sans" w:eastAsia="Nunito Sans" w:hAnsi="Nunito Sans"/>
                <w:color w:val="102E3B"/>
                <w:sz w:val="19"/>
                <w:szCs w:val="19"/>
              </w:rPr>
              <w:t xml:space="preserve">Suspension is on full pay, is not a finding of wrongdoing and is kept as short as possible.</w:t>
            </w:r>
          </w:p>
          <w:p>
            <w:pPr>
              <w:pStyle w:val="ListParagraph"/>
              <w:numPr>
                <w:ilvl w:val="0"/>
                <w:numId w:val="3"/>
              </w:numPr>
              <w:spacing w:after="80" w:line="290"/>
            </w:pPr>
            <w:r>
              <w:rPr>
                <w:rFonts w:ascii="Nunito Sans" w:cs="Nunito Sans" w:eastAsia="Nunito Sans" w:hAnsi="Nunito Sans"/>
                <w:color w:val="102E3B"/>
                <w:sz w:val="19"/>
                <w:szCs w:val="19"/>
              </w:rPr>
              <w:t xml:space="preserve">Sexual exploitation, abuse and harassment, fraud and serious data breaches are gross misconduct.</w:t>
            </w:r>
          </w:p>
          <w:p>
            <w:pPr>
              <w:pStyle w:val="ListParagraph"/>
              <w:numPr>
                <w:ilvl w:val="0"/>
                <w:numId w:val="3"/>
              </w:numPr>
              <w:spacing w:after="80" w:line="290"/>
            </w:pPr>
            <w:r>
              <w:rPr>
                <w:rFonts w:ascii="Nunito Sans" w:cs="Nunito Sans" w:eastAsia="Nunito Sans" w:hAnsi="Nunito Sans"/>
                <w:color w:val="102E3B"/>
                <w:sz w:val="19"/>
                <w:szCs w:val="19"/>
              </w:rPr>
              <w:t xml:space="preserve">We acknowledge a formal grievance within </w:t>
            </w:r>
            <w:r>
              <w:rPr>
                <w:rFonts w:ascii="Nunito Sans" w:cs="Nunito Sans" w:eastAsia="Nunito Sans" w:hAnsi="Nunito Sans"/>
                <w:color w:val="102E3B"/>
                <w:sz w:val="19"/>
                <w:szCs w:val="19"/>
                <w:highlight w:val="yellow"/>
              </w:rPr>
              <w:t xml:space="preserve">[2 working days]</w:t>
            </w:r>
            <w:r>
              <w:rPr>
                <w:rFonts w:ascii="Nunito Sans" w:cs="Nunito Sans" w:eastAsia="Nunito Sans" w:hAnsi="Nunito Sans"/>
                <w:color w:val="102E3B"/>
                <w:sz w:val="19"/>
                <w:szCs w:val="19"/>
              </w:rPr>
              <w:t xml:space="preserve"> and meet you within </w:t>
            </w:r>
            <w:r>
              <w:rPr>
                <w:rFonts w:ascii="Nunito Sans" w:cs="Nunito Sans" w:eastAsia="Nunito Sans" w:hAnsi="Nunito Sans"/>
                <w:color w:val="102E3B"/>
                <w:sz w:val="19"/>
                <w:szCs w:val="19"/>
                <w:highlight w:val="yellow"/>
              </w:rPr>
              <w:t xml:space="preserve">[10 working days]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You can appeal any formal decision within </w:t>
            </w:r>
            <w:r>
              <w:rPr>
                <w:rFonts w:ascii="Nunito Sans" w:cs="Nunito Sans" w:eastAsia="Nunito Sans" w:hAnsi="Nunito Sans"/>
                <w:color w:val="102E3B"/>
                <w:sz w:val="19"/>
                <w:szCs w:val="19"/>
                <w:highlight w:val="yellow"/>
              </w:rPr>
              <w:t xml:space="preserve">[10 working days]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Grievances about the director go to </w:t>
            </w:r>
            <w:r>
              <w:rPr>
                <w:rFonts w:ascii="Nunito Sans" w:cs="Nunito Sans" w:eastAsia="Nunito Sans" w:hAnsi="Nunito Sans"/>
                <w:color w:val="102E3B"/>
                <w:sz w:val="19"/>
                <w:szCs w:val="19"/>
                <w:highlight w:val="yellow"/>
              </w:rPr>
              <w:t xml:space="preserve">[Name, role]</w:t>
            </w:r>
            <w:r>
              <w:rPr>
                <w:rFonts w:ascii="Nunito Sans" w:cs="Nunito Sans" w:eastAsia="Nunito Sans" w:hAnsi="Nunito Sans"/>
                <w:color w:val="102E3B"/>
                <w:sz w:val="19"/>
                <w:szCs w:val="19"/>
              </w:rPr>
              <w:t xml:space="preserve">. Harassment complaints follow the Anti-Harassment, Intimidation and Bullying Policy and Procedure.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procedure applies to</w:t>
      </w:r>
    </w:p>
    <w:p>
      <w:pPr>
        <w:spacing w:after="120" w:before="0" w:line="300"/>
      </w:pPr>
      <w:r>
        <w:rPr>
          <w:rFonts w:ascii="Nunito Sans" w:cs="Nunito Sans" w:eastAsia="Nunito Sans" w:hAnsi="Nunito Sans"/>
          <w:color w:val="102E3B"/>
          <w:sz w:val="20"/>
          <w:szCs w:val="20"/>
        </w:rPr>
        <w:t xml:space="preserve">This procedure applies to everyone employed by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including part-time, fixed-term and probationary employees. Part A covers concerns about conduct. Part B covers grievances employees raise about their own work.</w:t>
      </w:r>
    </w:p>
    <w:p>
      <w:pPr>
        <w:spacing w:after="120" w:before="0" w:line="300"/>
      </w:pPr>
      <w:r>
        <w:rPr>
          <w:rFonts w:ascii="Nunito Sans" w:cs="Nunito Sans" w:eastAsia="Nunito Sans" w:hAnsi="Nunito Sans"/>
          <w:color w:val="102E3B"/>
          <w:sz w:val="20"/>
          <w:szCs w:val="20"/>
        </w:rPr>
        <w:t xml:space="preserve">It does not cover redundancy, the end of a fixed-term contract or ill health, which follow the law and a fair process of their own. Poor performance is handled first through support (section 1).</w:t>
      </w:r>
    </w:p>
    <w:p>
      <w:pPr>
        <w:spacing w:after="120" w:before="0" w:line="300"/>
      </w:pPr>
      <w:r>
        <w:rPr>
          <w:rFonts w:ascii="Nunito Sans" w:cs="Nunito Sans" w:eastAsia="Nunito Sans" w:hAnsi="Nunito Sans"/>
          <w:b/>
          <w:bCs/>
          <w:color w:val="102E3B"/>
          <w:sz w:val="20"/>
          <w:szCs w:val="20"/>
        </w:rPr>
        <w:t xml:space="preserve">Other policies come first in some cases.</w:t>
      </w:r>
      <w:r>
        <w:rPr>
          <w:rFonts w:ascii="Nunito Sans" w:cs="Nunito Sans" w:eastAsia="Nunito Sans" w:hAnsi="Nunito Sans"/>
          <w:color w:val="102E3B"/>
          <w:sz w:val="20"/>
          <w:szCs w:val="20"/>
        </w:rPr>
        <w:t xml:space="preserve"> Harassment, bullying or discrimination complaints follow the Anti-Harassment, Intimidation and Bullying Policy and Procedure. Safeguarding concerns are reported under the Safeguarding Policy and Procedure, and suspected fraud under the Fraud, Bribery and Corruption Policy and Procedure. Wider wrongdoing can be raised under the Whistleblowing Policy and Procedure. If one of those processes finds misconduct, any disciplinary action follows Part A. Its investigation report serves as the investigation in section 5, so the person who raised the concern is not asked to give their account again.</w:t>
      </w:r>
    </w:p>
    <w:p>
      <w:pPr>
        <w:spacing w:after="120" w:before="0" w:line="300"/>
      </w:pPr>
      <w:r>
        <w:rPr>
          <w:rFonts w:ascii="Nunito Sans" w:cs="Nunito Sans" w:eastAsia="Nunito Sans" w:hAnsi="Nunito Sans"/>
          <w:b/>
          <w:bCs/>
          <w:color w:val="102E3B"/>
          <w:sz w:val="20"/>
          <w:szCs w:val="20"/>
        </w:rPr>
        <w:t xml:space="preserve">Volunteers, interns, board members and contractors</w:t>
      </w:r>
      <w:r>
        <w:rPr>
          <w:rFonts w:ascii="Nunito Sans" w:cs="Nunito Sans" w:eastAsia="Nunito Sans" w:hAnsi="Nunito Sans"/>
          <w:color w:val="102E3B"/>
          <w:sz w:val="20"/>
          <w:szCs w:val="20"/>
        </w:rPr>
        <w:t xml:space="preserve"> are not disciplined as employees. We handle concerns about them fairly under their own agreement: the Volunteer Agreement, the Independent Contractor Agreement, an intern's agreement, or our governing document for board members.</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employs people in </w:t>
      </w:r>
      <w:r>
        <w:rPr>
          <w:rFonts w:ascii="Nunito Sans" w:cs="Nunito Sans" w:eastAsia="Nunito Sans" w:hAnsi="Nunito Sans"/>
          <w:color w:val="102E3B"/>
          <w:sz w:val="20"/>
          <w:szCs w:val="20"/>
          <w:highlight w:val="yellow"/>
        </w:rPr>
        <w:t xml:space="preserve">[country / countries]</w:t>
      </w:r>
      <w:r>
        <w:rPr>
          <w:rFonts w:ascii="Nunito Sans" w:cs="Nunito Sans" w:eastAsia="Nunito Sans" w:hAnsi="Nunito Sans"/>
          <w:color w:val="102E3B"/>
          <w:sz w:val="20"/>
          <w:szCs w:val="20"/>
        </w:rPr>
        <w:t xml:space="preserve"> and follows the employment law where each employee works. Where this procedure gives less protection than the law, the law applies. Nothing here limits anyone's right to go to a labour authority, conciliation service or court.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COUNTRIES</w:t>
            </w:r>
          </w:p>
          <w:p>
            <w:pPr>
              <w:spacing w:after="120" w:before="0" w:line="300"/>
            </w:pPr>
            <w:r>
              <w:rPr>
                <w:rFonts w:ascii="Nunito Sans" w:cs="Nunito Sans" w:eastAsia="Nunito Sans" w:hAnsi="Nunito Sans"/>
                <w:color w:val="102E3B"/>
                <w:sz w:val="19"/>
                <w:szCs w:val="19"/>
              </w:rPr>
              <w:t xml:space="preserve">Dismissal law is strict and local: have a local employment lawyer check this procedure. Country notes to confirm locally:</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Kingdom:</w:t>
            </w:r>
            <w:r>
              <w:rPr>
                <w:rFonts w:ascii="Nunito Sans" w:cs="Nunito Sans" w:eastAsia="Nunito Sans" w:hAnsi="Nunito Sans"/>
                <w:color w:val="102E3B"/>
                <w:sz w:val="19"/>
                <w:szCs w:val="19"/>
              </w:rPr>
              <w:t xml:space="preserve"> follow the Acas Code of Practice on disciplinary and grievance procedures. Tribunals can adjust awards by up to 25% for unreasonable failure to follow it. Workers have a statutory right to be accompanied at formal disciplinary and grievance hearings by a fellow worker or trade union official (Employment Relations Act 1999, section 10). Acas consulted on a revised draft Code from July to September 2026, which stresses informal resolution first and limits suspension: check which version is in force. The Employment Rights Act 2025 cuts the qualifying period for unfair dismissal to six months, for dismissals from 1 January 2027.</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w:t>
            </w:r>
            <w:r>
              <w:rPr>
                <w:rFonts w:ascii="Nunito Sans" w:cs="Nunito Sans" w:eastAsia="Nunito Sans" w:hAnsi="Nunito Sans"/>
                <w:color w:val="102E3B"/>
                <w:sz w:val="19"/>
                <w:szCs w:val="19"/>
              </w:rPr>
              <w:t xml:space="preserve"> before terminating for misconduct, poor performance or physical incapacity, the employer must explain the reason in a language the employee understands, allow another employee or shop floor union representative of their choice to be present, and hear their representations (Employment Act 2007, section 41). Courts treat skipping these steps as making a dismissal unfair.</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a new Code of Good Practice: Dismissal came into force on 4 September 2025, replacing Schedule 8 to the Labour Relations Act 1995 and the separate code on dismissals for operational requirements. For misconduct, the employee must be told the allegations, have time to prepare and be able to respond, and be told the decision. Small employers may use simpler processes. A hearing remains wise if a dismissal may be challenged at the CCMA.</w:t>
            </w:r>
          </w:p>
          <w:p>
            <w:pPr>
              <w:pStyle w:val="ListParagraph"/>
              <w:numPr>
                <w:ilvl w:val="0"/>
                <w:numId w:val="3"/>
              </w:numPr>
              <w:spacing w:after="80" w:line="290"/>
            </w:pPr>
            <w:r>
              <w:rPr>
                <w:rFonts w:ascii="Nunito Sans" w:cs="Nunito Sans" w:eastAsia="Nunito Sans" w:hAnsi="Nunito Sans"/>
                <w:b/>
                <w:bCs/>
                <w:color w:val="102E3B"/>
                <w:sz w:val="19"/>
                <w:szCs w:val="19"/>
              </w:rPr>
              <w:t xml:space="preserve">Philippines:</w:t>
            </w:r>
            <w:r>
              <w:rPr>
                <w:rFonts w:ascii="Nunito Sans" w:cs="Nunito Sans" w:eastAsia="Nunito Sans" w:hAnsi="Nunito Sans"/>
                <w:color w:val="102E3B"/>
                <w:sz w:val="19"/>
                <w:szCs w:val="19"/>
              </w:rPr>
              <w:t xml:space="preserve"> dismissal for a just cause follows the twin-notice rule. A first written notice states the specific grounds and facts and gives at least five calendar days to reply. The employee has an ample opportunity to be heard, with a representative if they wish. A second written notice gives the decision and reasons.</w:t>
            </w:r>
          </w:p>
          <w:p>
            <w:pPr>
              <w:pStyle w:val="ListParagraph"/>
              <w:numPr>
                <w:ilvl w:val="0"/>
                <w:numId w:val="3"/>
              </w:numPr>
              <w:spacing w:after="80" w:line="290"/>
            </w:pPr>
            <w:r>
              <w:rPr>
                <w:rFonts w:ascii="Nunito Sans" w:cs="Nunito Sans" w:eastAsia="Nunito Sans" w:hAnsi="Nunito Sans"/>
                <w:b/>
                <w:bCs/>
                <w:color w:val="102E3B"/>
                <w:sz w:val="19"/>
                <w:szCs w:val="19"/>
              </w:rPr>
              <w:t xml:space="preserve">Uganda:</w:t>
            </w:r>
            <w:r>
              <w:rPr>
                <w:rFonts w:ascii="Nunito Sans" w:cs="Nunito Sans" w:eastAsia="Nunito Sans" w:hAnsi="Nunito Sans"/>
                <w:color w:val="102E3B"/>
                <w:sz w:val="19"/>
                <w:szCs w:val="19"/>
              </w:rPr>
              <w:t xml:space="preserve"> the Employment Act 2006 (section 66) requires the employer to explain the reason in a language the employee understands, allow a person of their choice to be present, and hear their representations before dismissing for misconduct or poor performance.</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the four Labour Codes took effect on 21 November 2025. Under the Industrial Relations Code 2020, standing orders apply to establishments with 300 or more workers, and those with 20 or more need a grievance redressal mechanism. Check your state's current rules.</w:t>
            </w:r>
          </w:p>
          <w:p>
            <w:pPr>
              <w:pStyle w:val="ListParagraph"/>
              <w:numPr>
                <w:ilvl w:val="0"/>
                <w:numId w:val="3"/>
              </w:numPr>
              <w:spacing w:after="80" w:line="290"/>
            </w:pPr>
            <w:r>
              <w:rPr>
                <w:rFonts w:ascii="Nunito Sans" w:cs="Nunito Sans" w:eastAsia="Nunito Sans" w:hAnsi="Nunito Sans"/>
                <w:b/>
                <w:bCs/>
                <w:color w:val="102E3B"/>
                <w:sz w:val="19"/>
                <w:szCs w:val="19"/>
              </w:rPr>
              <w:t xml:space="preserve">Brazil:</w:t>
            </w:r>
            <w:r>
              <w:rPr>
                <w:rFonts w:ascii="Nunito Sans" w:cs="Nunito Sans" w:eastAsia="Nunito Sans" w:hAnsi="Nunito Sans"/>
                <w:color w:val="102E3B"/>
                <w:sz w:val="19"/>
                <w:szCs w:val="19"/>
              </w:rPr>
              <w:t xml:space="preserve"> dismissal for just cause (justa causa) is possible only on the grounds in Article 482 of the Consolidation of Labour Laws (CLT), and the employer must act promptly.</w:t>
            </w:r>
          </w:p>
          <w:p>
            <w:pPr>
              <w:pStyle w:val="ListParagraph"/>
              <w:numPr>
                <w:ilvl w:val="0"/>
                <w:numId w:val="3"/>
              </w:numPr>
              <w:spacing w:after="80" w:line="290"/>
            </w:pPr>
            <w:r>
              <w:rPr>
                <w:rFonts w:ascii="Nunito Sans" w:cs="Nunito Sans" w:eastAsia="Nunito Sans" w:hAnsi="Nunito Sans"/>
                <w:b/>
                <w:bCs/>
                <w:color w:val="102E3B"/>
                <w:sz w:val="19"/>
                <w:szCs w:val="19"/>
              </w:rPr>
              <w:t xml:space="preserve">Elsewhere,</w:t>
            </w:r>
            <w:r>
              <w:rPr>
                <w:rFonts w:ascii="Nunito Sans" w:cs="Nunito Sans" w:eastAsia="Nunito Sans" w:hAnsi="Nunito Sans"/>
                <w:color w:val="102E3B"/>
                <w:sz w:val="19"/>
                <w:szCs w:val="19"/>
              </w:rPr>
              <w:t xml:space="preserve"> for example Nigeria, Ghana, Indonesia, Peru or Argentina: check your local law on notice before dismissal, hearings, representation, warnings and severance.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VOLUNTEERS, INTERNS, BOARD MEMBERS AND CONTRACTORS</w:t>
            </w:r>
          </w:p>
          <w:p>
            <w:pPr>
              <w:spacing w:after="120" w:before="0" w:line="300"/>
            </w:pPr>
            <w:r>
              <w:rPr>
                <w:rFonts w:ascii="Nunito Sans" w:cs="Nunito Sans" w:eastAsia="Nunito Sans" w:hAnsi="Nunito Sans"/>
                <w:color w:val="102E3B"/>
                <w:sz w:val="19"/>
                <w:szCs w:val="19"/>
              </w:rPr>
              <w:t xml:space="preserve">Keep these groups out of the disciplinary procedure: warnings and hearings can make a volunteer or contractor look like an employee in law. Their agreements should say how concerns are raised and how the arrangement can be paused or ended. Paid interns can be employees in some countries: check your local law on internships.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Principles</w:t>
      </w:r>
    </w:p>
    <w:p>
      <w:pPr>
        <w:pStyle w:val="ListParagraph"/>
        <w:numPr>
          <w:ilvl w:val="0"/>
          <w:numId w:val="4"/>
        </w:numPr>
        <w:spacing w:after="80" w:line="290"/>
      </w:pPr>
      <w:r>
        <w:rPr>
          <w:rFonts w:ascii="Nunito Sans" w:cs="Nunito Sans" w:eastAsia="Nunito Sans" w:hAnsi="Nunito Sans"/>
          <w:b/>
          <w:bCs/>
          <w:color w:val="102E3B"/>
          <w:sz w:val="20"/>
          <w:szCs w:val="20"/>
        </w:rPr>
        <w:t xml:space="preserve">Fairness and consistency.</w:t>
      </w:r>
      <w:r>
        <w:rPr>
          <w:rFonts w:ascii="Nunito Sans" w:cs="Nunito Sans" w:eastAsia="Nunito Sans" w:hAnsi="Nunito Sans"/>
          <w:color w:val="102E3B"/>
          <w:sz w:val="20"/>
          <w:szCs w:val="20"/>
        </w:rPr>
        <w:t xml:space="preserve"> Similar cases are treated in a similar way, whoever is involved.</w:t>
      </w:r>
    </w:p>
    <w:p>
      <w:pPr>
        <w:pStyle w:val="ListParagraph"/>
        <w:numPr>
          <w:ilvl w:val="0"/>
          <w:numId w:val="4"/>
        </w:numPr>
        <w:spacing w:after="80" w:line="290"/>
      </w:pPr>
      <w:r>
        <w:rPr>
          <w:rFonts w:ascii="Nunito Sans" w:cs="Nunito Sans" w:eastAsia="Nunito Sans" w:hAnsi="Nunito Sans"/>
          <w:b/>
          <w:bCs/>
          <w:color w:val="102E3B"/>
          <w:sz w:val="20"/>
          <w:szCs w:val="20"/>
        </w:rPr>
        <w:t xml:space="preserve">Proportionality.</w:t>
      </w:r>
      <w:r>
        <w:rPr>
          <w:rFonts w:ascii="Nunito Sans" w:cs="Nunito Sans" w:eastAsia="Nunito Sans" w:hAnsi="Nunito Sans"/>
          <w:color w:val="102E3B"/>
          <w:sz w:val="20"/>
          <w:szCs w:val="20"/>
        </w:rPr>
        <w:t xml:space="preserve"> The response matches the seriousness of the conduct, the person's record and any mitigating factors.</w:t>
      </w:r>
    </w:p>
    <w:p>
      <w:pPr>
        <w:pStyle w:val="ListParagraph"/>
        <w:numPr>
          <w:ilvl w:val="0"/>
          <w:numId w:val="4"/>
        </w:numPr>
        <w:spacing w:after="80" w:line="290"/>
      </w:pPr>
      <w:r>
        <w:rPr>
          <w:rFonts w:ascii="Nunito Sans" w:cs="Nunito Sans" w:eastAsia="Nunito Sans" w:hAnsi="Nunito Sans"/>
          <w:b/>
          <w:bCs/>
          <w:color w:val="102E3B"/>
          <w:sz w:val="20"/>
          <w:szCs w:val="20"/>
        </w:rPr>
        <w:t xml:space="preserve">Presumption of innocence.</w:t>
      </w:r>
      <w:r>
        <w:rPr>
          <w:rFonts w:ascii="Nunito Sans" w:cs="Nunito Sans" w:eastAsia="Nunito Sans" w:hAnsi="Nunito Sans"/>
          <w:color w:val="102E3B"/>
          <w:sz w:val="20"/>
          <w:szCs w:val="20"/>
        </w:rPr>
        <w:t xml:space="preserve"> Nobody is treated as having done wrong until the facts are established on the balance of probabilities (whether it is more likely than not).</w:t>
      </w:r>
    </w:p>
    <w:p>
      <w:pPr>
        <w:pStyle w:val="ListParagraph"/>
        <w:numPr>
          <w:ilvl w:val="0"/>
          <w:numId w:val="4"/>
        </w:numPr>
        <w:spacing w:after="80" w:line="290"/>
      </w:pPr>
      <w:r>
        <w:rPr>
          <w:rFonts w:ascii="Nunito Sans" w:cs="Nunito Sans" w:eastAsia="Nunito Sans" w:hAnsi="Nunito Sans"/>
          <w:b/>
          <w:bCs/>
          <w:color w:val="102E3B"/>
          <w:sz w:val="20"/>
          <w:szCs w:val="20"/>
        </w:rPr>
        <w:t xml:space="preserve">The right to know and respond.</w:t>
      </w:r>
      <w:r>
        <w:rPr>
          <w:rFonts w:ascii="Nunito Sans" w:cs="Nunito Sans" w:eastAsia="Nunito Sans" w:hAnsi="Nunito Sans"/>
          <w:color w:val="102E3B"/>
          <w:sz w:val="20"/>
          <w:szCs w:val="20"/>
        </w:rPr>
        <w:t xml:space="preserve"> You are told the allegation in writing, see the evidence and have a real chance to respond before any decision.</w:t>
      </w:r>
    </w:p>
    <w:p>
      <w:pPr>
        <w:pStyle w:val="ListParagraph"/>
        <w:numPr>
          <w:ilvl w:val="0"/>
          <w:numId w:val="4"/>
        </w:numPr>
        <w:spacing w:after="80" w:line="290"/>
      </w:pPr>
      <w:r>
        <w:rPr>
          <w:rFonts w:ascii="Nunito Sans" w:cs="Nunito Sans" w:eastAsia="Nunito Sans" w:hAnsi="Nunito Sans"/>
          <w:b/>
          <w:bCs/>
          <w:color w:val="102E3B"/>
          <w:sz w:val="20"/>
          <w:szCs w:val="20"/>
        </w:rPr>
        <w:t xml:space="preserve">The right to be accompanied</w:t>
      </w:r>
      <w:r>
        <w:rPr>
          <w:rFonts w:ascii="Nunito Sans" w:cs="Nunito Sans" w:eastAsia="Nunito Sans" w:hAnsi="Nunito Sans"/>
          <w:color w:val="102E3B"/>
          <w:sz w:val="20"/>
          <w:szCs w:val="20"/>
        </w:rPr>
        <w:t xml:space="preserve"> at formal meetings, as the law provides and as good practice in all cases.</w:t>
      </w:r>
    </w:p>
    <w:p>
      <w:pPr>
        <w:pStyle w:val="ListParagraph"/>
        <w:numPr>
          <w:ilvl w:val="0"/>
          <w:numId w:val="4"/>
        </w:numPr>
        <w:spacing w:after="80" w:line="290"/>
      </w:pPr>
      <w:r>
        <w:rPr>
          <w:rFonts w:ascii="Nunito Sans" w:cs="Nunito Sans" w:eastAsia="Nunito Sans" w:hAnsi="Nunito Sans"/>
          <w:b/>
          <w:bCs/>
          <w:color w:val="102E3B"/>
          <w:sz w:val="20"/>
          <w:szCs w:val="20"/>
        </w:rPr>
        <w:t xml:space="preserve">Reasonable adjustments</w:t>
      </w:r>
      <w:r>
        <w:rPr>
          <w:rFonts w:ascii="Nunito Sans" w:cs="Nunito Sans" w:eastAsia="Nunito Sans" w:hAnsi="Nunito Sans"/>
          <w:color w:val="102E3B"/>
          <w:sz w:val="20"/>
          <w:szCs w:val="20"/>
        </w:rPr>
        <w:t xml:space="preserve"> for disability, health, language, caring responsibilities or religious observance: for example interpretation, breaks, or a different time, venue or format.</w:t>
      </w:r>
    </w:p>
    <w:p>
      <w:pPr>
        <w:pStyle w:val="ListParagraph"/>
        <w:numPr>
          <w:ilvl w:val="0"/>
          <w:numId w:val="4"/>
        </w:numPr>
        <w:spacing w:after="80" w:line="290"/>
      </w:pPr>
      <w:r>
        <w:rPr>
          <w:rFonts w:ascii="Nunito Sans" w:cs="Nunito Sans" w:eastAsia="Nunito Sans" w:hAnsi="Nunito Sans"/>
          <w:b/>
          <w:bCs/>
          <w:color w:val="102E3B"/>
          <w:sz w:val="20"/>
          <w:szCs w:val="20"/>
        </w:rPr>
        <w:t xml:space="preserve">Independence.</w:t>
      </w:r>
      <w:r>
        <w:rPr>
          <w:rFonts w:ascii="Nunito Sans" w:cs="Nunito Sans" w:eastAsia="Nunito Sans" w:hAnsi="Nunito Sans"/>
          <w:color w:val="102E3B"/>
          <w:sz w:val="20"/>
          <w:szCs w:val="20"/>
        </w:rPr>
        <w:t xml:space="preserve"> Nobody investigates, decides or hears an appeal in a case they are involved in or have a conflict of interest in.</w:t>
      </w:r>
    </w:p>
    <w:p>
      <w:pPr>
        <w:pStyle w:val="ListParagraph"/>
        <w:numPr>
          <w:ilvl w:val="0"/>
          <w:numId w:val="4"/>
        </w:numPr>
        <w:spacing w:after="80" w:line="290"/>
      </w:pPr>
      <w:r>
        <w:rPr>
          <w:rFonts w:ascii="Nunito Sans" w:cs="Nunito Sans" w:eastAsia="Nunito Sans" w:hAnsi="Nunito Sans"/>
          <w:b/>
          <w:bCs/>
          <w:color w:val="102E3B"/>
          <w:sz w:val="20"/>
          <w:szCs w:val="20"/>
        </w:rPr>
        <w:t xml:space="preserve">Promptness, confidentiality and no retaliation</w:t>
      </w:r>
      <w:r>
        <w:rPr>
          <w:rFonts w:ascii="Nunito Sans" w:cs="Nunito Sans" w:eastAsia="Nunito Sans" w:hAnsi="Nunito Sans"/>
          <w:color w:val="102E3B"/>
          <w:sz w:val="20"/>
          <w:szCs w:val="20"/>
        </w:rPr>
        <w:t xml:space="preserve"> against anyone who raises a grievance, helps an investigation or acts as a companion.</w:t>
      </w:r>
    </w:p>
    <w:p>
      <w:pPr>
        <w:pStyle w:val="Heading1"/>
        <w:keepNext/>
        <w:spacing w:after="160" w:before="360"/>
      </w:pPr>
      <w:r>
        <w:rPr>
          <w:rFonts w:ascii="DM Serif Display" w:cs="DM Serif Display" w:eastAsia="DM Serif Display" w:hAnsi="DM Serif Display"/>
          <w:color w:val="123C48"/>
          <w:sz w:val="40"/>
          <w:szCs w:val="40"/>
        </w:rPr>
        <w:t xml:space="preserve">Part A: Disciplinary procedure</w:t>
      </w:r>
    </w:p>
    <w:p>
      <w:pPr>
        <w:pStyle w:val="Heading2"/>
        <w:keepNext/>
        <w:spacing w:after="120" w:before="280"/>
      </w:pPr>
      <w:r>
        <w:rPr>
          <w:rFonts w:ascii="DM Serif Display" w:cs="DM Serif Display" w:eastAsia="DM Serif Display" w:hAnsi="DM Serif Display"/>
          <w:color w:val="123C48"/>
          <w:sz w:val="28"/>
          <w:szCs w:val="28"/>
        </w:rPr>
        <w:t xml:space="preserve">1. Performance or conduct?</w:t>
      </w:r>
    </w:p>
    <w:p>
      <w:pPr>
        <w:spacing w:after="120" w:before="0" w:line="300"/>
      </w:pPr>
      <w:r>
        <w:rPr>
          <w:rFonts w:ascii="Nunito Sans" w:cs="Nunito Sans" w:eastAsia="Nunito Sans" w:hAnsi="Nunito Sans"/>
          <w:b/>
          <w:bCs/>
          <w:color w:val="102E3B"/>
          <w:sz w:val="20"/>
          <w:szCs w:val="20"/>
        </w:rPr>
        <w:t xml:space="preserve">Performance</w:t>
      </w:r>
      <w:r>
        <w:rPr>
          <w:rFonts w:ascii="Nunito Sans" w:cs="Nunito Sans" w:eastAsia="Nunito Sans" w:hAnsi="Nunito Sans"/>
          <w:color w:val="102E3B"/>
          <w:sz w:val="20"/>
          <w:szCs w:val="20"/>
        </w:rPr>
        <w:t xml:space="preserve"> is whether someone can do the job to the standard required. </w:t>
      </w:r>
      <w:r>
        <w:rPr>
          <w:rFonts w:ascii="Nunito Sans" w:cs="Nunito Sans" w:eastAsia="Nunito Sans" w:hAnsi="Nunito Sans"/>
          <w:b/>
          <w:bCs/>
          <w:color w:val="102E3B"/>
          <w:sz w:val="20"/>
          <w:szCs w:val="20"/>
        </w:rPr>
        <w:t xml:space="preserve">Conduct</w:t>
      </w:r>
      <w:r>
        <w:rPr>
          <w:rFonts w:ascii="Nunito Sans" w:cs="Nunito Sans" w:eastAsia="Nunito Sans" w:hAnsi="Nunito Sans"/>
          <w:color w:val="102E3B"/>
          <w:sz w:val="20"/>
          <w:szCs w:val="20"/>
        </w:rPr>
        <w:t xml:space="preserve"> is how someone behaves. When performance falls short, the manager explains the concern with examples, listens, and agrees an improvement plan with targets, support and a review date within </w:t>
      </w:r>
      <w:r>
        <w:rPr>
          <w:rFonts w:ascii="Nunito Sans" w:cs="Nunito Sans" w:eastAsia="Nunito Sans" w:hAnsi="Nunito Sans"/>
          <w:color w:val="102E3B"/>
          <w:sz w:val="20"/>
          <w:szCs w:val="20"/>
          <w:highlight w:val="yellow"/>
        </w:rPr>
        <w:t xml:space="preserve">[4 to 8 weeks]</w:t>
      </w:r>
      <w:r>
        <w:rPr>
          <w:rFonts w:ascii="Nunito Sans" w:cs="Nunito Sans" w:eastAsia="Nunito Sans" w:hAnsi="Nunito Sans"/>
          <w:color w:val="102E3B"/>
          <w:sz w:val="20"/>
          <w:szCs w:val="20"/>
        </w:rPr>
        <w:t xml:space="preserve">. We check whether health, disability or workload play a part. Only if performance does not improve after a fair chance do we use the formal stages below.</w:t>
      </w:r>
    </w:p>
    <w:p>
      <w:pPr>
        <w:pStyle w:val="Heading2"/>
        <w:keepNext/>
        <w:spacing w:after="120" w:before="280"/>
      </w:pPr>
      <w:r>
        <w:rPr>
          <w:rFonts w:ascii="DM Serif Display" w:cs="DM Serif Display" w:eastAsia="DM Serif Display" w:hAnsi="DM Serif Display"/>
          <w:color w:val="123C48"/>
          <w:sz w:val="28"/>
          <w:szCs w:val="28"/>
        </w:rPr>
        <w:t xml:space="preserve">2. Informal resolution</w:t>
      </w:r>
    </w:p>
    <w:p>
      <w:pPr>
        <w:spacing w:after="120" w:before="0" w:line="300"/>
      </w:pPr>
      <w:r>
        <w:rPr>
          <w:rFonts w:ascii="Nunito Sans" w:cs="Nunito Sans" w:eastAsia="Nunito Sans" w:hAnsi="Nunito Sans"/>
          <w:color w:val="102E3B"/>
          <w:sz w:val="20"/>
          <w:szCs w:val="20"/>
        </w:rPr>
        <w:t xml:space="preserve">Minor misconduct, such as occasional lateness or a careless breach of a rule, is usually dealt with in a private conversation. The manager explains what went wrong and what is expected, listens, and keeps a short dated note shared with the employee. This is not a disciplinary sanction. If the conduct continues or is more serious, we use the formal procedure.</w:t>
      </w:r>
    </w:p>
    <w:p>
      <w:pPr>
        <w:pStyle w:val="Heading2"/>
        <w:keepNext/>
        <w:spacing w:after="120" w:before="280"/>
      </w:pPr>
      <w:r>
        <w:rPr>
          <w:rFonts w:ascii="DM Serif Display" w:cs="DM Serif Display" w:eastAsia="DM Serif Display" w:hAnsi="DM Serif Display"/>
          <w:color w:val="123C48"/>
          <w:sz w:val="28"/>
          <w:szCs w:val="28"/>
        </w:rPr>
        <w:t xml:space="preserve">3. Misconduct and gross misconduct</w:t>
      </w:r>
    </w:p>
    <w:p>
      <w:pPr>
        <w:spacing w:after="120" w:before="0" w:line="300"/>
      </w:pPr>
      <w:r>
        <w:rPr>
          <w:rFonts w:ascii="Nunito Sans" w:cs="Nunito Sans" w:eastAsia="Nunito Sans" w:hAnsi="Nunito Sans"/>
          <w:b/>
          <w:bCs/>
          <w:color w:val="102E3B"/>
          <w:sz w:val="20"/>
          <w:szCs w:val="20"/>
        </w:rPr>
        <w:t xml:space="preserve">Misconduct</w:t>
      </w:r>
      <w:r>
        <w:rPr>
          <w:rFonts w:ascii="Nunito Sans" w:cs="Nunito Sans" w:eastAsia="Nunito Sans" w:hAnsi="Nunito Sans"/>
          <w:color w:val="102E3B"/>
          <w:sz w:val="20"/>
          <w:szCs w:val="20"/>
        </w:rPr>
        <w:t xml:space="preserve"> is a breach of our Code of Conduct, policies or reasonable instructions that is not serious enough for dismissal on a first occasion: for example repeated lateness, minor breaches of financial or IT rules, or disrespectful behaviour.</w:t>
      </w:r>
    </w:p>
    <w:p>
      <w:pPr>
        <w:spacing w:after="120" w:before="0" w:line="300"/>
      </w:pPr>
      <w:r>
        <w:rPr>
          <w:rFonts w:ascii="Nunito Sans" w:cs="Nunito Sans" w:eastAsia="Nunito Sans" w:hAnsi="Nunito Sans"/>
          <w:b/>
          <w:bCs/>
          <w:color w:val="102E3B"/>
          <w:sz w:val="20"/>
          <w:szCs w:val="20"/>
        </w:rPr>
        <w:t xml:space="preserve">Gross misconduct</w:t>
      </w:r>
      <w:r>
        <w:rPr>
          <w:rFonts w:ascii="Nunito Sans" w:cs="Nunito Sans" w:eastAsia="Nunito Sans" w:hAnsi="Nunito Sans"/>
          <w:color w:val="102E3B"/>
          <w:sz w:val="20"/>
          <w:szCs w:val="20"/>
        </w:rPr>
        <w:t xml:space="preserve"> is conduct so serious that it may justify dismissal without notice for a first offence, after a fair procedure. Examples:</w:t>
      </w:r>
    </w:p>
    <w:p>
      <w:pPr>
        <w:pStyle w:val="ListParagraph"/>
        <w:numPr>
          <w:ilvl w:val="0"/>
          <w:numId w:val="3"/>
        </w:numPr>
        <w:spacing w:after="80" w:line="290"/>
      </w:pPr>
      <w:r>
        <w:rPr>
          <w:rFonts w:ascii="Nunito Sans" w:cs="Nunito Sans" w:eastAsia="Nunito Sans" w:hAnsi="Nunito Sans"/>
          <w:color w:val="102E3B"/>
          <w:sz w:val="20"/>
          <w:szCs w:val="20"/>
        </w:rPr>
        <w:t xml:space="preserve">sexual exploitation, abuse or harassment of anyone, including any breach of the IASC six core principles in our 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abuse, neglect or exploitation of a child or adult at risk, or failing to report a safeguarding concern;</w:t>
      </w:r>
    </w:p>
    <w:p>
      <w:pPr>
        <w:pStyle w:val="ListParagraph"/>
        <w:numPr>
          <w:ilvl w:val="0"/>
          <w:numId w:val="3"/>
        </w:numPr>
        <w:spacing w:after="80" w:line="290"/>
      </w:pPr>
      <w:r>
        <w:rPr>
          <w:rFonts w:ascii="Nunito Sans" w:cs="Nunito Sans" w:eastAsia="Nunito Sans" w:hAnsi="Nunito Sans"/>
          <w:color w:val="102E3B"/>
          <w:sz w:val="20"/>
          <w:szCs w:val="20"/>
        </w:rPr>
        <w:t xml:space="preserve">fraud, theft, bribery, false expense claims, or falsifying records, timesheets or reports;</w:t>
      </w:r>
    </w:p>
    <w:p>
      <w:pPr>
        <w:pStyle w:val="ListParagraph"/>
        <w:numPr>
          <w:ilvl w:val="0"/>
          <w:numId w:val="3"/>
        </w:numPr>
        <w:spacing w:after="80" w:line="290"/>
      </w:pPr>
      <w:r>
        <w:rPr>
          <w:rFonts w:ascii="Nunito Sans" w:cs="Nunito Sans" w:eastAsia="Nunito Sans" w:hAnsi="Nunito Sans"/>
          <w:color w:val="102E3B"/>
          <w:sz w:val="20"/>
          <w:szCs w:val="20"/>
        </w:rPr>
        <w:t xml:space="preserve">serious data breaches: deliberate or reckless disclosure of personal or confidential information, including safeguarding records;</w:t>
      </w:r>
    </w:p>
    <w:p>
      <w:pPr>
        <w:pStyle w:val="ListParagraph"/>
        <w:numPr>
          <w:ilvl w:val="0"/>
          <w:numId w:val="3"/>
        </w:numPr>
        <w:spacing w:after="80" w:line="290"/>
      </w:pPr>
      <w:r>
        <w:rPr>
          <w:rFonts w:ascii="Nunito Sans" w:cs="Nunito Sans" w:eastAsia="Nunito Sans" w:hAnsi="Nunito Sans"/>
          <w:color w:val="102E3B"/>
          <w:sz w:val="20"/>
          <w:szCs w:val="20"/>
        </w:rPr>
        <w:t xml:space="preserve">violence, threats, or serious bullying or harassment;</w:t>
      </w:r>
    </w:p>
    <w:p>
      <w:pPr>
        <w:pStyle w:val="ListParagraph"/>
        <w:numPr>
          <w:ilvl w:val="0"/>
          <w:numId w:val="3"/>
        </w:numPr>
        <w:spacing w:after="80" w:line="290"/>
      </w:pPr>
      <w:r>
        <w:rPr>
          <w:rFonts w:ascii="Nunito Sans" w:cs="Nunito Sans" w:eastAsia="Nunito Sans" w:hAnsi="Nunito Sans"/>
          <w:color w:val="102E3B"/>
          <w:sz w:val="20"/>
          <w:szCs w:val="20"/>
        </w:rPr>
        <w:t xml:space="preserve">retaliating against someone who raised a concern;</w:t>
      </w:r>
    </w:p>
    <w:p>
      <w:pPr>
        <w:pStyle w:val="ListParagraph"/>
        <w:numPr>
          <w:ilvl w:val="0"/>
          <w:numId w:val="3"/>
        </w:numPr>
        <w:spacing w:after="80" w:line="290"/>
      </w:pPr>
      <w:r>
        <w:rPr>
          <w:rFonts w:ascii="Nunito Sans" w:cs="Nunito Sans" w:eastAsia="Nunito Sans" w:hAnsi="Nunito Sans"/>
          <w:color w:val="102E3B"/>
          <w:sz w:val="20"/>
          <w:szCs w:val="20"/>
        </w:rPr>
        <w:t xml:space="preserve">working under the influence of alcohol or drugs;</w:t>
      </w:r>
    </w:p>
    <w:p>
      <w:pPr>
        <w:pStyle w:val="ListParagraph"/>
        <w:numPr>
          <w:ilvl w:val="0"/>
          <w:numId w:val="3"/>
        </w:numPr>
        <w:spacing w:after="80" w:line="290"/>
      </w:pPr>
      <w:r>
        <w:rPr>
          <w:rFonts w:ascii="Nunito Sans" w:cs="Nunito Sans" w:eastAsia="Nunito Sans" w:hAnsi="Nunito Sans"/>
          <w:color w:val="102E3B"/>
          <w:sz w:val="20"/>
          <w:szCs w:val="20"/>
        </w:rPr>
        <w:t xml:space="preserve">serious negligence causing harm or loss;</w:t>
      </w:r>
    </w:p>
    <w:p>
      <w:pPr>
        <w:pStyle w:val="ListParagraph"/>
        <w:numPr>
          <w:ilvl w:val="0"/>
          <w:numId w:val="3"/>
        </w:numPr>
        <w:spacing w:after="80" w:line="290"/>
      </w:pPr>
      <w:r>
        <w:rPr>
          <w:rFonts w:ascii="Nunito Sans" w:cs="Nunito Sans" w:eastAsia="Nunito Sans" w:hAnsi="Nunito Sans"/>
          <w:color w:val="102E3B"/>
          <w:sz w:val="20"/>
          <w:szCs w:val="20"/>
        </w:rPr>
        <w:t xml:space="preserve">false information about qualifications, criminal record or misconduct in a recruitment self-declaration.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GROSS MISCONDUCT LIST</w:t>
            </w:r>
          </w:p>
          <w:p>
            <w:pPr>
              <w:spacing w:after="120" w:before="0" w:line="300"/>
            </w:pPr>
            <w:r>
              <w:rPr>
                <w:rFonts w:ascii="Nunito Sans" w:cs="Nunito Sans" w:eastAsia="Nunito Sans" w:hAnsi="Nunito Sans"/>
                <w:color w:val="102E3B"/>
                <w:sz w:val="19"/>
                <w:szCs w:val="19"/>
              </w:rPr>
              <w:t xml:space="preserve">Check the list against clauses 19 and 23 of your Employment Contract and your Code of Conduct, so all three match. Add risks specific to your work, such as misuse of vehicles or breaches of security rules. In some countries only grounds listed in law justify summary dismissal, for example Kenya (Employment Act 2007, section 44) or Brazil (CLT, Article 482): use the legal wording where it differs.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Precautionary suspension</w:t>
      </w:r>
    </w:p>
    <w:p>
      <w:pPr>
        <w:spacing w:after="120" w:before="0" w:line="300"/>
      </w:pPr>
      <w:r>
        <w:rPr>
          <w:rFonts w:ascii="Nunito Sans" w:cs="Nunito Sans" w:eastAsia="Nunito Sans" w:hAnsi="Nunito Sans"/>
          <w:color w:val="102E3B"/>
          <w:sz w:val="20"/>
          <w:szCs w:val="20"/>
        </w:rPr>
        <w:t xml:space="preserve">If a concern is serious, we may suspend the employee while we investigate, for example where there is a risk to people, evidence or money. We first consider alternatives, such as changing duties or removing access to funds or systems.</w:t>
      </w:r>
    </w:p>
    <w:p>
      <w:pPr>
        <w:spacing w:after="120" w:before="0" w:line="300"/>
      </w:pPr>
      <w:r>
        <w:rPr>
          <w:rFonts w:ascii="Nunito Sans" w:cs="Nunito Sans" w:eastAsia="Nunito Sans" w:hAnsi="Nunito Sans"/>
          <w:color w:val="102E3B"/>
          <w:sz w:val="20"/>
          <w:szCs w:val="20"/>
        </w:rPr>
        <w:t xml:space="preserve">Suspension is a neutral act, not a sanction or a finding, and is on full pay and benefits. We confirm it in writing within </w:t>
      </w:r>
      <w:r>
        <w:rPr>
          <w:rFonts w:ascii="Nunito Sans" w:cs="Nunito Sans" w:eastAsia="Nunito Sans" w:hAnsi="Nunito Sans"/>
          <w:color w:val="102E3B"/>
          <w:sz w:val="20"/>
          <w:szCs w:val="20"/>
          <w:highlight w:val="yellow"/>
        </w:rPr>
        <w:t xml:space="preserve">[1 working day]</w:t>
      </w:r>
      <w:r>
        <w:rPr>
          <w:rFonts w:ascii="Nunito Sans" w:cs="Nunito Sans" w:eastAsia="Nunito Sans" w:hAnsi="Nunito Sans"/>
          <w:color w:val="102E3B"/>
          <w:sz w:val="20"/>
          <w:szCs w:val="20"/>
        </w:rPr>
        <w:t xml:space="preserve">, with the reason, expected length, any rules (such as not contacting witnesses) and a named support contact. We review it every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and keep it short. The safeguarding lead is consulted on any safeguarding case.</w:t>
      </w:r>
    </w:p>
    <w:p>
      <w:pPr>
        <w:pStyle w:val="Heading2"/>
        <w:keepNext/>
        <w:spacing w:after="120" w:before="280"/>
      </w:pPr>
      <w:r>
        <w:rPr>
          <w:rFonts w:ascii="DM Serif Display" w:cs="DM Serif Display" w:eastAsia="DM Serif Display" w:hAnsi="DM Serif Display"/>
          <w:color w:val="123C48"/>
          <w:sz w:val="28"/>
          <w:szCs w:val="28"/>
        </w:rPr>
        <w:t xml:space="preserve">5. Investigation</w:t>
      </w:r>
    </w:p>
    <w:p>
      <w:pPr>
        <w:spacing w:after="120" w:before="0" w:line="300"/>
      </w:pPr>
      <w:r>
        <w:rPr>
          <w:rFonts w:ascii="Nunito Sans" w:cs="Nunito Sans" w:eastAsia="Nunito Sans" w:hAnsi="Nunito Sans"/>
          <w:color w:val="102E3B"/>
          <w:sz w:val="20"/>
          <w:szCs w:val="20"/>
        </w:rPr>
        <w:t xml:space="preserve">Before any hearing, we establish the facts without unreasonable delay. Where possible, the investigator is not the person who will decide the case, and has no involvement in the matter and no close relationship with anyone involved. The investigator:</w:t>
      </w:r>
    </w:p>
    <w:p>
      <w:pPr>
        <w:pStyle w:val="ListParagraph"/>
        <w:numPr>
          <w:ilvl w:val="0"/>
          <w:numId w:val="5"/>
        </w:numPr>
        <w:spacing w:after="80" w:line="290"/>
      </w:pPr>
      <w:r>
        <w:rPr>
          <w:rFonts w:ascii="Nunito Sans" w:cs="Nunito Sans" w:eastAsia="Nunito Sans" w:hAnsi="Nunito Sans"/>
          <w:color w:val="102E3B"/>
          <w:sz w:val="20"/>
          <w:szCs w:val="20"/>
        </w:rPr>
        <w:t xml:space="preserve">agrees written terms of reference: the allegations, the questions to answer and a target date, usually </w:t>
      </w:r>
      <w:r>
        <w:rPr>
          <w:rFonts w:ascii="Nunito Sans" w:cs="Nunito Sans" w:eastAsia="Nunito Sans" w:hAnsi="Nunito Sans"/>
          <w:color w:val="102E3B"/>
          <w:sz w:val="20"/>
          <w:szCs w:val="20"/>
          <w:highlight w:val="yellow"/>
        </w:rPr>
        <w:t xml:space="preserve">[15 working days]</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color w:val="102E3B"/>
          <w:sz w:val="20"/>
          <w:szCs w:val="20"/>
        </w:rPr>
        <w:t xml:space="preserve">invites the employee to an investigation meeting (Annex A), explains the allegations and invites their account, witnesses and evidence;</w:t>
      </w:r>
    </w:p>
    <w:p>
      <w:pPr>
        <w:pStyle w:val="ListParagraph"/>
        <w:numPr>
          <w:ilvl w:val="0"/>
          <w:numId w:val="5"/>
        </w:numPr>
        <w:spacing w:after="80" w:line="290"/>
      </w:pPr>
      <w:r>
        <w:rPr>
          <w:rFonts w:ascii="Nunito Sans" w:cs="Nunito Sans" w:eastAsia="Nunito Sans" w:hAnsi="Nunito Sans"/>
          <w:color w:val="102E3B"/>
          <w:sz w:val="20"/>
          <w:szCs w:val="20"/>
        </w:rPr>
        <w:t xml:space="preserve">interviews witnesses separately and keeps notes, which each person can check;</w:t>
      </w:r>
    </w:p>
    <w:p>
      <w:pPr>
        <w:pStyle w:val="ListParagraph"/>
        <w:numPr>
          <w:ilvl w:val="0"/>
          <w:numId w:val="5"/>
        </w:numPr>
        <w:spacing w:after="80" w:line="290"/>
      </w:pPr>
      <w:r>
        <w:rPr>
          <w:rFonts w:ascii="Nunito Sans" w:cs="Nunito Sans" w:eastAsia="Nunito Sans" w:hAnsi="Nunito Sans"/>
          <w:color w:val="102E3B"/>
          <w:sz w:val="20"/>
          <w:szCs w:val="20"/>
        </w:rPr>
        <w:t xml:space="preserve">collects relevant documents, messages and financial records;</w:t>
      </w:r>
    </w:p>
    <w:p>
      <w:pPr>
        <w:pStyle w:val="ListParagraph"/>
        <w:numPr>
          <w:ilvl w:val="0"/>
          <w:numId w:val="5"/>
        </w:numPr>
        <w:spacing w:after="80" w:line="290"/>
      </w:pPr>
      <w:r>
        <w:rPr>
          <w:rFonts w:ascii="Nunito Sans" w:cs="Nunito Sans" w:eastAsia="Nunito Sans" w:hAnsi="Nunito Sans"/>
          <w:color w:val="102E3B"/>
          <w:sz w:val="20"/>
          <w:szCs w:val="20"/>
        </w:rPr>
        <w:t xml:space="preserve">writes a short report of the facts found and whether there is a case to answer, without recommending a sanction.</w:t>
      </w:r>
    </w:p>
    <w:p>
      <w:pPr>
        <w:spacing w:after="120" w:before="0" w:line="300"/>
      </w:pPr>
      <w:r>
        <w:rPr>
          <w:rFonts w:ascii="Nunito Sans" w:cs="Nunito Sans" w:eastAsia="Nunito Sans" w:hAnsi="Nunito Sans"/>
          <w:color w:val="102E3B"/>
          <w:sz w:val="20"/>
          <w:szCs w:val="20"/>
        </w:rPr>
        <w:t xml:space="preserve">An investigation meeting leads to no sanction. We allow a companion at it </w:t>
      </w:r>
      <w:r>
        <w:rPr>
          <w:rFonts w:ascii="Nunito Sans" w:cs="Nunito Sans" w:eastAsia="Nunito Sans" w:hAnsi="Nunito Sans"/>
          <w:color w:val="102E3B"/>
          <w:sz w:val="20"/>
          <w:szCs w:val="20"/>
          <w:highlight w:val="yellow"/>
        </w:rPr>
        <w:t xml:space="preserve">[where the employee asks / in all cases]</w:t>
      </w:r>
      <w:r>
        <w:rPr>
          <w:rFonts w:ascii="Nunito Sans" w:cs="Nunito Sans" w:eastAsia="Nunito Sans" w:hAnsi="Nunito Sans"/>
          <w:color w:val="102E3B"/>
          <w:sz w:val="20"/>
          <w:szCs w:val="20"/>
        </w:rPr>
        <w:t xml:space="preserve">, even where the law does not require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INVESTIGATES IN A SMALL TEAM</w:t>
            </w:r>
          </w:p>
          <w:p>
            <w:pPr>
              <w:spacing w:after="120" w:before="0" w:line="300"/>
            </w:pPr>
            <w:r>
              <w:rPr>
                <w:rFonts w:ascii="Nunito Sans" w:cs="Nunito Sans" w:eastAsia="Nunito Sans" w:hAnsi="Nunito Sans"/>
                <w:color w:val="102E3B"/>
                <w:sz w:val="19"/>
                <w:szCs w:val="19"/>
              </w:rPr>
              <w:t xml:space="preserve">In a small team, everyone may be too close to the case. Options: an uninvolved board member; a manager from a peer organisation, bound by confidentiality; an external HR consultant; or, for serious safeguarding, fraud or senior cases, a specialist investigator. Budget for this in advance, and ask funders whether they must approve the investigator.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Invitation to a disciplinary hearing</w:t>
      </w:r>
    </w:p>
    <w:p>
      <w:pPr>
        <w:spacing w:after="120" w:before="0" w:line="300"/>
      </w:pPr>
      <w:r>
        <w:rPr>
          <w:rFonts w:ascii="Nunito Sans" w:cs="Nunito Sans" w:eastAsia="Nunito Sans" w:hAnsi="Nunito Sans"/>
          <w:color w:val="102E3B"/>
          <w:sz w:val="20"/>
          <w:szCs w:val="20"/>
        </w:rPr>
        <w:t xml:space="preserve">If there is a case to answer, the decision-maker writes to the employee (Annex B) at least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before the hearing. The letter:</w:t>
      </w:r>
    </w:p>
    <w:p>
      <w:pPr>
        <w:pStyle w:val="ListParagraph"/>
        <w:numPr>
          <w:ilvl w:val="0"/>
          <w:numId w:val="3"/>
        </w:numPr>
        <w:spacing w:after="80" w:line="290"/>
      </w:pPr>
      <w:r>
        <w:rPr>
          <w:rFonts w:ascii="Nunito Sans" w:cs="Nunito Sans" w:eastAsia="Nunito Sans" w:hAnsi="Nunito Sans"/>
          <w:color w:val="102E3B"/>
          <w:sz w:val="20"/>
          <w:szCs w:val="20"/>
        </w:rPr>
        <w:t xml:space="preserve">sets out each allegation, with dates and facts;</w:t>
      </w:r>
    </w:p>
    <w:p>
      <w:pPr>
        <w:pStyle w:val="ListParagraph"/>
        <w:numPr>
          <w:ilvl w:val="0"/>
          <w:numId w:val="3"/>
        </w:numPr>
        <w:spacing w:after="80" w:line="290"/>
      </w:pPr>
      <w:r>
        <w:rPr>
          <w:rFonts w:ascii="Nunito Sans" w:cs="Nunito Sans" w:eastAsia="Nunito Sans" w:hAnsi="Nunito Sans"/>
          <w:color w:val="102E3B"/>
          <w:sz w:val="20"/>
          <w:szCs w:val="20"/>
        </w:rPr>
        <w:t xml:space="preserve">encloses the investigation report and evidence, including witness statements (anonymised only where needed to protect someone);</w:t>
      </w:r>
    </w:p>
    <w:p>
      <w:pPr>
        <w:pStyle w:val="ListParagraph"/>
        <w:numPr>
          <w:ilvl w:val="0"/>
          <w:numId w:val="3"/>
        </w:numPr>
        <w:spacing w:after="80" w:line="290"/>
      </w:pPr>
      <w:r>
        <w:rPr>
          <w:rFonts w:ascii="Nunito Sans" w:cs="Nunito Sans" w:eastAsia="Nunito Sans" w:hAnsi="Nunito Sans"/>
          <w:color w:val="102E3B"/>
          <w:sz w:val="20"/>
          <w:szCs w:val="20"/>
        </w:rPr>
        <w:t xml:space="preserve">says whether the allegations could be gross misconduct and whether dismissal is possible;</w:t>
      </w:r>
    </w:p>
    <w:p>
      <w:pPr>
        <w:pStyle w:val="ListParagraph"/>
        <w:numPr>
          <w:ilvl w:val="0"/>
          <w:numId w:val="3"/>
        </w:numPr>
        <w:spacing w:after="80" w:line="290"/>
      </w:pPr>
      <w:r>
        <w:rPr>
          <w:rFonts w:ascii="Nunito Sans" w:cs="Nunito Sans" w:eastAsia="Nunito Sans" w:hAnsi="Nunito Sans"/>
          <w:color w:val="102E3B"/>
          <w:sz w:val="20"/>
          <w:szCs w:val="20"/>
        </w:rPr>
        <w:t xml:space="preserve">gives the date, time, place or link, and who will attend;</w:t>
      </w:r>
    </w:p>
    <w:p>
      <w:pPr>
        <w:pStyle w:val="ListParagraph"/>
        <w:numPr>
          <w:ilvl w:val="0"/>
          <w:numId w:val="3"/>
        </w:numPr>
        <w:spacing w:after="80" w:line="290"/>
      </w:pPr>
      <w:r>
        <w:rPr>
          <w:rFonts w:ascii="Nunito Sans" w:cs="Nunito Sans" w:eastAsia="Nunito Sans" w:hAnsi="Nunito Sans"/>
          <w:color w:val="102E3B"/>
          <w:sz w:val="20"/>
          <w:szCs w:val="20"/>
        </w:rPr>
        <w:t xml:space="preserve">explains the right to be accompanied, submit evidence and ask for witnesses, and offers adjustments and interpretation.</w:t>
      </w:r>
    </w:p>
    <w:p>
      <w:pPr>
        <w:pStyle w:val="Heading2"/>
        <w:keepNext/>
        <w:spacing w:after="120" w:before="280"/>
      </w:pPr>
      <w:r>
        <w:rPr>
          <w:rFonts w:ascii="DM Serif Display" w:cs="DM Serif Display" w:eastAsia="DM Serif Display" w:hAnsi="DM Serif Display"/>
          <w:color w:val="123C48"/>
          <w:sz w:val="28"/>
          <w:szCs w:val="28"/>
        </w:rPr>
        <w:t xml:space="preserve">7. The right to be accompanied</w:t>
      </w:r>
    </w:p>
    <w:p>
      <w:pPr>
        <w:spacing w:after="120" w:before="0" w:line="300"/>
      </w:pPr>
      <w:r>
        <w:rPr>
          <w:rFonts w:ascii="Nunito Sans" w:cs="Nunito Sans" w:eastAsia="Nunito Sans" w:hAnsi="Nunito Sans"/>
          <w:color w:val="102E3B"/>
          <w:sz w:val="20"/>
          <w:szCs w:val="20"/>
        </w:rPr>
        <w:t xml:space="preserve">At any formal disciplinary or grievance hearing, and at appeals, the employee may bring one companion: </w:t>
      </w:r>
      <w:r>
        <w:rPr>
          <w:rFonts w:ascii="Nunito Sans" w:cs="Nunito Sans" w:eastAsia="Nunito Sans" w:hAnsi="Nunito Sans"/>
          <w:color w:val="102E3B"/>
          <w:sz w:val="20"/>
          <w:szCs w:val="20"/>
          <w:highlight w:val="yellow"/>
        </w:rPr>
        <w:t xml:space="preserve">[a colleague, a trade union representative or official, or another person we agree to as a reasonable adjustment]</w:t>
      </w:r>
      <w:r>
        <w:rPr>
          <w:rFonts w:ascii="Nunito Sans" w:cs="Nunito Sans" w:eastAsia="Nunito Sans" w:hAnsi="Nunito Sans"/>
          <w:color w:val="102E3B"/>
          <w:sz w:val="20"/>
          <w:szCs w:val="20"/>
        </w:rPr>
        <w:t xml:space="preserve">. The companion may speak, put the employee's case and confer with them, but not answer questions for them. If the companion cannot attend, the employee may propose another time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Colleagues get paid time off to act as companions.</w:t>
      </w:r>
    </w:p>
    <w:p>
      <w:pPr>
        <w:pStyle w:val="Heading2"/>
        <w:keepNext/>
        <w:spacing w:after="120" w:before="280"/>
      </w:pPr>
      <w:r>
        <w:rPr>
          <w:rFonts w:ascii="DM Serif Display" w:cs="DM Serif Display" w:eastAsia="DM Serif Display" w:hAnsi="DM Serif Display"/>
          <w:color w:val="123C48"/>
          <w:sz w:val="28"/>
          <w:szCs w:val="28"/>
        </w:rPr>
        <w:t xml:space="preserve">8. The hearing</w:t>
      </w:r>
    </w:p>
    <w:p>
      <w:pPr>
        <w:spacing w:after="120" w:before="0" w:line="300"/>
      </w:pPr>
      <w:r>
        <w:rPr>
          <w:rFonts w:ascii="Nunito Sans" w:cs="Nunito Sans" w:eastAsia="Nunito Sans" w:hAnsi="Nunito Sans"/>
          <w:color w:val="102E3B"/>
          <w:sz w:val="20"/>
          <w:szCs w:val="20"/>
        </w:rPr>
        <w:t xml:space="preserve">The decision-maker leads the hearing, with a note-taker (Annex F). The employee has a full chance to respond, present evidence, call relevant witnesses and raise mitigating factors. The decision-maker adjourns before deciding, and checks any new points first.</w:t>
      </w:r>
    </w:p>
    <w:p>
      <w:pPr>
        <w:spacing w:after="120" w:before="0" w:line="300"/>
      </w:pPr>
      <w:r>
        <w:rPr>
          <w:rFonts w:ascii="Nunito Sans" w:cs="Nunito Sans" w:eastAsia="Nunito Sans" w:hAnsi="Nunito Sans"/>
          <w:color w:val="102E3B"/>
          <w:sz w:val="20"/>
          <w:szCs w:val="20"/>
        </w:rPr>
        <w:t xml:space="preserve">If the employee does not attend without good reason, we rearrange once, then may decide on the evidence and any written submission. If illness is the reason, we offer a written response or an online meeting.</w:t>
      </w:r>
    </w:p>
    <w:p>
      <w:pPr>
        <w:pStyle w:val="Heading2"/>
        <w:keepNext/>
        <w:spacing w:after="120" w:before="280"/>
      </w:pPr>
      <w:r>
        <w:rPr>
          <w:rFonts w:ascii="DM Serif Display" w:cs="DM Serif Display" w:eastAsia="DM Serif Display" w:hAnsi="DM Serif Display"/>
          <w:color w:val="123C48"/>
          <w:sz w:val="28"/>
          <w:szCs w:val="28"/>
        </w:rPr>
        <w:t xml:space="preserve">9. Outcomes</w:t>
      </w:r>
    </w:p>
    <w:p>
      <w:pPr>
        <w:spacing w:after="120" w:before="0" w:line="300"/>
      </w:pPr>
      <w:r>
        <w:rPr>
          <w:rFonts w:ascii="Nunito Sans" w:cs="Nunito Sans" w:eastAsia="Nunito Sans" w:hAnsi="Nunito Sans"/>
          <w:color w:val="102E3B"/>
          <w:sz w:val="20"/>
          <w:szCs w:val="20"/>
        </w:rPr>
        <w:t xml:space="preserve">We give the decision in writing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of the hearing (Annex C), with reasons and the right of appeal. Before dismissing anyone, the decision-maker consults the chair, as our Delegation of Authority Matrix requires. Only the board can dismiss the director: board members who investigated the case, or will hear the appeal, take no part in that decision.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4381"/>
        <w:gridCol w:w="2667"/>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OUTCOME</w:t>
            </w:r>
          </w:p>
        </w:tc>
        <w:tc>
          <w:tcPr>
            <w:tcW w:type="dxa" w:w="4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 IT IS USED</w:t>
            </w:r>
          </w:p>
        </w:tc>
        <w:tc>
          <w:tcPr>
            <w:tcW w:type="dxa" w:w="2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STAYS LIVE FOR</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 action</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allegation is not upheld. We may still give guidance or training.</w:t>
            </w:r>
          </w:p>
        </w:tc>
        <w:tc>
          <w:tcPr>
            <w:tcW w:type="dxa" w:w="2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 sanction</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First written warning</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Misconduct, or performance that has not improved after support.</w:t>
            </w:r>
          </w:p>
        </w:tc>
        <w:tc>
          <w:tcPr>
            <w:tcW w:type="dxa" w:w="2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months]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Final written warning</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Serious misconduct, or further misconduct during a live warning.</w:t>
            </w:r>
          </w:p>
        </w:tc>
        <w:tc>
          <w:tcPr>
            <w:tcW w:type="dxa" w:w="2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[12 months]</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Dismissal</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Gross misconduct, or further misconduct during a live final warning. With notice, or without notice for gross misconduct.</w:t>
            </w:r>
          </w:p>
        </w:tc>
        <w:tc>
          <w:tcPr>
            <w:tcW w:type="dxa" w:w="2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Alternatives to dismissal</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Where proportionate: demotion, transfer or removal from contact or finance duties, with a final written warning, if the contract and the law allow.</w:t>
            </w:r>
          </w:p>
        </w:tc>
        <w:tc>
          <w:tcPr>
            <w:tcW w:type="dxa" w:w="2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for the warning</w:t>
            </w:r>
          </w:p>
        </w:tc>
      </w:tr>
    </w:tbl>
    <w:p>
      <w:pPr>
        <w:spacing w:after="120"/>
      </w:pPr>
    </w:p>
    <w:p>
      <w:pPr>
        <w:spacing w:after="120" w:before="0" w:line="300"/>
      </w:pPr>
      <w:r>
        <w:rPr>
          <w:rFonts w:ascii="Nunito Sans" w:cs="Nunito Sans" w:eastAsia="Nunito Sans" w:hAnsi="Nunito Sans"/>
          <w:color w:val="102E3B"/>
          <w:sz w:val="20"/>
          <w:szCs w:val="20"/>
        </w:rPr>
        <w:t xml:space="preserve">A warning states the problem, the improvement expected, any support and the likely result of further misconduct. Once expired, it is disregarded for future sanctions. The decision-maker considers the person's record, mitigating factors and how similar cases were treated.</w:t>
      </w:r>
    </w:p>
    <w:p>
      <w:pPr>
        <w:pStyle w:val="Heading2"/>
        <w:keepNext/>
        <w:spacing w:after="120" w:before="280"/>
      </w:pPr>
      <w:r>
        <w:rPr>
          <w:rFonts w:ascii="DM Serif Display" w:cs="DM Serif Display" w:eastAsia="DM Serif Display" w:hAnsi="DM Serif Display"/>
          <w:color w:val="123C48"/>
          <w:sz w:val="28"/>
          <w:szCs w:val="28"/>
        </w:rPr>
        <w:t xml:space="preserve">10. Appeals</w:t>
      </w:r>
    </w:p>
    <w:p>
      <w:pPr>
        <w:spacing w:after="120" w:before="0" w:line="300"/>
      </w:pPr>
      <w:r>
        <w:rPr>
          <w:rFonts w:ascii="Nunito Sans" w:cs="Nunito Sans" w:eastAsia="Nunito Sans" w:hAnsi="Nunito Sans"/>
          <w:color w:val="102E3B"/>
          <w:sz w:val="20"/>
          <w:szCs w:val="20"/>
        </w:rPr>
        <w:t xml:space="preserve">The employee may appeal any warning or dismissal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by writing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with the grounds: for example unfair procedure, new evidence or a disproportionate sanction. Someone senior to, or independent of, the decision-maker hears it, or a board member or external adviser if nobody inside qualifies.</w:t>
      </w:r>
    </w:p>
    <w:p>
      <w:pPr>
        <w:spacing w:after="120" w:before="0" w:line="300"/>
      </w:pPr>
      <w:r>
        <w:rPr>
          <w:rFonts w:ascii="Nunito Sans" w:cs="Nunito Sans" w:eastAsia="Nunito Sans" w:hAnsi="Nunito Sans"/>
          <w:color w:val="102E3B"/>
          <w:sz w:val="20"/>
          <w:szCs w:val="20"/>
        </w:rPr>
        <w:t xml:space="preserve">The appeal hearing takes place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of receiving the appeal, with the right to be accompanied. The written decision follows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(Annex D). The appeal may confirm, reduce or overturn the sanction, but not increase it. It is final within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11. Safeguarding, fraud and criminal matters</w:t>
      </w:r>
    </w:p>
    <w:p>
      <w:pPr>
        <w:spacing w:after="120" w:before="0" w:line="300"/>
      </w:pPr>
      <w:r>
        <w:rPr>
          <w:rFonts w:ascii="Nunito Sans" w:cs="Nunito Sans" w:eastAsia="Nunito Sans" w:hAnsi="Nunito Sans"/>
          <w:b/>
          <w:bCs/>
          <w:color w:val="102E3B"/>
          <w:sz w:val="20"/>
          <w:szCs w:val="20"/>
        </w:rPr>
        <w:t xml:space="preserve">Safeguarding.</w:t>
      </w:r>
      <w:r>
        <w:rPr>
          <w:rFonts w:ascii="Nunito Sans" w:cs="Nunito Sans" w:eastAsia="Nunito Sans" w:hAnsi="Nunito Sans"/>
          <w:color w:val="102E3B"/>
          <w:sz w:val="20"/>
          <w:szCs w:val="20"/>
        </w:rPr>
        <w:t xml:space="preserve"> When a case arises from a safeguarding concern, the safeguarding lead is involved from the start and advises on suspension and risks. A survivor is never asked to face the employee, and their account is taken once, by the safeguarding lead or an investigator with safeguarding experience. They are not called to the hearing: the employee may put written questions, which the decision-maker passes on only if they are relevant and appropriate. The survivor's identity is protected in the hearing papers where needed. They are told the outcome as far as the law and others' privacy allow.</w:t>
      </w:r>
    </w:p>
    <w:p>
      <w:pPr>
        <w:spacing w:after="120" w:before="0" w:line="300"/>
      </w:pPr>
      <w:r>
        <w:rPr>
          <w:rFonts w:ascii="Nunito Sans" w:cs="Nunito Sans" w:eastAsia="Nunito Sans" w:hAnsi="Nunito Sans"/>
          <w:b/>
          <w:bCs/>
          <w:color w:val="102E3B"/>
          <w:sz w:val="20"/>
          <w:szCs w:val="20"/>
        </w:rPr>
        <w:t xml:space="preserve">Fraud and whistleblowing.</w:t>
      </w:r>
      <w:r>
        <w:rPr>
          <w:rFonts w:ascii="Nunito Sans" w:cs="Nunito Sans" w:eastAsia="Nunito Sans" w:hAnsi="Nunito Sans"/>
          <w:color w:val="102E3B"/>
          <w:sz w:val="20"/>
          <w:szCs w:val="20"/>
        </w:rPr>
        <w:t xml:space="preserve"> In fraud cases we protect evidence first, for example by removing access to bank accounts. A whistleblower is not called as a witness without their agreement.</w:t>
      </w:r>
    </w:p>
    <w:p>
      <w:pPr>
        <w:spacing w:after="120" w:before="0" w:line="300"/>
      </w:pPr>
      <w:r>
        <w:rPr>
          <w:rFonts w:ascii="Nunito Sans" w:cs="Nunito Sans" w:eastAsia="Nunito Sans" w:hAnsi="Nunito Sans"/>
          <w:b/>
          <w:bCs/>
          <w:color w:val="102E3B"/>
          <w:sz w:val="20"/>
          <w:szCs w:val="20"/>
        </w:rPr>
        <w:t xml:space="preserve">Criminal matters.</w:t>
      </w:r>
      <w:r>
        <w:rPr>
          <w:rFonts w:ascii="Nunito Sans" w:cs="Nunito Sans" w:eastAsia="Nunito Sans" w:hAnsi="Nunito Sans"/>
          <w:color w:val="102E3B"/>
          <w:sz w:val="20"/>
          <w:szCs w:val="20"/>
        </w:rPr>
        <w:t xml:space="preserve"> Where conduct may be a crime, we follow the law on reporting it and our Safeguarding Policy and Procedure. Our process asks whether our rules were broken, on the balance of probabilities, not whether a crime is proven. Where the law allows, we do not wait for a police or court outcome, especially where people are at risk. We pause if the police ask us to, or if continuing would prejudice a criminal case. A charge or conviction is not by itself a reason for dismissal: we consider whether it affects suitability for the role.</w:t>
      </w:r>
    </w:p>
    <w:p>
      <w:pPr>
        <w:spacing w:after="120" w:before="0" w:line="300"/>
      </w:pPr>
      <w:r>
        <w:rPr>
          <w:rFonts w:ascii="Nunito Sans" w:cs="Nunito Sans" w:eastAsia="Nunito Sans" w:hAnsi="Nunito Sans"/>
          <w:b/>
          <w:bCs/>
          <w:color w:val="102E3B"/>
          <w:sz w:val="20"/>
          <w:szCs w:val="20"/>
        </w:rPr>
        <w:t xml:space="preserve">Resignation during a case.</w:t>
      </w:r>
      <w:r>
        <w:rPr>
          <w:rFonts w:ascii="Nunito Sans" w:cs="Nunito Sans" w:eastAsia="Nunito Sans" w:hAnsi="Nunito Sans"/>
          <w:color w:val="102E3B"/>
          <w:sz w:val="20"/>
          <w:szCs w:val="20"/>
        </w:rPr>
        <w:t xml:space="preserve"> If an employee resigns while being investigated for sexual exploitation, abuse or harassment, fraud or another serious matter, we complete the investigation where possible and record the outcome.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CRIMINAL INVESTIGATIONS AND MANDATORY REPORTING</w:t>
            </w:r>
          </w:p>
          <w:p>
            <w:pPr>
              <w:spacing w:after="120" w:before="0" w:line="300"/>
            </w:pPr>
            <w:r>
              <w:rPr>
                <w:rFonts w:ascii="Nunito Sans" w:cs="Nunito Sans" w:eastAsia="Nunito Sans" w:hAnsi="Nunito Sans"/>
                <w:color w:val="102E3B"/>
                <w:sz w:val="19"/>
                <w:szCs w:val="19"/>
              </w:rPr>
              <w:t xml:space="preserve">Take legal advice early in any case involving a possible crime. Some countries require employers to report certain offences, such as sexual offences against children or corruption, within a short time. Check your local law on mandatory reporting, on continuing an internal process during a criminal case, and on how long suspension may last. If an employee is held in custody, check whether local law treats this as incapacity: South Africa's 2025 Code of Good Practice: Dismissal does.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References and informing others</w:t>
      </w:r>
    </w:p>
    <w:p>
      <w:pPr>
        <w:spacing w:after="120" w:before="0" w:line="300"/>
      </w:pPr>
      <w:r>
        <w:rPr>
          <w:rFonts w:ascii="Nunito Sans" w:cs="Nunito Sans" w:eastAsia="Nunito Sans" w:hAnsi="Nunito Sans"/>
          <w:b/>
          <w:bCs/>
          <w:color w:val="102E3B"/>
          <w:sz w:val="20"/>
          <w:szCs w:val="20"/>
        </w:rPr>
        <w:t xml:space="preserve">References.</w:t>
      </w:r>
      <w:r>
        <w:rPr>
          <w:rFonts w:ascii="Nunito Sans" w:cs="Nunito Sans" w:eastAsia="Nunito Sans" w:hAnsi="Nunito Sans"/>
          <w:color w:val="102E3B"/>
          <w:sz w:val="20"/>
          <w:szCs w:val="20"/>
        </w:rPr>
        <w:t xml:space="preserve"> We give factual references and follow the principles of the Misconduct Disclosure Scheme, an inter-agency scheme whose signatories check with, and answer checks from, other employers about sexual exploitation, abuse and harassment. Where the law allows, we disclose confirmed findings of sexual exploitation, abuse or harassment, and whether the person left during an investigation. We never present unproven allegations as findings.</w:t>
      </w:r>
    </w:p>
    <w:p>
      <w:pPr>
        <w:spacing w:after="120" w:before="0" w:line="300"/>
      </w:pPr>
      <w:r>
        <w:rPr>
          <w:rFonts w:ascii="Nunito Sans" w:cs="Nunito Sans" w:eastAsia="Nunito Sans" w:hAnsi="Nunito Sans"/>
          <w:b/>
          <w:bCs/>
          <w:color w:val="102E3B"/>
          <w:sz w:val="20"/>
          <w:szCs w:val="20"/>
        </w:rPr>
        <w:t xml:space="preserve">Funders, regulators and partners.</w:t>
      </w:r>
      <w:r>
        <w:rPr>
          <w:rFonts w:ascii="Nunito Sans" w:cs="Nunito Sans" w:eastAsia="Nunito Sans" w:hAnsi="Nunito Sans"/>
          <w:color w:val="102E3B"/>
          <w:sz w:val="20"/>
          <w:szCs w:val="20"/>
        </w:rPr>
        <w:t xml:space="preserve"> Some funders, regulators and insurers require us to report safeguarding incidents, fraud or serious misconduct, sometimes within 24 to 72 hours, and the outcome.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makes these reports under the Incident Reporting Procedure, sharing only what is needed.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FUNDERS, REGULATORS AND REFERENCES</w:t>
            </w:r>
          </w:p>
          <w:p>
            <w:pPr>
              <w:spacing w:after="120" w:before="0" w:line="300"/>
            </w:pPr>
            <w:r>
              <w:rPr>
                <w:rFonts w:ascii="Nunito Sans" w:cs="Nunito Sans" w:eastAsia="Nunito Sans" w:hAnsi="Nunito Sans"/>
                <w:color w:val="102E3B"/>
                <w:sz w:val="19"/>
                <w:szCs w:val="19"/>
              </w:rPr>
              <w:t xml:space="preserve">List each funder, regulator and insurer you must notify about misconduct and their deadlines: read every grant agreement. In England and Wales, registered charities report serious incidents to the Charity Commission. If you join the Misconduct Disclosure Scheme, use its current guidance and forms. Check your local data protection law on misconduct information in references. Never agree a settlement that stops you disclosing a confirmed safeguarding finding.</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Disciplinary timescales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3"/>
        <w:gridCol w:w="4001"/>
      </w:tblGrid>
      <w:tr>
        <w:trPr>
          <w:cantSplit/>
          <w:tblHeader/>
        </w:trPr>
        <w:tc>
          <w:tcPr>
            <w:tcW w:type="dxa" w:w="5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STEP</w:t>
            </w:r>
          </w:p>
        </w:tc>
        <w:tc>
          <w:tcPr>
            <w:tcW w:type="dxa" w:w="4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 a suspension in writing</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working day]</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Complete the investigation</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Target </w:t>
            </w:r>
            <w:r>
              <w:rPr>
                <w:rFonts w:ascii="Nunito Sans" w:cs="Nunito Sans" w:eastAsia="Nunito Sans" w:hAnsi="Nunito Sans"/>
                <w:color w:val="102E3B"/>
                <w:sz w:val="18"/>
                <w:szCs w:val="18"/>
                <w:highlight w:val="yellow"/>
              </w:rPr>
              <w:t xml:space="preserve">[15 working days]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Invitation to a disciplinary hearing</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least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before it</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Written decision</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the hearing</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Lodge an appeal</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[10 working days]</w:t>
            </w:r>
            <w:r>
              <w:rPr>
                <w:rFonts w:ascii="Nunito Sans" w:cs="Nunito Sans" w:eastAsia="Nunito Sans" w:hAnsi="Nunito Sans"/>
                <w:color w:val="102E3B"/>
                <w:sz w:val="18"/>
                <w:szCs w:val="18"/>
              </w:rPr>
              <w:t xml:space="preserve"> of the decision</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Appeal hearing</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[10 working days]</w:t>
            </w:r>
            <w:r>
              <w:rPr>
                <w:rFonts w:ascii="Nunito Sans" w:cs="Nunito Sans" w:eastAsia="Nunito Sans" w:hAnsi="Nunito Sans"/>
                <w:color w:val="102E3B"/>
                <w:sz w:val="18"/>
                <w:szCs w:val="18"/>
              </w:rPr>
              <w:t xml:space="preserve"> of receiving the appeal</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Appeal decision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the appeal hearing</w:t>
            </w:r>
          </w:p>
        </w:tc>
      </w:tr>
    </w:tbl>
    <w:p>
      <w:pPr>
        <w:spacing w:after="120"/>
      </w:pPr>
    </w:p>
    <w:p>
      <w:pPr>
        <w:spacing w:after="120" w:before="0" w:line="300"/>
      </w:pPr>
      <w:r>
        <w:rPr>
          <w:rFonts w:ascii="Nunito Sans" w:cs="Nunito Sans" w:eastAsia="Nunito Sans" w:hAnsi="Nunito Sans"/>
          <w:color w:val="102E3B"/>
          <w:sz w:val="20"/>
          <w:szCs w:val="20"/>
        </w:rPr>
        <w:t xml:space="preserve">If we need more time, for example because a witness is unavailable, we tell the employee why and give a new date.</w:t>
      </w:r>
    </w:p>
    <w:p>
      <w:pPr>
        <w:pStyle w:val="Heading1"/>
        <w:keepNext/>
        <w:spacing w:after="160" w:before="360"/>
      </w:pPr>
      <w:r>
        <w:rPr>
          <w:rFonts w:ascii="DM Serif Display" w:cs="DM Serif Display" w:eastAsia="DM Serif Display" w:hAnsi="DM Serif Display"/>
          <w:color w:val="123C48"/>
          <w:sz w:val="40"/>
          <w:szCs w:val="40"/>
        </w:rPr>
        <w:t xml:space="preserve">Part B: Grievance procedure</w:t>
      </w:r>
    </w:p>
    <w:p>
      <w:pPr>
        <w:spacing w:after="120" w:before="0" w:line="300"/>
      </w:pPr>
      <w:r>
        <w:rPr>
          <w:rFonts w:ascii="Nunito Sans" w:cs="Nunito Sans" w:eastAsia="Nunito Sans" w:hAnsi="Nunito Sans"/>
          <w:color w:val="102E3B"/>
          <w:sz w:val="20"/>
          <w:szCs w:val="20"/>
        </w:rPr>
        <w:t xml:space="preserve">A grievance is a concern an employee raises about their own work, working conditions or relationships at work: for example pay, workload, hours, changes to duties, or how a manager treats them.</w:t>
      </w:r>
    </w:p>
    <w:p>
      <w:pPr>
        <w:pStyle w:val="Heading2"/>
        <w:keepNext/>
        <w:spacing w:after="120" w:before="280"/>
      </w:pPr>
      <w:r>
        <w:rPr>
          <w:rFonts w:ascii="DM Serif Display" w:cs="DM Serif Display" w:eastAsia="DM Serif Display" w:hAnsi="DM Serif Display"/>
          <w:color w:val="123C48"/>
          <w:sz w:val="28"/>
          <w:szCs w:val="28"/>
        </w:rPr>
        <w:t xml:space="preserve">14. Informal first</w:t>
      </w:r>
    </w:p>
    <w:p>
      <w:pPr>
        <w:spacing w:after="120" w:before="0" w:line="300"/>
      </w:pPr>
      <w:r>
        <w:rPr>
          <w:rFonts w:ascii="Nunito Sans" w:cs="Nunito Sans" w:eastAsia="Nunito Sans" w:hAnsi="Nunito Sans"/>
          <w:color w:val="102E3B"/>
          <w:sz w:val="20"/>
          <w:szCs w:val="20"/>
        </w:rPr>
        <w:t xml:space="preserve">Most grievances are best raised early. Talk to your manager, or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if it is about your manager. They will listen and try to agree a solution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You never have to use the informal route.</w:t>
      </w:r>
    </w:p>
    <w:p>
      <w:pPr>
        <w:pStyle w:val="Heading2"/>
        <w:keepNext/>
        <w:spacing w:after="120" w:before="280"/>
      </w:pPr>
      <w:r>
        <w:rPr>
          <w:rFonts w:ascii="DM Serif Display" w:cs="DM Serif Display" w:eastAsia="DM Serif Display" w:hAnsi="DM Serif Display"/>
          <w:color w:val="123C48"/>
          <w:sz w:val="28"/>
          <w:szCs w:val="28"/>
        </w:rPr>
        <w:t xml:space="preserve">15. Formal grievance, meeting and outcome</w:t>
      </w:r>
    </w:p>
    <w:p>
      <w:pPr>
        <w:spacing w:after="120" w:before="0" w:line="300"/>
      </w:pPr>
      <w:r>
        <w:rPr>
          <w:rFonts w:ascii="Nunito Sans" w:cs="Nunito Sans" w:eastAsia="Nunito Sans" w:hAnsi="Nunito Sans"/>
          <w:color w:val="102E3B"/>
          <w:sz w:val="20"/>
          <w:szCs w:val="20"/>
        </w:rPr>
        <w:t xml:space="preserve">If the informal route does not work, or the matter is serious, write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using Annex E or an email, saying what happened and what outcome you want. Someone not involved meets you, with a companion if you wish (section 7), checks any facts confidentially and gives you a written decision with reasons. You can appeal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who was not involved.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3"/>
        <w:gridCol w:w="4001"/>
      </w:tblGrid>
      <w:tr>
        <w:trPr>
          <w:cantSplit/>
          <w:tblHeader/>
        </w:trPr>
        <w:tc>
          <w:tcPr>
            <w:tcW w:type="dxa" w:w="5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STEP</w:t>
            </w:r>
          </w:p>
        </w:tc>
        <w:tc>
          <w:tcPr>
            <w:tcW w:type="dxa" w:w="4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Informal resolution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Target </w:t>
            </w:r>
            <w:r>
              <w:rPr>
                <w:rFonts w:ascii="Nunito Sans" w:cs="Nunito Sans" w:eastAsia="Nunito Sans" w:hAnsi="Nunito Sans"/>
                <w:color w:val="102E3B"/>
                <w:sz w:val="18"/>
                <w:szCs w:val="18"/>
                <w:highlight w:val="yellow"/>
              </w:rPr>
              <w:t xml:space="preserve">[10 working days]</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Acknowledge a formal grievance</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 working days]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Grievance meeting</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[10 working days]</w:t>
            </w:r>
            <w:r>
              <w:rPr>
                <w:rFonts w:ascii="Nunito Sans" w:cs="Nunito Sans" w:eastAsia="Nunito Sans" w:hAnsi="Nunito Sans"/>
                <w:color w:val="102E3B"/>
                <w:sz w:val="18"/>
                <w:szCs w:val="18"/>
              </w:rPr>
              <w:t xml:space="preserve"> of receiving it</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Written outcome</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the meeting or further checks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Lodge an appeal</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[10 working days]</w:t>
            </w:r>
            <w:r>
              <w:rPr>
                <w:rFonts w:ascii="Nunito Sans" w:cs="Nunito Sans" w:eastAsia="Nunito Sans" w:hAnsi="Nunito Sans"/>
                <w:color w:val="102E3B"/>
                <w:sz w:val="18"/>
                <w:szCs w:val="18"/>
              </w:rPr>
              <w:t xml:space="preserve"> of the outcome</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Appeal meeting</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[10 working days]</w:t>
            </w:r>
            <w:r>
              <w:rPr>
                <w:rFonts w:ascii="Nunito Sans" w:cs="Nunito Sans" w:eastAsia="Nunito Sans" w:hAnsi="Nunito Sans"/>
                <w:color w:val="102E3B"/>
                <w:sz w:val="18"/>
                <w:szCs w:val="18"/>
              </w:rPr>
              <w:t xml:space="preserve"> of receiving the appeal</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Final appeal decision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the appeal meeting</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16. Grievances during a disciplinary process</w:t>
      </w:r>
    </w:p>
    <w:p>
      <w:pPr>
        <w:spacing w:after="120" w:before="0" w:line="300"/>
      </w:pPr>
      <w:r>
        <w:rPr>
          <w:rFonts w:ascii="Nunito Sans" w:cs="Nunito Sans" w:eastAsia="Nunito Sans" w:hAnsi="Nunito Sans"/>
          <w:color w:val="102E3B"/>
          <w:sz w:val="20"/>
          <w:szCs w:val="20"/>
        </w:rPr>
        <w:t xml:space="preserve">We may pause a disciplinary process briefly to deal with a grievance raised during it, or deal with both together where closely linked. If the grievance alleges bias by the person handling the case, we consider appointing someone else.</w:t>
      </w:r>
    </w:p>
    <w:p>
      <w:pPr>
        <w:pStyle w:val="Heading2"/>
        <w:keepNext/>
        <w:spacing w:after="120" w:before="280"/>
      </w:pPr>
      <w:r>
        <w:rPr>
          <w:rFonts w:ascii="DM Serif Display" w:cs="DM Serif Display" w:eastAsia="DM Serif Display" w:hAnsi="DM Serif Display"/>
          <w:color w:val="123C48"/>
          <w:sz w:val="28"/>
          <w:szCs w:val="28"/>
        </w:rPr>
        <w:t xml:space="preserve">17. Collective grievances</w:t>
      </w:r>
    </w:p>
    <w:p>
      <w:pPr>
        <w:spacing w:after="120" w:before="0" w:line="300"/>
      </w:pPr>
      <w:r>
        <w:rPr>
          <w:rFonts w:ascii="Nunito Sans" w:cs="Nunito Sans" w:eastAsia="Nunito Sans" w:hAnsi="Nunito Sans"/>
          <w:color w:val="102E3B"/>
          <w:sz w:val="20"/>
          <w:szCs w:val="20"/>
        </w:rPr>
        <w:t xml:space="preserve">Where two or more employees share a grievance, they may raise it together or through a trade union or elected representative. We meet the group or its representatives and follow the same steps and timescales. Where we recognise a trade union, any agreed collective procedure applies instead.</w:t>
      </w:r>
    </w:p>
    <w:p>
      <w:pPr>
        <w:pStyle w:val="Heading2"/>
        <w:keepNext/>
        <w:spacing w:after="120" w:before="280"/>
      </w:pPr>
      <w:r>
        <w:rPr>
          <w:rFonts w:ascii="DM Serif Display" w:cs="DM Serif Display" w:eastAsia="DM Serif Display" w:hAnsi="DM Serif Display"/>
          <w:color w:val="123C48"/>
          <w:sz w:val="28"/>
          <w:szCs w:val="28"/>
        </w:rPr>
        <w:t xml:space="preserve">18. Grievances about the director, founder or board</w:t>
      </w:r>
    </w:p>
    <w:p>
      <w:pPr>
        <w:spacing w:after="120" w:before="0" w:line="300"/>
      </w:pPr>
      <w:r>
        <w:rPr>
          <w:rFonts w:ascii="Nunito Sans" w:cs="Nunito Sans" w:eastAsia="Nunito Sans" w:hAnsi="Nunito Sans"/>
          <w:color w:val="102E3B"/>
          <w:sz w:val="20"/>
          <w:szCs w:val="20"/>
        </w:rPr>
        <w:t xml:space="preserve">A grievance about the director, the founder or a board member goes directly to </w:t>
      </w:r>
      <w:r>
        <w:rPr>
          <w:rFonts w:ascii="Nunito Sans" w:cs="Nunito Sans" w:eastAsia="Nunito Sans" w:hAnsi="Nunito Sans"/>
          <w:color w:val="102E3B"/>
          <w:sz w:val="20"/>
          <w:szCs w:val="20"/>
          <w:highlight w:val="yellow"/>
        </w:rPr>
        <w:t xml:space="preserve">[Name, role, for example the chair of the board]</w:t>
      </w:r>
      <w:r>
        <w:rPr>
          <w:rFonts w:ascii="Nunito Sans" w:cs="Nunito Sans" w:eastAsia="Nunito Sans" w:hAnsi="Nunito Sans"/>
          <w:color w:val="102E3B"/>
          <w:sz w:val="20"/>
          <w:szCs w:val="20"/>
        </w:rPr>
        <w:t xml:space="preserve">, or to our independent contact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They handle it under this procedure, with an external adviser if needed. The person concerned takes no part in handling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WHEN THE FOUNDER IS THE MANAGER</w:t>
            </w:r>
          </w:p>
          <w:p>
            <w:pPr>
              <w:spacing w:after="120" w:before="0" w:line="300"/>
            </w:pPr>
            <w:r>
              <w:rPr>
                <w:rFonts w:ascii="Nunito Sans" w:cs="Nunito Sans" w:eastAsia="Nunito Sans" w:hAnsi="Nunito Sans"/>
                <w:color w:val="102E3B"/>
                <w:sz w:val="19"/>
                <w:szCs w:val="19"/>
              </w:rPr>
              <w:t xml:space="preserve">In many small organisations every employee reports to the founder. Make sure the grievance route reaches someone the founder does not control: a board chair, an independent board member or an outside independent contact. If you have no board yet, name an external person now and agree their role in writing, as described in the Independent Contact Role Note.</w:t>
            </w:r>
          </w:p>
        </w:tc>
      </w:tr>
    </w:tbl>
    <w:p>
      <w:pPr>
        <w:spacing w:after="120"/>
      </w:pPr>
    </w:p>
    <w:p>
      <w:pPr>
        <w:spacing w:after="120" w:before="0" w:line="300"/>
      </w:pPr>
      <w:r>
        <w:rPr>
          <w:rFonts w:ascii="Nunito Sans" w:cs="Nunito Sans" w:eastAsia="Nunito Sans" w:hAnsi="Nunito Sans"/>
          <w:b/>
          <w:bCs/>
          <w:color w:val="102E3B"/>
          <w:sz w:val="20"/>
          <w:szCs w:val="20"/>
        </w:rPr>
        <w:t xml:space="preserve">Harassment, bullying and discrimination</w:t>
      </w:r>
      <w:r>
        <w:rPr>
          <w:rFonts w:ascii="Nunito Sans" w:cs="Nunito Sans" w:eastAsia="Nunito Sans" w:hAnsi="Nunito Sans"/>
          <w:color w:val="102E3B"/>
          <w:sz w:val="20"/>
          <w:szCs w:val="20"/>
        </w:rPr>
        <w:t xml:space="preserve"> complaints follow the Anti-Harassment, Intimidation and Bullying Policy and Procedure, which has its own timescales and support.</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Board</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procedure. Hears appeals and cases about the director. Receives an anonymised summary each year.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Director</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Decides disciplinary cases and hears grievances, unless involved.</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People lead</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Advises managers, arranges investigators, keeps records and checks timescales.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Managers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 early and informally, support improvement, keep notes and never discourage a grievance.</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Safeguarding lead</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Advises on any case linked to a safeguarding concern, including suspension and protecting survivors.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Employees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Cooperate with investigations, attend meetings and keep matters confidential.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We keep written records of every formal case, including notes, evidence, decisions with reasons and appeals. The employee receives the notes of their meetings and every decision.</w:t>
      </w:r>
    </w:p>
    <w:p>
      <w:pPr>
        <w:spacing w:after="120" w:before="0" w:line="300"/>
      </w:pPr>
      <w:r>
        <w:rPr>
          <w:rFonts w:ascii="Nunito Sans" w:cs="Nunito Sans" w:eastAsia="Nunito Sans" w:hAnsi="Nunito Sans"/>
          <w:color w:val="102E3B"/>
          <w:sz w:val="20"/>
          <w:szCs w:val="20"/>
        </w:rPr>
        <w:t xml:space="preserve">Case files are kept in </w:t>
      </w:r>
      <w:r>
        <w:rPr>
          <w:rFonts w:ascii="Nunito Sans" w:cs="Nunito Sans" w:eastAsia="Nunito Sans" w:hAnsi="Nunito Sans"/>
          <w:color w:val="102E3B"/>
          <w:sz w:val="20"/>
          <w:szCs w:val="20"/>
          <w:highlight w:val="yellow"/>
        </w:rPr>
        <w:t xml:space="preserve">[a restricted, encrypted folder]</w:t>
      </w:r>
      <w:r>
        <w:rPr>
          <w:rFonts w:ascii="Nunito Sans" w:cs="Nunito Sans" w:eastAsia="Nunito Sans" w:hAnsi="Nunito Sans"/>
          <w:color w:val="102E3B"/>
          <w:sz w:val="20"/>
          <w:szCs w:val="20"/>
        </w:rPr>
        <w:t xml:space="preserve">, separate from the personnel file, which holds only outcome letters and warnings. We keep records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the case closes or the employment ends, whichever is later, or longer if legal proceedings are ongoing or expected. Cases involving a child are kept until the child turns </w:t>
      </w:r>
      <w:r>
        <w:rPr>
          <w:rFonts w:ascii="Nunito Sans" w:cs="Nunito Sans" w:eastAsia="Nunito Sans" w:hAnsi="Nunito Sans"/>
          <w:color w:val="102E3B"/>
          <w:sz w:val="20"/>
          <w:szCs w:val="20"/>
          <w:highlight w:val="yellow"/>
        </w:rPr>
        <w:t xml:space="preserve">[25]</w:t>
      </w:r>
      <w:r>
        <w:rPr>
          <w:rFonts w:ascii="Nunito Sans" w:cs="Nunito Sans" w:eastAsia="Nunito Sans" w:hAnsi="Nunito Sans"/>
          <w:color w:val="102E3B"/>
          <w:sz w:val="20"/>
          <w:szCs w:val="20"/>
        </w:rPr>
        <w:t xml:space="preserve"> or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closure, whichever is later. Safeguarding allegations against staff are kept for </w:t>
      </w:r>
      <w:r>
        <w:rPr>
          <w:rFonts w:ascii="Nunito Sans" w:cs="Nunito Sans" w:eastAsia="Nunito Sans" w:hAnsi="Nunito Sans"/>
          <w:color w:val="102E3B"/>
          <w:sz w:val="20"/>
          <w:szCs w:val="20"/>
          <w:highlight w:val="yellow"/>
        </w:rPr>
        <w:t xml:space="preserve">[10 years]</w:t>
      </w:r>
      <w:r>
        <w:rPr>
          <w:rFonts w:ascii="Nunito Sans" w:cs="Nunito Sans" w:eastAsia="Nunito Sans" w:hAnsi="Nunito Sans"/>
          <w:color w:val="102E3B"/>
          <w:sz w:val="20"/>
          <w:szCs w:val="20"/>
        </w:rPr>
        <w:t xml:space="preserve"> or longer, as our Records Retention Schedule sets out, so that we can answer reference requests where the law allows. We then delete records securely, following our Data Protection Policy. We never put case information into AI tools or online services we have not approved, and do not record meetings unless everyone agrees.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RECORDS AND RETENTION</w:t>
            </w:r>
          </w:p>
          <w:p>
            <w:pPr>
              <w:spacing w:after="120" w:before="0" w:line="300"/>
            </w:pPr>
            <w:r>
              <w:rPr>
                <w:rFonts w:ascii="Nunito Sans" w:cs="Nunito Sans" w:eastAsia="Nunito Sans" w:hAnsi="Nunito Sans"/>
                <w:color w:val="102E3B"/>
                <w:sz w:val="19"/>
                <w:szCs w:val="19"/>
              </w:rPr>
              <w:t xml:space="preserve">Check your local employment and data protection law on how long you may keep disciplinary records, employees' rights to see them, and recording meetings. Six years is common where it matches the time limit for legal claims, but limitation periods differ. Add your periods to your Records Retention Schedule, and mention any longer retention of misconduct findings in your Privacy Notice.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gives the board an anonymised summary of cases, grievances, timescales, outcomes and patterns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We review this procedure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after any dismissal or formal grievance, and when the law changes.</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Employment Contract</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Anti-Harassment, Intimidation and Bullying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Whistleblowing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Independent Contact Role Note</w:t>
      </w:r>
    </w:p>
    <w:p>
      <w:pPr>
        <w:pStyle w:val="ListParagraph"/>
        <w:numPr>
          <w:ilvl w:val="0"/>
          <w:numId w:val="3"/>
        </w:numPr>
        <w:spacing w:after="80" w:line="290"/>
      </w:pPr>
      <w:r>
        <w:rPr>
          <w:rFonts w:ascii="Nunito Sans" w:cs="Nunito Sans" w:eastAsia="Nunito Sans" w:hAnsi="Nunito Sans"/>
          <w:color w:val="102E3B"/>
          <w:sz w:val="20"/>
          <w:szCs w:val="20"/>
        </w:rPr>
        <w:t xml:space="preserve">Incident Reporting Procedure</w:t>
      </w:r>
    </w:p>
    <w:p>
      <w:pPr>
        <w:pStyle w:val="ListParagraph"/>
        <w:numPr>
          <w:ilvl w:val="0"/>
          <w:numId w:val="3"/>
        </w:numPr>
        <w:spacing w:after="80" w:line="290"/>
      </w:pPr>
      <w:r>
        <w:rPr>
          <w:rFonts w:ascii="Nunito Sans" w:cs="Nunito Sans" w:eastAsia="Nunito Sans" w:hAnsi="Nunito Sans"/>
          <w:color w:val="102E3B"/>
          <w:sz w:val="20"/>
          <w:szCs w:val="20"/>
        </w:rPr>
        <w:t xml:space="preserve">Volunteer Agreement and Independent Contractor Agreement</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 and Data Protection Policy</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Invitation to an investigation meeting</w:t>
      </w:r>
    </w:p>
    <w:p>
      <w:pPr>
        <w:spacing w:after="120" w:before="0" w:line="300"/>
      </w:pP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 Private and confidential</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have received a concern about </w:t>
      </w:r>
      <w:r>
        <w:rPr>
          <w:rFonts w:ascii="Nunito Sans" w:cs="Nunito Sans" w:eastAsia="Nunito Sans" w:hAnsi="Nunito Sans"/>
          <w:color w:val="102E3B"/>
          <w:sz w:val="20"/>
          <w:szCs w:val="20"/>
          <w:highlight w:val="yellow"/>
        </w:rPr>
        <w:t xml:space="preserve">[brief description, for example "the expense claims you submitted for March"]</w:t>
      </w:r>
      <w:r>
        <w:rPr>
          <w:rFonts w:ascii="Nunito Sans" w:cs="Nunito Sans" w:eastAsia="Nunito Sans" w:hAnsi="Nunito Sans"/>
          <w:color w:val="102E3B"/>
          <w:sz w:val="20"/>
          <w:szCs w:val="20"/>
        </w:rPr>
        <w:t xml:space="preserve">, and need to establish the facts.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will investigate. Please attend an investigation meeting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[time]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[place / online link]</w:t>
      </w:r>
      <w:r>
        <w:rPr>
          <w:rFonts w:ascii="Nunito Sans" w:cs="Nunito Sans" w:eastAsia="Nunito Sans" w:hAnsi="Nunito Sans"/>
          <w:color w:val="102E3B"/>
          <w:sz w:val="20"/>
          <w:szCs w:val="20"/>
        </w:rPr>
        <w:t xml:space="preserve">. The investigator will explain the concern and ask for your account, and you may suggest witnesses or documents.</w:t>
      </w:r>
    </w:p>
    <w:p>
      <w:pPr>
        <w:spacing w:after="120" w:before="0" w:line="300"/>
      </w:pPr>
      <w:r>
        <w:rPr>
          <w:rFonts w:ascii="Nunito Sans" w:cs="Nunito Sans" w:eastAsia="Nunito Sans" w:hAnsi="Nunito Sans"/>
          <w:color w:val="102E3B"/>
          <w:sz w:val="20"/>
          <w:szCs w:val="20"/>
        </w:rPr>
        <w:t xml:space="preserve">This is not a disciplinary hearing, and no decision will be made at it. </w:t>
      </w:r>
      <w:r>
        <w:rPr>
          <w:rFonts w:ascii="Nunito Sans" w:cs="Nunito Sans" w:eastAsia="Nunito Sans" w:hAnsi="Nunito Sans"/>
          <w:color w:val="102E3B"/>
          <w:sz w:val="20"/>
          <w:szCs w:val="20"/>
          <w:highlight w:val="yellow"/>
        </w:rPr>
        <w:t xml:space="preserve">[You may bring a colleague or trade union representative.]</w:t>
      </w:r>
      <w:r>
        <w:rPr>
          <w:rFonts w:ascii="Nunito Sans" w:cs="Nunito Sans" w:eastAsia="Nunito Sans" w:hAnsi="Nunito Sans"/>
          <w:color w:val="102E3B"/>
          <w:sz w:val="20"/>
          <w:szCs w:val="20"/>
        </w:rPr>
        <w:t xml:space="preserve"> Please tell us if you need an adjustment or interpreter, and do not discuss the matter with possible witnesses. For support, contact </w:t>
      </w:r>
      <w:r>
        <w:rPr>
          <w:rFonts w:ascii="Nunito Sans" w:cs="Nunito Sans" w:eastAsia="Nunito Sans" w:hAnsi="Nunito Sans"/>
          <w:color w:val="102E3B"/>
          <w:sz w:val="20"/>
          <w:szCs w:val="20"/>
          <w:highlight w:val="yellow"/>
        </w:rPr>
        <w:t xml:space="preserve">[Name, contact details]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Yours sincerely, </w:t>
      </w:r>
      <w:r>
        <w:rPr>
          <w:rFonts w:ascii="Nunito Sans" w:cs="Nunito Sans" w:eastAsia="Nunito Sans" w:hAnsi="Nunito Sans"/>
          <w:color w:val="102E3B"/>
          <w:sz w:val="20"/>
          <w:szCs w:val="20"/>
          <w:highlight w:val="yellow"/>
        </w:rPr>
        <w:t xml:space="preserve">[Name, role]</w:t>
      </w:r>
    </w:p>
    <w:p>
      <w:pPr>
        <w:pStyle w:val="Heading1"/>
        <w:keepNext/>
        <w:spacing w:after="160" w:before="360"/>
      </w:pPr>
      <w:r>
        <w:rPr>
          <w:rFonts w:ascii="DM Serif Display" w:cs="DM Serif Display" w:eastAsia="DM Serif Display" w:hAnsi="DM Serif Display"/>
          <w:color w:val="123C48"/>
          <w:sz w:val="40"/>
          <w:szCs w:val="40"/>
        </w:rPr>
        <w:t xml:space="preserve">Annex B: Invitation to a disciplinary hearing</w:t>
      </w:r>
    </w:p>
    <w:p>
      <w:pPr>
        <w:spacing w:after="120" w:before="0" w:line="300"/>
      </w:pP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 Private and confidential</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Following the investigation into </w:t>
      </w:r>
      <w:r>
        <w:rPr>
          <w:rFonts w:ascii="Nunito Sans" w:cs="Nunito Sans" w:eastAsia="Nunito Sans" w:hAnsi="Nunito Sans"/>
          <w:color w:val="102E3B"/>
          <w:sz w:val="20"/>
          <w:szCs w:val="20"/>
          <w:highlight w:val="yellow"/>
        </w:rPr>
        <w:t xml:space="preserve">[subject]</w:t>
      </w:r>
      <w:r>
        <w:rPr>
          <w:rFonts w:ascii="Nunito Sans" w:cs="Nunito Sans" w:eastAsia="Nunito Sans" w:hAnsi="Nunito Sans"/>
          <w:color w:val="102E3B"/>
          <w:sz w:val="20"/>
          <w:szCs w:val="20"/>
        </w:rPr>
        <w:t xml:space="preserve">, please attend a disciplinary hearing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[time]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[place / online link]</w:t>
      </w:r>
      <w:r>
        <w:rPr>
          <w:rFonts w:ascii="Nunito Sans" w:cs="Nunito Sans" w:eastAsia="Nunito Sans" w:hAnsi="Nunito Sans"/>
          <w:color w:val="102E3B"/>
          <w:sz w:val="20"/>
          <w:szCs w:val="20"/>
        </w:rPr>
        <w:t xml:space="preserve">, conducted by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with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taking notes. The allegations are:</w:t>
      </w:r>
    </w:p>
    <w:p>
      <w:pPr>
        <w:pStyle w:val="ListParagraph"/>
        <w:numPr>
          <w:ilvl w:val="0"/>
          <w:numId w:val="6"/>
        </w:numPr>
        <w:spacing w:after="80" w:line="290"/>
      </w:pPr>
      <w:r>
        <w:rPr>
          <w:rFonts w:ascii="Nunito Sans" w:cs="Nunito Sans" w:eastAsia="Nunito Sans" w:hAnsi="Nunito Sans"/>
          <w:color w:val="102E3B"/>
          <w:sz w:val="20"/>
          <w:szCs w:val="20"/>
          <w:highlight w:val="yellow"/>
        </w:rPr>
        <w:t xml:space="preserve">[Allegation, with dates and facts]</w:t>
      </w:r>
    </w:p>
    <w:p>
      <w:pPr>
        <w:pStyle w:val="ListParagraph"/>
        <w:numPr>
          <w:ilvl w:val="0"/>
          <w:numId w:val="6"/>
        </w:numPr>
        <w:spacing w:after="80" w:line="290"/>
      </w:pPr>
      <w:r>
        <w:rPr>
          <w:rFonts w:ascii="Nunito Sans" w:cs="Nunito Sans" w:eastAsia="Nunito Sans" w:hAnsi="Nunito Sans"/>
          <w:color w:val="102E3B"/>
          <w:sz w:val="20"/>
          <w:szCs w:val="20"/>
          <w:highlight w:val="yellow"/>
        </w:rPr>
        <w:t xml:space="preserve">[Allegation, with dates and facts]</w:t>
      </w:r>
    </w:p>
    <w:p>
      <w:pPr>
        <w:spacing w:after="120" w:before="0" w:line="300"/>
      </w:pPr>
      <w:r>
        <w:rPr>
          <w:rFonts w:ascii="Nunito Sans" w:cs="Nunito Sans" w:eastAsia="Nunito Sans" w:hAnsi="Nunito Sans"/>
          <w:color w:val="102E3B"/>
          <w:sz w:val="20"/>
          <w:szCs w:val="20"/>
        </w:rPr>
        <w:t xml:space="preserve">I enclose the investigation report and the evidence we rely on: </w:t>
      </w:r>
      <w:r>
        <w:rPr>
          <w:rFonts w:ascii="Nunito Sans" w:cs="Nunito Sans" w:eastAsia="Nunito Sans" w:hAnsi="Nunito Sans"/>
          <w:color w:val="102E3B"/>
          <w:sz w:val="20"/>
          <w:szCs w:val="20"/>
          <w:highlight w:val="yellow"/>
        </w:rPr>
        <w:t xml:space="preserve">[list]</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[If proven, these allegations may amount to gross misconduct / misconduct.]</w:t>
      </w:r>
      <w:r>
        <w:rPr>
          <w:rFonts w:ascii="Nunito Sans" w:cs="Nunito Sans" w:eastAsia="Nunito Sans" w:hAnsi="Nunito Sans"/>
          <w:color w:val="102E3B"/>
          <w:sz w:val="20"/>
          <w:szCs w:val="20"/>
        </w:rPr>
        <w:t xml:space="preserve"> A possible outcome is </w:t>
      </w:r>
      <w:r>
        <w:rPr>
          <w:rFonts w:ascii="Nunito Sans" w:cs="Nunito Sans" w:eastAsia="Nunito Sans" w:hAnsi="Nunito Sans"/>
          <w:color w:val="102E3B"/>
          <w:sz w:val="20"/>
          <w:szCs w:val="20"/>
          <w:highlight w:val="yellow"/>
        </w:rPr>
        <w:t xml:space="preserve">[a written warning / a final written warning / dismissal]</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You can respond to each allegation, present evidence and ask for witnesses; please send any documents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You may be accompanied by </w:t>
      </w:r>
      <w:r>
        <w:rPr>
          <w:rFonts w:ascii="Nunito Sans" w:cs="Nunito Sans" w:eastAsia="Nunito Sans" w:hAnsi="Nunito Sans"/>
          <w:color w:val="102E3B"/>
          <w:sz w:val="20"/>
          <w:szCs w:val="20"/>
          <w:highlight w:val="yellow"/>
        </w:rPr>
        <w:t xml:space="preserve">[a colleague or trade union representative]</w:t>
      </w:r>
      <w:r>
        <w:rPr>
          <w:rFonts w:ascii="Nunito Sans" w:cs="Nunito Sans" w:eastAsia="Nunito Sans" w:hAnsi="Nunito Sans"/>
          <w:color w:val="102E3B"/>
          <w:sz w:val="20"/>
          <w:szCs w:val="20"/>
        </w:rPr>
        <w:t xml:space="preserve">; if they cannot attend, you may propose another time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Please tell us if you need an adjustment or an interpreter.</w:t>
      </w:r>
    </w:p>
    <w:p>
      <w:pPr>
        <w:spacing w:after="120" w:before="0" w:line="300"/>
      </w:pPr>
      <w:r>
        <w:rPr>
          <w:rFonts w:ascii="Nunito Sans" w:cs="Nunito Sans" w:eastAsia="Nunito Sans" w:hAnsi="Nunito Sans"/>
          <w:color w:val="102E3B"/>
          <w:sz w:val="20"/>
          <w:szCs w:val="20"/>
        </w:rPr>
        <w:t xml:space="preserve">Yours sincerely, </w:t>
      </w:r>
      <w:r>
        <w:rPr>
          <w:rFonts w:ascii="Nunito Sans" w:cs="Nunito Sans" w:eastAsia="Nunito Sans" w:hAnsi="Nunito Sans"/>
          <w:color w:val="102E3B"/>
          <w:sz w:val="20"/>
          <w:szCs w:val="20"/>
          <w:highlight w:val="yellow"/>
        </w:rPr>
        <w:t xml:space="preserve">[Name, role]</w:t>
      </w:r>
    </w:p>
    <w:p>
      <w:pPr>
        <w:pStyle w:val="Heading1"/>
        <w:keepNext/>
        <w:spacing w:after="160" w:before="360"/>
      </w:pPr>
      <w:r>
        <w:rPr>
          <w:rFonts w:ascii="DM Serif Display" w:cs="DM Serif Display" w:eastAsia="DM Serif Display" w:hAnsi="DM Serif Display"/>
          <w:color w:val="123C48"/>
          <w:sz w:val="40"/>
          <w:szCs w:val="40"/>
        </w:rPr>
        <w:t xml:space="preserve">Annex C: Disciplinary outcome letter</w:t>
      </w:r>
    </w:p>
    <w:p>
      <w:pPr>
        <w:spacing w:after="120" w:before="0" w:line="300"/>
      </w:pP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 Private and confidential</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Thank you for attending the hearing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with </w:t>
      </w:r>
      <w:r>
        <w:rPr>
          <w:rFonts w:ascii="Nunito Sans" w:cs="Nunito Sans" w:eastAsia="Nunito Sans" w:hAnsi="Nunito Sans"/>
          <w:color w:val="102E3B"/>
          <w:sz w:val="20"/>
          <w:szCs w:val="20"/>
          <w:highlight w:val="yellow"/>
        </w:rPr>
        <w:t xml:space="preserve">[companion's name / no companion]</w:t>
      </w:r>
      <w:r>
        <w:rPr>
          <w:rFonts w:ascii="Nunito Sans" w:cs="Nunito Sans" w:eastAsia="Nunito Sans" w:hAnsi="Nunito Sans"/>
          <w:color w:val="102E3B"/>
          <w:sz w:val="20"/>
          <w:szCs w:val="20"/>
        </w:rPr>
        <w:t xml:space="preserve">. I have considered the evidence and everything you said, including </w:t>
      </w:r>
      <w:r>
        <w:rPr>
          <w:rFonts w:ascii="Nunito Sans" w:cs="Nunito Sans" w:eastAsia="Nunito Sans" w:hAnsi="Nunito Sans"/>
          <w:color w:val="102E3B"/>
          <w:sz w:val="20"/>
          <w:szCs w:val="20"/>
          <w:highlight w:val="yellow"/>
        </w:rPr>
        <w:t xml:space="preserve">[mitigating factors]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My findings are: </w:t>
      </w:r>
      <w:r>
        <w:rPr>
          <w:rFonts w:ascii="Nunito Sans" w:cs="Nunito Sans" w:eastAsia="Nunito Sans" w:hAnsi="Nunito Sans"/>
          <w:color w:val="102E3B"/>
          <w:sz w:val="20"/>
          <w:szCs w:val="20"/>
          <w:highlight w:val="yellow"/>
        </w:rPr>
        <w:t xml:space="preserve">[for each allegation, upheld or not upheld, with reasons]</w:t>
      </w:r>
      <w:r>
        <w:rPr>
          <w:rFonts w:ascii="Nunito Sans" w:cs="Nunito Sans" w:eastAsia="Nunito Sans" w:hAnsi="Nunito Sans"/>
          <w:color w:val="102E3B"/>
          <w:sz w:val="20"/>
          <w:szCs w:val="20"/>
        </w:rPr>
        <w:t xml:space="preserve">. My decision is: </w:t>
      </w:r>
      <w:r>
        <w:rPr>
          <w:rFonts w:ascii="Nunito Sans" w:cs="Nunito Sans" w:eastAsia="Nunito Sans" w:hAnsi="Nunito Sans"/>
          <w:color w:val="102E3B"/>
          <w:sz w:val="20"/>
          <w:szCs w:val="20"/>
          <w:highlight w:val="yellow"/>
        </w:rPr>
        <w:t xml:space="preserve">[no action / first written warning / final written warning / dismissal with notice, last day date / dismissal without notice for gross misconduct, effective date]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[For a warning:]</w:t>
      </w:r>
      <w:r>
        <w:rPr>
          <w:rFonts w:ascii="Nunito Sans" w:cs="Nunito Sans" w:eastAsia="Nunito Sans" w:hAnsi="Nunito Sans"/>
          <w:color w:val="102E3B"/>
          <w:sz w:val="20"/>
          <w:szCs w:val="20"/>
        </w:rPr>
        <w:t xml:space="preserve"> The improvement expected is </w:t>
      </w:r>
      <w:r>
        <w:rPr>
          <w:rFonts w:ascii="Nunito Sans" w:cs="Nunito Sans" w:eastAsia="Nunito Sans" w:hAnsi="Nunito Sans"/>
          <w:color w:val="102E3B"/>
          <w:sz w:val="20"/>
          <w:szCs w:val="20"/>
          <w:highlight w:val="yellow"/>
        </w:rPr>
        <w:t xml:space="preserve">[describe]</w:t>
      </w:r>
      <w:r>
        <w:rPr>
          <w:rFonts w:ascii="Nunito Sans" w:cs="Nunito Sans" w:eastAsia="Nunito Sans" w:hAnsi="Nunito Sans"/>
          <w:color w:val="102E3B"/>
          <w:sz w:val="20"/>
          <w:szCs w:val="20"/>
        </w:rPr>
        <w:t xml:space="preserve">, with this support: </w:t>
      </w:r>
      <w:r>
        <w:rPr>
          <w:rFonts w:ascii="Nunito Sans" w:cs="Nunito Sans" w:eastAsia="Nunito Sans" w:hAnsi="Nunito Sans"/>
          <w:color w:val="102E3B"/>
          <w:sz w:val="20"/>
          <w:szCs w:val="20"/>
          <w:highlight w:val="yellow"/>
        </w:rPr>
        <w:t xml:space="preserve">[describe]</w:t>
      </w:r>
      <w:r>
        <w:rPr>
          <w:rFonts w:ascii="Nunito Sans" w:cs="Nunito Sans" w:eastAsia="Nunito Sans" w:hAnsi="Nunito Sans"/>
          <w:color w:val="102E3B"/>
          <w:sz w:val="20"/>
          <w:szCs w:val="20"/>
        </w:rPr>
        <w:t xml:space="preserve">. The warning stays live until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Further misconduct during this time may lead to </w:t>
      </w:r>
      <w:r>
        <w:rPr>
          <w:rFonts w:ascii="Nunito Sans" w:cs="Nunito Sans" w:eastAsia="Nunito Sans" w:hAnsi="Nunito Sans"/>
          <w:color w:val="102E3B"/>
          <w:sz w:val="20"/>
          <w:szCs w:val="20"/>
          <w:highlight w:val="yellow"/>
        </w:rPr>
        <w:t xml:space="preserve">[a final written warning / dismissal]</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[For dismissal:]</w:t>
      </w:r>
      <w:r>
        <w:rPr>
          <w:rFonts w:ascii="Nunito Sans" w:cs="Nunito Sans" w:eastAsia="Nunito Sans" w:hAnsi="Nunito Sans"/>
          <w:color w:val="102E3B"/>
          <w:sz w:val="20"/>
          <w:szCs w:val="20"/>
        </w:rPr>
        <w:t xml:space="preserve"> You will receive </w:t>
      </w:r>
      <w:r>
        <w:rPr>
          <w:rFonts w:ascii="Nunito Sans" w:cs="Nunito Sans" w:eastAsia="Nunito Sans" w:hAnsi="Nunito Sans"/>
          <w:color w:val="102E3B"/>
          <w:sz w:val="20"/>
          <w:szCs w:val="20"/>
          <w:highlight w:val="yellow"/>
        </w:rPr>
        <w:t xml:space="preserve">[notice pay, accrued leave and other amounts due]</w:t>
      </w:r>
      <w:r>
        <w:rPr>
          <w:rFonts w:ascii="Nunito Sans" w:cs="Nunito Sans" w:eastAsia="Nunito Sans" w:hAnsi="Nunito Sans"/>
          <w:color w:val="102E3B"/>
          <w:sz w:val="20"/>
          <w:szCs w:val="20"/>
        </w:rPr>
        <w:t xml:space="preserve">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You may appeal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of receiving this letter, by writing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with your grounds.</w:t>
      </w:r>
    </w:p>
    <w:p>
      <w:pPr>
        <w:spacing w:after="120" w:before="0" w:line="300"/>
      </w:pPr>
      <w:r>
        <w:rPr>
          <w:rFonts w:ascii="Nunito Sans" w:cs="Nunito Sans" w:eastAsia="Nunito Sans" w:hAnsi="Nunito Sans"/>
          <w:color w:val="102E3B"/>
          <w:sz w:val="20"/>
          <w:szCs w:val="20"/>
        </w:rPr>
        <w:t xml:space="preserve">Yours sincerely, </w:t>
      </w:r>
      <w:r>
        <w:rPr>
          <w:rFonts w:ascii="Nunito Sans" w:cs="Nunito Sans" w:eastAsia="Nunito Sans" w:hAnsi="Nunito Sans"/>
          <w:color w:val="102E3B"/>
          <w:sz w:val="20"/>
          <w:szCs w:val="20"/>
          <w:highlight w:val="yellow"/>
        </w:rPr>
        <w:t xml:space="preserve">[Name, role]</w:t>
      </w:r>
    </w:p>
    <w:p>
      <w:pPr>
        <w:pStyle w:val="Heading1"/>
        <w:keepNext/>
        <w:spacing w:after="160" w:before="360"/>
      </w:pPr>
      <w:r>
        <w:rPr>
          <w:rFonts w:ascii="DM Serif Display" w:cs="DM Serif Display" w:eastAsia="DM Serif Display" w:hAnsi="DM Serif Display"/>
          <w:color w:val="123C48"/>
          <w:sz w:val="40"/>
          <w:szCs w:val="40"/>
        </w:rPr>
        <w:t xml:space="preserve">Annex D: Appeal outcome letter</w:t>
      </w:r>
    </w:p>
    <w:p>
      <w:pPr>
        <w:spacing w:after="120" w:before="0" w:line="300"/>
      </w:pP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 Private and confidential</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Thank you for attending the appeal hearing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Your grounds were: </w:t>
      </w:r>
      <w:r>
        <w:rPr>
          <w:rFonts w:ascii="Nunito Sans" w:cs="Nunito Sans" w:eastAsia="Nunito Sans" w:hAnsi="Nunito Sans"/>
          <w:color w:val="102E3B"/>
          <w:sz w:val="20"/>
          <w:szCs w:val="20"/>
          <w:highlight w:val="yellow"/>
        </w:rPr>
        <w:t xml:space="preserve">[summary]</w:t>
      </w:r>
      <w:r>
        <w:rPr>
          <w:rFonts w:ascii="Nunito Sans" w:cs="Nunito Sans" w:eastAsia="Nunito Sans" w:hAnsi="Nunito Sans"/>
          <w:color w:val="102E3B"/>
          <w:sz w:val="20"/>
          <w:szCs w:val="20"/>
        </w:rPr>
        <w:t xml:space="preserve">. Having considered the evidence and your submissions, I have decided to </w:t>
      </w:r>
      <w:r>
        <w:rPr>
          <w:rFonts w:ascii="Nunito Sans" w:cs="Nunito Sans" w:eastAsia="Nunito Sans" w:hAnsi="Nunito Sans"/>
          <w:color w:val="102E3B"/>
          <w:sz w:val="20"/>
          <w:szCs w:val="20"/>
          <w:highlight w:val="yellow"/>
        </w:rPr>
        <w:t xml:space="preserve">[confirm the original decision / replace it with lesser sanction / overturn it]</w:t>
      </w:r>
      <w:r>
        <w:rPr>
          <w:rFonts w:ascii="Nunito Sans" w:cs="Nunito Sans" w:eastAsia="Nunito Sans" w:hAnsi="Nunito Sans"/>
          <w:color w:val="102E3B"/>
          <w:sz w:val="20"/>
          <w:szCs w:val="20"/>
        </w:rPr>
        <w:t xml:space="preserve">, because </w:t>
      </w:r>
      <w:r>
        <w:rPr>
          <w:rFonts w:ascii="Nunito Sans" w:cs="Nunito Sans" w:eastAsia="Nunito Sans" w:hAnsi="Nunito Sans"/>
          <w:color w:val="102E3B"/>
          <w:sz w:val="20"/>
          <w:szCs w:val="20"/>
          <w:highlight w:val="yellow"/>
        </w:rPr>
        <w:t xml:space="preserve">[reasons for each ground]</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[If overturned: any warning is removed from your file, and any pay lost will be repaid by date.]</w:t>
      </w:r>
    </w:p>
    <w:p>
      <w:pPr>
        <w:spacing w:after="120" w:before="0" w:line="300"/>
      </w:pPr>
      <w:r>
        <w:rPr>
          <w:rFonts w:ascii="Nunito Sans" w:cs="Nunito Sans" w:eastAsia="Nunito Sans" w:hAnsi="Nunito Sans"/>
          <w:color w:val="102E3B"/>
          <w:sz w:val="20"/>
          <w:szCs w:val="20"/>
        </w:rPr>
        <w:t xml:space="preserve">This decision is final within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It does not affect your rights under the law.</w:t>
      </w:r>
    </w:p>
    <w:p>
      <w:pPr>
        <w:spacing w:after="120" w:before="0" w:line="300"/>
      </w:pPr>
      <w:r>
        <w:rPr>
          <w:rFonts w:ascii="Nunito Sans" w:cs="Nunito Sans" w:eastAsia="Nunito Sans" w:hAnsi="Nunito Sans"/>
          <w:color w:val="102E3B"/>
          <w:sz w:val="20"/>
          <w:szCs w:val="20"/>
        </w:rPr>
        <w:t xml:space="preserve">Yours sincerely, </w:t>
      </w:r>
      <w:r>
        <w:rPr>
          <w:rFonts w:ascii="Nunito Sans" w:cs="Nunito Sans" w:eastAsia="Nunito Sans" w:hAnsi="Nunito Sans"/>
          <w:color w:val="102E3B"/>
          <w:sz w:val="20"/>
          <w:szCs w:val="20"/>
          <w:highlight w:val="yellow"/>
        </w:rPr>
        <w:t xml:space="preserve">[Name, role]</w:t>
      </w:r>
    </w:p>
    <w:p>
      <w:pPr>
        <w:pStyle w:val="Heading1"/>
        <w:keepNext/>
        <w:spacing w:after="160" w:before="360"/>
      </w:pPr>
      <w:r>
        <w:rPr>
          <w:rFonts w:ascii="DM Serif Display" w:cs="DM Serif Display" w:eastAsia="DM Serif Display" w:hAnsi="DM Serif Display"/>
          <w:color w:val="123C48"/>
          <w:sz w:val="40"/>
          <w:szCs w:val="40"/>
        </w:rPr>
        <w:t xml:space="preserve">Annex E: Grievance form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name, role and contact details; date</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is your grievance about, if anyone?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happened, when, and who was involved?</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Have you raised it informally? With whom, when, and what happened?</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outcome would you like?</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Companion (name, if known), and any adjustment or interpreter needed</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FOR THE PEOPLE LEAD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Reference; date received; date acknowledged; handled by</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Meeting date; outcome and date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Appeal received? Outcome and date</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F: Hearing record</w:t>
      </w:r>
    </w:p>
    <w:p>
      <w:pPr>
        <w:spacing w:after="120" w:before="0" w:line="300"/>
      </w:pPr>
      <w:r>
        <w:rPr>
          <w:rFonts w:ascii="Nunito Sans" w:cs="Nunito Sans" w:eastAsia="Nunito Sans" w:hAnsi="Nunito Sans"/>
          <w:color w:val="102E3B"/>
          <w:sz w:val="20"/>
          <w:szCs w:val="20"/>
        </w:rPr>
        <w:t xml:space="preserve">Use this for disciplinary hearings, grievance meetings and appeals. Share a copy with the employee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Type of meeting, reference, date, time and place</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present and roles, including companion; adjustments provided</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Allegations or grievance discussed, and evidence presented</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Employee's response, including mitigating factors</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Witnesses heard; key questions and answers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Adjournment, and any further checks needed</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 if given, and how it will be confirmed in writing</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Note-taker</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Chair of the meeting</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Disciplinary and Grievance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C0B82690-E612-8440-E30C-37846EAA087F}"/>
  </w:font>
  <w:font w:name="DM Serif Display">
    <w:family w:val="auto"/>
    <w:pitch w:val="variable"/>
    <w:sig w:usb0="E0002AFF" w:usb1="C000247B" w:usb2="00000009" w:usb3="00000000" w:csb0="000001FF" w:csb1="00000000"/>
    <w:embedRegular r:id="rId2" w:fontKey="{967048A3-2FE8-E692-6877-0A0C24C006B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Disciplinary and Grievance Procedure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DISCIPLINARY AND GRIEVANCE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Disciplinary and Grievance Procedure</dc:title>
  <dc:creator>Method into Impact</dc:creator>
  <dc:description>How [[Organisation name]] deals fairly with concerns about an employee's conduct, and how employees can raise a problem about their own work and get a fair, timely answer.</dc:description>
  <cp:lastModifiedBy>Un-named</cp:lastModifiedBy>
  <cp:revision>1</cp:revision>
  <dcterms:created xsi:type="dcterms:W3CDTF">2026-10-29T06:09:12.353Z</dcterms:created>
  <dcterms:modified xsi:type="dcterms:W3CDTF">2026-10-29T06:09:12.353Z</dcterms:modified>
</cp:coreProperties>
</file>

<file path=docProps/custom.xml><?xml version="1.0" encoding="utf-8"?>
<Properties xmlns="http://schemas.openxmlformats.org/officeDocument/2006/custom-properties" xmlns:vt="http://schemas.openxmlformats.org/officeDocument/2006/docPropsVTypes"/>
</file>