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EQUALITY AND INCLUSION</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Equality, Diversity and Inclusion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treats people fairly, welcomes difference and removes barriers, in the way we recruit and pay our team, run our programmes and involve the people we serve.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An equality, diversity and inclusion policy sets out how you prevent discrimination and make your work open to everyone it is meant for. Funders increasingly ask for one, and equality law in most countries places duties on employers. Above all, it helps you reach and serve people who are often left out, and build a team that understands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UN agencies and international NGOs before partnering; job applicants;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30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2 · Organise, Module 4 (people and culture)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Anti-Harassment, Intimidation and Bullying Policy and Procedure · Safeguarding Policy and Procedure · Complaints and Feedback Procedure · Whistleblowing Policy and Procedure · Data Protection Policy · Employment Contract · Volunteer Agreement · Governing Body Terms of Reference · Safer Recruitment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Equality, Diversity and Inclusion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consultants, and anyone who represents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applicants for roles; participants in our programmes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Sensitive contexts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Training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diversity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Raising a concern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It sets out what we do now and who is responsible. We will add detail, such as an annual inclusion plan,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inclusion lead.</w:t>
            </w:r>
            <w:r>
              <w:rPr>
                <w:rFonts w:ascii="Nunito Sans" w:cs="Nunito Sans" w:eastAsia="Nunito Sans" w:hAnsi="Nunito Sans"/>
                <w:color w:val="102E3B"/>
                <w:sz w:val="19"/>
                <w:szCs w:val="19"/>
              </w:rPr>
              <w:t xml:space="preserve"> They advise on this policy, support managers on adjustments and fair recruitment, and report to the board each year.</w:t>
            </w:r>
          </w:p>
          <w:p>
            <w:pPr>
              <w:pStyle w:val="ListParagraph"/>
              <w:numPr>
                <w:ilvl w:val="0"/>
                <w:numId w:val="3"/>
              </w:numPr>
              <w:spacing w:after="80" w:line="290"/>
            </w:pPr>
            <w:r>
              <w:rPr>
                <w:rFonts w:ascii="Nunito Sans" w:cs="Nunito Sans" w:eastAsia="Nunito Sans" w:hAnsi="Nunito Sans"/>
                <w:b/>
                <w:bCs/>
                <w:color w:val="102E3B"/>
                <w:sz w:val="19"/>
                <w:szCs w:val="19"/>
              </w:rPr>
              <w:t xml:space="preserve">Concerns about discrimination</w:t>
            </w:r>
            <w:r>
              <w:rPr>
                <w:rFonts w:ascii="Nunito Sans" w:cs="Nunito Sans" w:eastAsia="Nunito Sans" w:hAnsi="Nunito Sans"/>
                <w:color w:val="102E3B"/>
                <w:sz w:val="19"/>
                <w:szCs w:val="19"/>
              </w:rPr>
              <w:t xml:space="preserve"> go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or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 if the concern involves them or the founder.</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every </w:t>
            </w:r>
            <w:r>
              <w:rPr>
                <w:rFonts w:ascii="Nunito Sans" w:cs="Nunito Sans" w:eastAsia="Nunito Sans" w:hAnsi="Nunito Sans"/>
                <w:color w:val="102E3B"/>
                <w:sz w:val="19"/>
                <w:szCs w:val="19"/>
                <w:highlight w:val="yellow"/>
              </w:rPr>
              <w:t xml:space="preserve">[two years]</w:t>
            </w:r>
            <w:r>
              <w:rPr>
                <w:rFonts w:ascii="Nunito Sans" w:cs="Nunito Sans" w:eastAsia="Nunito Sans" w:hAnsi="Nunito Sans"/>
                <w:color w:val="102E3B"/>
                <w:sz w:val="19"/>
                <w:szCs w:val="19"/>
              </w:rPr>
              <w:t xml:space="preserve">, when the law changes, and after any serious complaint.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a small team the inclusion lead is often the founder or the person who handles HR. It helps if they have some training in fair recruitment and disability inclusion. The second contact should be someone the founder does not manage, such as a board member, so that a complaint about the founder has a safe route.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treat everyone fairly and with respect, and we do not discriminate on any ground in section 1.</w:t>
            </w:r>
          </w:p>
          <w:p>
            <w:pPr>
              <w:pStyle w:val="ListParagraph"/>
              <w:numPr>
                <w:ilvl w:val="0"/>
                <w:numId w:val="3"/>
              </w:numPr>
              <w:spacing w:after="80" w:line="290"/>
            </w:pPr>
            <w:r>
              <w:rPr>
                <w:rFonts w:ascii="Nunito Sans" w:cs="Nunito Sans" w:eastAsia="Nunito Sans" w:hAnsi="Nunito Sans"/>
                <w:color w:val="102E3B"/>
                <w:sz w:val="19"/>
                <w:szCs w:val="19"/>
              </w:rPr>
              <w:t xml:space="preserve">We recruit openly, select on the skills the role needs, and pay fairly for the work.</w:t>
            </w:r>
          </w:p>
          <w:p>
            <w:pPr>
              <w:pStyle w:val="ListParagraph"/>
              <w:numPr>
                <w:ilvl w:val="0"/>
                <w:numId w:val="3"/>
              </w:numPr>
              <w:spacing w:after="80" w:line="290"/>
            </w:pPr>
            <w:r>
              <w:rPr>
                <w:rFonts w:ascii="Nunito Sans" w:cs="Nunito Sans" w:eastAsia="Nunito Sans" w:hAnsi="Nunito Sans"/>
                <w:color w:val="102E3B"/>
                <w:sz w:val="19"/>
                <w:szCs w:val="19"/>
              </w:rPr>
              <w:t xml:space="preserve">We make reasonable adjustments so that disabled people and others facing barriers can work with us and use our services.</w:t>
            </w:r>
          </w:p>
          <w:p>
            <w:pPr>
              <w:pStyle w:val="ListParagraph"/>
              <w:numPr>
                <w:ilvl w:val="0"/>
                <w:numId w:val="3"/>
              </w:numPr>
              <w:spacing w:after="80" w:line="290"/>
            </w:pPr>
            <w:r>
              <w:rPr>
                <w:rFonts w:ascii="Nunito Sans" w:cs="Nunito Sans" w:eastAsia="Nunito Sans" w:hAnsi="Nunito Sans"/>
                <w:color w:val="102E3B"/>
                <w:sz w:val="19"/>
                <w:szCs w:val="19"/>
              </w:rPr>
              <w:t xml:space="preserve">We design programmes with the people we serve, and make sure those most often left out can take part.</w:t>
            </w:r>
          </w:p>
          <w:p>
            <w:pPr>
              <w:pStyle w:val="ListParagraph"/>
              <w:numPr>
                <w:ilvl w:val="0"/>
                <w:numId w:val="3"/>
              </w:numPr>
              <w:spacing w:after="80" w:line="290"/>
            </w:pPr>
            <w:r>
              <w:rPr>
                <w:rFonts w:ascii="Nunito Sans" w:cs="Nunito Sans" w:eastAsia="Nunito Sans" w:hAnsi="Nunito Sans"/>
                <w:color w:val="102E3B"/>
                <w:sz w:val="19"/>
                <w:szCs w:val="19"/>
              </w:rPr>
              <w:t xml:space="preserve">We communicate in the languages and formats people understand.</w:t>
            </w:r>
          </w:p>
          <w:p>
            <w:pPr>
              <w:pStyle w:val="ListParagraph"/>
              <w:numPr>
                <w:ilvl w:val="0"/>
                <w:numId w:val="3"/>
              </w:numPr>
              <w:spacing w:after="80" w:line="290"/>
            </w:pPr>
            <w:r>
              <w:rPr>
                <w:rFonts w:ascii="Nunito Sans" w:cs="Nunito Sans" w:eastAsia="Nunito Sans" w:hAnsi="Nunito Sans"/>
                <w:color w:val="102E3B"/>
                <w:sz w:val="19"/>
                <w:szCs w:val="19"/>
              </w:rPr>
              <w:t xml:space="preserve">Diversity data is voluntary and confidential. We never collect data that could put someone at risk.</w:t>
            </w:r>
          </w:p>
          <w:p>
            <w:pPr>
              <w:pStyle w:val="ListParagraph"/>
              <w:numPr>
                <w:ilvl w:val="0"/>
                <w:numId w:val="3"/>
              </w:numPr>
              <w:spacing w:after="80" w:line="290"/>
            </w:pPr>
            <w:r>
              <w:rPr>
                <w:rFonts w:ascii="Nunito Sans" w:cs="Nunito Sans" w:eastAsia="Nunito Sans" w:hAnsi="Nunito Sans"/>
                <w:color w:val="102E3B"/>
                <w:sz w:val="19"/>
                <w:szCs w:val="19"/>
              </w:rPr>
              <w:t xml:space="preserve">Discrimination, harassment and victimisation are disciplinary matters. Anyone can raise a concern without fear.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volunteers, interns, board members, contractors and consultants. It protects them, job and volunteer applicants, participants in our programmes, partners, and members of the public who deal with us.</w:t>
      </w:r>
    </w:p>
    <w:p>
      <w:pPr>
        <w:spacing w:after="120" w:before="0" w:line="300"/>
      </w:pPr>
      <w:r>
        <w:rPr>
          <w:rFonts w:ascii="Nunito Sans" w:cs="Nunito Sans" w:eastAsia="Nunito Sans" w:hAnsi="Nunito Sans"/>
          <w:color w:val="102E3B"/>
          <w:sz w:val="20"/>
          <w:szCs w:val="20"/>
        </w:rPr>
        <w:t xml:space="preserve">It applies to everything we do: recruitment, pay, training, promotion and the end of employment; how we design and deliver programmes; our communications; our choice of partners and suppliers; and our board.</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equality and employment law. Where we work in other countries, we also follow the law there. Where this policy sets a higher standard than the law, we follow this policy, as long as doing so is lawful and safe.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EQUALITY LAW IN YOUR COUNTRY</w:t>
            </w:r>
          </w:p>
          <w:p>
            <w:pPr>
              <w:spacing w:after="120" w:before="0" w:line="300"/>
            </w:pPr>
            <w:r>
              <w:rPr>
                <w:rFonts w:ascii="Nunito Sans" w:cs="Nunito Sans" w:eastAsia="Nunito Sans" w:hAnsi="Nunito Sans"/>
                <w:color w:val="102E3B"/>
                <w:sz w:val="19"/>
                <w:szCs w:val="19"/>
              </w:rPr>
              <w:t xml:space="preserve">Name the main laws that apply. Examples:</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Article 27 of the Constitution of Kenya 2010 (equality and freedom from discrimination) and section 5 of the Employment Act 2007.</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the Employment Equity Act 1998 and the Promotion of Equality and Prevention of Unfair Discrimination Act 2000.</w:t>
            </w:r>
          </w:p>
          <w:p>
            <w:pPr>
              <w:pStyle w:val="ListParagraph"/>
              <w:numPr>
                <w:ilvl w:val="0"/>
                <w:numId w:val="3"/>
              </w:numPr>
              <w:spacing w:after="80" w:line="290"/>
            </w:pPr>
            <w:r>
              <w:rPr>
                <w:rFonts w:ascii="Nunito Sans" w:cs="Nunito Sans" w:eastAsia="Nunito Sans" w:hAnsi="Nunito Sans"/>
                <w:b/>
                <w:bCs/>
                <w:color w:val="102E3B"/>
                <w:sz w:val="19"/>
                <w:szCs w:val="19"/>
              </w:rPr>
              <w:t xml:space="preserve">Brazil:</w:t>
            </w:r>
            <w:r>
              <w:rPr>
                <w:rFonts w:ascii="Nunito Sans" w:cs="Nunito Sans" w:eastAsia="Nunito Sans" w:hAnsi="Nunito Sans"/>
                <w:color w:val="102E3B"/>
                <w:sz w:val="19"/>
                <w:szCs w:val="19"/>
              </w:rPr>
              <w:t xml:space="preserve"> the Brazilian Law on the Inclusion of Persons with Disabilities (Law 13.146 of 2015), and the quota for employing disabled people that applies to employers with 100 or more employees (Law 8.213 of 1991, article 93).</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the Equality Act 2010, which lists nine protected characteristics.</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the equality rights in the Constitution and the Rights of Persons with Disabilities Act 2016.</w:t>
            </w:r>
          </w:p>
          <w:p>
            <w:pPr>
              <w:spacing w:after="120" w:before="0" w:line="300"/>
            </w:pPr>
            <w:r>
              <w:rPr>
                <w:rFonts w:ascii="Nunito Sans" w:cs="Nunito Sans" w:eastAsia="Nunito Sans" w:hAnsi="Nunito Sans"/>
                <w:color w:val="102E3B"/>
                <w:sz w:val="19"/>
                <w:szCs w:val="19"/>
              </w:rPr>
              <w:t xml:space="preserve">International benchmarks include ILO Conventions 100 (equal pay) and 111 (discrimination in employment) and the UN Convention on the Rights of Persons with Disabilities. Some laws require written policies, workplace plans or reports once you reach a certain number of employees: check your local law on thresholds.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Our commitments</w:t>
      </w:r>
    </w:p>
    <w:p>
      <w:pPr>
        <w:pStyle w:val="Heading2"/>
        <w:keepNext/>
        <w:spacing w:after="120" w:before="280"/>
      </w:pPr>
      <w:r>
        <w:rPr>
          <w:rFonts w:ascii="DM Serif Display" w:cs="DM Serif Display" w:eastAsia="DM Serif Display" w:hAnsi="DM Serif Display"/>
          <w:color w:val="123C48"/>
          <w:sz w:val="28"/>
          <w:szCs w:val="28"/>
        </w:rPr>
        <w:t xml:space="preserve">1. We do not discriminate</w:t>
      </w:r>
    </w:p>
    <w:p>
      <w:pPr>
        <w:spacing w:after="120" w:before="0" w:line="300"/>
      </w:pPr>
      <w:r>
        <w:rPr>
          <w:rFonts w:ascii="Nunito Sans" w:cs="Nunito Sans" w:eastAsia="Nunito Sans" w:hAnsi="Nunito Sans"/>
          <w:color w:val="102E3B"/>
          <w:sz w:val="20"/>
          <w:szCs w:val="20"/>
        </w:rPr>
        <w:t xml:space="preserve">We do not treat anyone less favourably, directly or indirectly, because of who they are. This includes, but is not limited to:</w:t>
      </w:r>
    </w:p>
    <w:p>
      <w:pPr>
        <w:pStyle w:val="ListParagraph"/>
        <w:numPr>
          <w:ilvl w:val="0"/>
          <w:numId w:val="3"/>
        </w:numPr>
        <w:spacing w:after="80" w:line="290"/>
      </w:pPr>
      <w:r>
        <w:rPr>
          <w:rFonts w:ascii="Nunito Sans" w:cs="Nunito Sans" w:eastAsia="Nunito Sans" w:hAnsi="Nunito Sans"/>
          <w:color w:val="102E3B"/>
          <w:sz w:val="20"/>
          <w:szCs w:val="20"/>
        </w:rPr>
        <w:t xml:space="preserve">age;</w:t>
      </w:r>
    </w:p>
    <w:p>
      <w:pPr>
        <w:pStyle w:val="ListParagraph"/>
        <w:numPr>
          <w:ilvl w:val="0"/>
          <w:numId w:val="3"/>
        </w:numPr>
        <w:spacing w:after="80" w:line="290"/>
      </w:pPr>
      <w:r>
        <w:rPr>
          <w:rFonts w:ascii="Nunito Sans" w:cs="Nunito Sans" w:eastAsia="Nunito Sans" w:hAnsi="Nunito Sans"/>
          <w:color w:val="102E3B"/>
          <w:sz w:val="20"/>
          <w:szCs w:val="20"/>
        </w:rPr>
        <w:t xml:space="preserve">disability, including physical, sensory, intellectual and psychosocial disability;</w:t>
      </w:r>
    </w:p>
    <w:p>
      <w:pPr>
        <w:pStyle w:val="ListParagraph"/>
        <w:numPr>
          <w:ilvl w:val="0"/>
          <w:numId w:val="3"/>
        </w:numPr>
        <w:spacing w:after="80" w:line="290"/>
      </w:pPr>
      <w:r>
        <w:rPr>
          <w:rFonts w:ascii="Nunito Sans" w:cs="Nunito Sans" w:eastAsia="Nunito Sans" w:hAnsi="Nunito Sans"/>
          <w:color w:val="102E3B"/>
          <w:sz w:val="20"/>
          <w:szCs w:val="20"/>
        </w:rPr>
        <w:t xml:space="preserve">sex, gender, gender identity and gender expression;</w:t>
      </w:r>
    </w:p>
    <w:p>
      <w:pPr>
        <w:pStyle w:val="ListParagraph"/>
        <w:numPr>
          <w:ilvl w:val="0"/>
          <w:numId w:val="3"/>
        </w:numPr>
        <w:spacing w:after="80" w:line="290"/>
      </w:pPr>
      <w:r>
        <w:rPr>
          <w:rFonts w:ascii="Nunito Sans" w:cs="Nunito Sans" w:eastAsia="Nunito Sans" w:hAnsi="Nunito Sans"/>
          <w:color w:val="102E3B"/>
          <w:sz w:val="20"/>
          <w:szCs w:val="20"/>
        </w:rPr>
        <w:t xml:space="preserve">sexual orientation;</w:t>
      </w:r>
    </w:p>
    <w:p>
      <w:pPr>
        <w:pStyle w:val="ListParagraph"/>
        <w:numPr>
          <w:ilvl w:val="0"/>
          <w:numId w:val="3"/>
        </w:numPr>
        <w:spacing w:after="80" w:line="290"/>
      </w:pPr>
      <w:r>
        <w:rPr>
          <w:rFonts w:ascii="Nunito Sans" w:cs="Nunito Sans" w:eastAsia="Nunito Sans" w:hAnsi="Nunito Sans"/>
          <w:color w:val="102E3B"/>
          <w:sz w:val="20"/>
          <w:szCs w:val="20"/>
        </w:rPr>
        <w:t xml:space="preserve">marital, civil partnership or family status, and caring responsibilities;</w:t>
      </w:r>
    </w:p>
    <w:p>
      <w:pPr>
        <w:pStyle w:val="ListParagraph"/>
        <w:numPr>
          <w:ilvl w:val="0"/>
          <w:numId w:val="3"/>
        </w:numPr>
        <w:spacing w:after="80" w:line="290"/>
      </w:pPr>
      <w:r>
        <w:rPr>
          <w:rFonts w:ascii="Nunito Sans" w:cs="Nunito Sans" w:eastAsia="Nunito Sans" w:hAnsi="Nunito Sans"/>
          <w:color w:val="102E3B"/>
          <w:sz w:val="20"/>
          <w:szCs w:val="20"/>
        </w:rPr>
        <w:t xml:space="preserve">pregnancy, maternity and breastfeeding;</w:t>
      </w:r>
    </w:p>
    <w:p>
      <w:pPr>
        <w:pStyle w:val="ListParagraph"/>
        <w:numPr>
          <w:ilvl w:val="0"/>
          <w:numId w:val="3"/>
        </w:numPr>
        <w:spacing w:after="80" w:line="290"/>
      </w:pPr>
      <w:r>
        <w:rPr>
          <w:rFonts w:ascii="Nunito Sans" w:cs="Nunito Sans" w:eastAsia="Nunito Sans" w:hAnsi="Nunito Sans"/>
          <w:color w:val="102E3B"/>
          <w:sz w:val="20"/>
          <w:szCs w:val="20"/>
        </w:rPr>
        <w:t xml:space="preserve">race, colour, ethnicity, tribe, clan, caste and descent;</w:t>
      </w:r>
    </w:p>
    <w:p>
      <w:pPr>
        <w:pStyle w:val="ListParagraph"/>
        <w:numPr>
          <w:ilvl w:val="0"/>
          <w:numId w:val="3"/>
        </w:numPr>
        <w:spacing w:after="80" w:line="290"/>
      </w:pPr>
      <w:r>
        <w:rPr>
          <w:rFonts w:ascii="Nunito Sans" w:cs="Nunito Sans" w:eastAsia="Nunito Sans" w:hAnsi="Nunito Sans"/>
          <w:color w:val="102E3B"/>
          <w:sz w:val="20"/>
          <w:szCs w:val="20"/>
        </w:rPr>
        <w:t xml:space="preserve">nationality, national or social origin, and migration, refugee or citizenship status;</w:t>
      </w:r>
    </w:p>
    <w:p>
      <w:pPr>
        <w:pStyle w:val="ListParagraph"/>
        <w:numPr>
          <w:ilvl w:val="0"/>
          <w:numId w:val="3"/>
        </w:numPr>
        <w:spacing w:after="80" w:line="290"/>
      </w:pPr>
      <w:r>
        <w:rPr>
          <w:rFonts w:ascii="Nunito Sans" w:cs="Nunito Sans" w:eastAsia="Nunito Sans" w:hAnsi="Nunito Sans"/>
          <w:color w:val="102E3B"/>
          <w:sz w:val="20"/>
          <w:szCs w:val="20"/>
        </w:rPr>
        <w:t xml:space="preserve">language and accent;</w:t>
      </w:r>
    </w:p>
    <w:p>
      <w:pPr>
        <w:pStyle w:val="ListParagraph"/>
        <w:numPr>
          <w:ilvl w:val="0"/>
          <w:numId w:val="3"/>
        </w:numPr>
        <w:spacing w:after="80" w:line="290"/>
      </w:pPr>
      <w:r>
        <w:rPr>
          <w:rFonts w:ascii="Nunito Sans" w:cs="Nunito Sans" w:eastAsia="Nunito Sans" w:hAnsi="Nunito Sans"/>
          <w:color w:val="102E3B"/>
          <w:sz w:val="20"/>
          <w:szCs w:val="20"/>
        </w:rPr>
        <w:t xml:space="preserve">religion or belief, or having no religion;</w:t>
      </w:r>
    </w:p>
    <w:p>
      <w:pPr>
        <w:pStyle w:val="ListParagraph"/>
        <w:numPr>
          <w:ilvl w:val="0"/>
          <w:numId w:val="3"/>
        </w:numPr>
        <w:spacing w:after="80" w:line="290"/>
      </w:pPr>
      <w:r>
        <w:rPr>
          <w:rFonts w:ascii="Nunito Sans" w:cs="Nunito Sans" w:eastAsia="Nunito Sans" w:hAnsi="Nunito Sans"/>
          <w:color w:val="102E3B"/>
          <w:sz w:val="20"/>
          <w:szCs w:val="20"/>
        </w:rPr>
        <w:t xml:space="preserve">political opinion;</w:t>
      </w:r>
    </w:p>
    <w:p>
      <w:pPr>
        <w:pStyle w:val="ListParagraph"/>
        <w:numPr>
          <w:ilvl w:val="0"/>
          <w:numId w:val="3"/>
        </w:numPr>
        <w:spacing w:after="80" w:line="290"/>
      </w:pPr>
      <w:r>
        <w:rPr>
          <w:rFonts w:ascii="Nunito Sans" w:cs="Nunito Sans" w:eastAsia="Nunito Sans" w:hAnsi="Nunito Sans"/>
          <w:color w:val="102E3B"/>
          <w:sz w:val="20"/>
          <w:szCs w:val="20"/>
        </w:rPr>
        <w:t xml:space="preserve">health status, including HIV status;</w:t>
      </w:r>
    </w:p>
    <w:p>
      <w:pPr>
        <w:pStyle w:val="ListParagraph"/>
        <w:numPr>
          <w:ilvl w:val="0"/>
          <w:numId w:val="3"/>
        </w:numPr>
        <w:spacing w:after="80" w:line="290"/>
      </w:pPr>
      <w:r>
        <w:rPr>
          <w:rFonts w:ascii="Nunito Sans" w:cs="Nunito Sans" w:eastAsia="Nunito Sans" w:hAnsi="Nunito Sans"/>
          <w:color w:val="102E3B"/>
          <w:sz w:val="20"/>
          <w:szCs w:val="20"/>
        </w:rPr>
        <w:t xml:space="preserve">socio-economic status, education, and where someone lives;</w:t>
      </w:r>
    </w:p>
    <w:p>
      <w:pPr>
        <w:pStyle w:val="ListParagraph"/>
        <w:numPr>
          <w:ilvl w:val="0"/>
          <w:numId w:val="3"/>
        </w:numPr>
        <w:spacing w:after="80" w:line="290"/>
      </w:pPr>
      <w:r>
        <w:rPr>
          <w:rFonts w:ascii="Nunito Sans" w:cs="Nunito Sans" w:eastAsia="Nunito Sans" w:hAnsi="Nunito Sans"/>
          <w:color w:val="102E3B"/>
          <w:sz w:val="20"/>
          <w:szCs w:val="20"/>
        </w:rPr>
        <w:t xml:space="preserve">Indigenous identity;</w:t>
      </w:r>
    </w:p>
    <w:p>
      <w:pPr>
        <w:pStyle w:val="ListParagraph"/>
        <w:numPr>
          <w:ilvl w:val="0"/>
          <w:numId w:val="3"/>
        </w:numPr>
        <w:spacing w:after="80" w:line="290"/>
      </w:pPr>
      <w:r>
        <w:rPr>
          <w:rFonts w:ascii="Nunito Sans" w:cs="Nunito Sans" w:eastAsia="Nunito Sans" w:hAnsi="Nunito Sans"/>
          <w:color w:val="102E3B"/>
          <w:sz w:val="20"/>
          <w:szCs w:val="20"/>
        </w:rPr>
        <w:t xml:space="preserve">trade union membership;</w:t>
      </w:r>
    </w:p>
    <w:p>
      <w:pPr>
        <w:pStyle w:val="ListParagraph"/>
        <w:numPr>
          <w:ilvl w:val="0"/>
          <w:numId w:val="3"/>
        </w:numPr>
        <w:spacing w:after="80" w:line="290"/>
      </w:pPr>
      <w:r>
        <w:rPr>
          <w:rFonts w:ascii="Nunito Sans" w:cs="Nunito Sans" w:eastAsia="Nunito Sans" w:hAnsi="Nunito Sans"/>
          <w:color w:val="102E3B"/>
          <w:sz w:val="20"/>
          <w:szCs w:val="20"/>
        </w:rPr>
        <w:t xml:space="preserve">and any other characteristic protected by local law.</w:t>
      </w:r>
    </w:p>
    <w:p>
      <w:pPr>
        <w:spacing w:after="120" w:before="0" w:line="300"/>
      </w:pPr>
      <w:r>
        <w:rPr>
          <w:rFonts w:ascii="Nunito Sans" w:cs="Nunito Sans" w:eastAsia="Nunito Sans" w:hAnsi="Nunito Sans"/>
          <w:b/>
          <w:bCs/>
          <w:color w:val="102E3B"/>
          <w:sz w:val="20"/>
          <w:szCs w:val="20"/>
        </w:rPr>
        <w:t xml:space="preserve">Direct discrimination</w:t>
      </w:r>
      <w:r>
        <w:rPr>
          <w:rFonts w:ascii="Nunito Sans" w:cs="Nunito Sans" w:eastAsia="Nunito Sans" w:hAnsi="Nunito Sans"/>
          <w:color w:val="102E3B"/>
          <w:sz w:val="20"/>
          <w:szCs w:val="20"/>
        </w:rPr>
        <w:t xml:space="preserve"> means treating someone worse because of one of these characteristics. </w:t>
      </w:r>
      <w:r>
        <w:rPr>
          <w:rFonts w:ascii="Nunito Sans" w:cs="Nunito Sans" w:eastAsia="Nunito Sans" w:hAnsi="Nunito Sans"/>
          <w:b/>
          <w:bCs/>
          <w:color w:val="102E3B"/>
          <w:sz w:val="20"/>
          <w:szCs w:val="20"/>
        </w:rPr>
        <w:t xml:space="preserve">Indirect discrimination</w:t>
      </w:r>
      <w:r>
        <w:rPr>
          <w:rFonts w:ascii="Nunito Sans" w:cs="Nunito Sans" w:eastAsia="Nunito Sans" w:hAnsi="Nunito Sans"/>
          <w:color w:val="102E3B"/>
          <w:sz w:val="20"/>
          <w:szCs w:val="20"/>
        </w:rPr>
        <w:t xml:space="preserve"> means applying a rule that seems neutral but puts a group at a disadvantage without good reason: for example, requiring a university degree for a community facilitator role that does not need one. We also prohibit </w:t>
      </w:r>
      <w:r>
        <w:rPr>
          <w:rFonts w:ascii="Nunito Sans" w:cs="Nunito Sans" w:eastAsia="Nunito Sans" w:hAnsi="Nunito Sans"/>
          <w:b/>
          <w:bCs/>
          <w:color w:val="102E3B"/>
          <w:sz w:val="20"/>
          <w:szCs w:val="20"/>
        </w:rPr>
        <w:t xml:space="preserve">harassment</w:t>
      </w:r>
      <w:r>
        <w:rPr>
          <w:rFonts w:ascii="Nunito Sans" w:cs="Nunito Sans" w:eastAsia="Nunito Sans" w:hAnsi="Nunito Sans"/>
          <w:color w:val="102E3B"/>
          <w:sz w:val="20"/>
          <w:szCs w:val="20"/>
        </w:rPr>
        <w:t xml:space="preserve"> related to any of these characteristics, and </w:t>
      </w:r>
      <w:r>
        <w:rPr>
          <w:rFonts w:ascii="Nunito Sans" w:cs="Nunito Sans" w:eastAsia="Nunito Sans" w:hAnsi="Nunito Sans"/>
          <w:b/>
          <w:bCs/>
          <w:color w:val="102E3B"/>
          <w:sz w:val="20"/>
          <w:szCs w:val="20"/>
        </w:rPr>
        <w:t xml:space="preserve">victimisation</w:t>
      </w:r>
      <w:r>
        <w:rPr>
          <w:rFonts w:ascii="Nunito Sans" w:cs="Nunito Sans" w:eastAsia="Nunito Sans" w:hAnsi="Nunito Sans"/>
          <w:color w:val="102E3B"/>
          <w:sz w:val="20"/>
          <w:szCs w:val="20"/>
        </w:rPr>
        <w:t xml:space="preserve">, which means treating someone badly because they complained or supported a complaint.</w:t>
      </w:r>
    </w:p>
    <w:p>
      <w:pPr>
        <w:pStyle w:val="Heading2"/>
        <w:keepNext/>
        <w:spacing w:after="120" w:before="280"/>
      </w:pPr>
      <w:r>
        <w:rPr>
          <w:rFonts w:ascii="DM Serif Display" w:cs="DM Serif Display" w:eastAsia="DM Serif Display" w:hAnsi="DM Serif Display"/>
          <w:color w:val="123C48"/>
          <w:sz w:val="28"/>
          <w:szCs w:val="28"/>
        </w:rPr>
        <w:t xml:space="preserve">2. We recruit fairly</w:t>
      </w:r>
    </w:p>
    <w:p>
      <w:pPr>
        <w:pStyle w:val="ListParagraph"/>
        <w:numPr>
          <w:ilvl w:val="0"/>
          <w:numId w:val="3"/>
        </w:numPr>
        <w:spacing w:after="80" w:line="290"/>
      </w:pPr>
      <w:r>
        <w:rPr>
          <w:rFonts w:ascii="Nunito Sans" w:cs="Nunito Sans" w:eastAsia="Nunito Sans" w:hAnsi="Nunito Sans"/>
          <w:color w:val="102E3B"/>
          <w:sz w:val="20"/>
          <w:szCs w:val="20"/>
        </w:rPr>
        <w:t xml:space="preserve">We advertise roles openly, in places that reach a wide range of people, including </w:t>
      </w:r>
      <w:r>
        <w:rPr>
          <w:rFonts w:ascii="Nunito Sans" w:cs="Nunito Sans" w:eastAsia="Nunito Sans" w:hAnsi="Nunito Sans"/>
          <w:color w:val="102E3B"/>
          <w:sz w:val="20"/>
          <w:szCs w:val="20"/>
          <w:highlight w:val="yellow"/>
        </w:rPr>
        <w:t xml:space="preserve">[local radio, community notice boards, partner networks and disability organisations]</w:t>
      </w:r>
      <w:r>
        <w:rPr>
          <w:rFonts w:ascii="Nunito Sans" w:cs="Nunito Sans" w:eastAsia="Nunito Sans" w:hAnsi="Nunito Sans"/>
          <w:color w:val="102E3B"/>
          <w:sz w:val="20"/>
          <w:szCs w:val="20"/>
        </w:rPr>
        <w:t xml:space="preserve">, as well as online.</w:t>
      </w:r>
    </w:p>
    <w:p>
      <w:pPr>
        <w:pStyle w:val="ListParagraph"/>
        <w:numPr>
          <w:ilvl w:val="0"/>
          <w:numId w:val="3"/>
        </w:numPr>
        <w:spacing w:after="80" w:line="290"/>
      </w:pPr>
      <w:r>
        <w:rPr>
          <w:rFonts w:ascii="Nunito Sans" w:cs="Nunito Sans" w:eastAsia="Nunito Sans" w:hAnsi="Nunito Sans"/>
          <w:color w:val="102E3B"/>
          <w:sz w:val="20"/>
          <w:szCs w:val="20"/>
        </w:rPr>
        <w:t xml:space="preserve">Each role has a description and a short list of the skills and experience it really needs. We do not ask for qualifications the role does not require.</w:t>
      </w:r>
    </w:p>
    <w:p>
      <w:pPr>
        <w:pStyle w:val="ListParagraph"/>
        <w:numPr>
          <w:ilvl w:val="0"/>
          <w:numId w:val="3"/>
        </w:numPr>
        <w:spacing w:after="80" w:line="290"/>
      </w:pPr>
      <w:r>
        <w:rPr>
          <w:rFonts w:ascii="Nunito Sans" w:cs="Nunito Sans" w:eastAsia="Nunito Sans" w:hAnsi="Nunito Sans"/>
          <w:color w:val="102E3B"/>
          <w:sz w:val="20"/>
          <w:szCs w:val="20"/>
        </w:rPr>
        <w:t xml:space="preserve">We welcome applications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and we tell applicants how to ask for adjustments at any stage.</w:t>
      </w:r>
    </w:p>
    <w:p>
      <w:pPr>
        <w:pStyle w:val="ListParagraph"/>
        <w:numPr>
          <w:ilvl w:val="0"/>
          <w:numId w:val="3"/>
        </w:numPr>
        <w:spacing w:after="80" w:line="290"/>
      </w:pPr>
      <w:r>
        <w:rPr>
          <w:rFonts w:ascii="Nunito Sans" w:cs="Nunito Sans" w:eastAsia="Nunito Sans" w:hAnsi="Nunito Sans"/>
          <w:color w:val="102E3B"/>
          <w:sz w:val="20"/>
          <w:szCs w:val="20"/>
        </w:rPr>
        <w:t xml:space="preserve">At least two people shortlist and interview, using the same questions and scoring for each candidate. Where possible, the panel is mixed in gender and background.</w:t>
      </w:r>
    </w:p>
    <w:p>
      <w:pPr>
        <w:pStyle w:val="ListParagraph"/>
        <w:numPr>
          <w:ilvl w:val="0"/>
          <w:numId w:val="3"/>
        </w:numPr>
        <w:spacing w:after="80" w:line="290"/>
      </w:pPr>
      <w:r>
        <w:rPr>
          <w:rFonts w:ascii="Nunito Sans" w:cs="Nunito Sans" w:eastAsia="Nunito Sans" w:hAnsi="Nunito Sans"/>
          <w:color w:val="102E3B"/>
          <w:sz w:val="20"/>
          <w:szCs w:val="20"/>
        </w:rPr>
        <w:t xml:space="preserve">We do not ask about marital status, pregnancy, family plans, religion, health or other personal matters unless the law requires it or it is directly relevant to the role (for example, health checks needed for a role, done after an offer).</w:t>
      </w:r>
    </w:p>
    <w:p>
      <w:pPr>
        <w:pStyle w:val="ListParagraph"/>
        <w:numPr>
          <w:ilvl w:val="0"/>
          <w:numId w:val="3"/>
        </w:numPr>
        <w:spacing w:after="80" w:line="290"/>
      </w:pPr>
      <w:r>
        <w:rPr>
          <w:rFonts w:ascii="Nunito Sans" w:cs="Nunito Sans" w:eastAsia="Nunito Sans" w:hAnsi="Nunito Sans"/>
          <w:color w:val="102E3B"/>
          <w:sz w:val="20"/>
          <w:szCs w:val="20"/>
        </w:rPr>
        <w:t xml:space="preserve">We keep short notes of why each candidate was or was not selected, and we give feedback when asked.</w:t>
      </w:r>
    </w:p>
    <w:p>
      <w:pPr>
        <w:pStyle w:val="Heading2"/>
        <w:keepNext/>
        <w:spacing w:after="120" w:before="280"/>
      </w:pPr>
      <w:r>
        <w:rPr>
          <w:rFonts w:ascii="DM Serif Display" w:cs="DM Serif Display" w:eastAsia="DM Serif Display" w:hAnsi="DM Serif Display"/>
          <w:color w:val="123C48"/>
          <w:sz w:val="28"/>
          <w:szCs w:val="28"/>
        </w:rPr>
        <w:t xml:space="preserve">3. We pay fairly</w:t>
      </w:r>
    </w:p>
    <w:p>
      <w:pPr>
        <w:pStyle w:val="ListParagraph"/>
        <w:numPr>
          <w:ilvl w:val="0"/>
          <w:numId w:val="3"/>
        </w:numPr>
        <w:spacing w:after="80" w:line="290"/>
      </w:pPr>
      <w:r>
        <w:rPr>
          <w:rFonts w:ascii="Nunito Sans" w:cs="Nunito Sans" w:eastAsia="Nunito Sans" w:hAnsi="Nunito Sans"/>
          <w:color w:val="102E3B"/>
          <w:sz w:val="20"/>
          <w:szCs w:val="20"/>
        </w:rPr>
        <w:t xml:space="preserve">Pay is based on the role, set against a simple pay scale that the board approves, not on the person's sex, nationality or background.</w:t>
      </w:r>
    </w:p>
    <w:p>
      <w:pPr>
        <w:pStyle w:val="ListParagraph"/>
        <w:numPr>
          <w:ilvl w:val="0"/>
          <w:numId w:val="3"/>
        </w:numPr>
        <w:spacing w:after="80" w:line="290"/>
      </w:pPr>
      <w:r>
        <w:rPr>
          <w:rFonts w:ascii="Nunito Sans" w:cs="Nunito Sans" w:eastAsia="Nunito Sans" w:hAnsi="Nunito Sans"/>
          <w:color w:val="102E3B"/>
          <w:sz w:val="20"/>
          <w:szCs w:val="20"/>
        </w:rPr>
        <w:t xml:space="preserve">People doing work of equal value receive equal pay.</w:t>
      </w:r>
    </w:p>
    <w:p>
      <w:pPr>
        <w:pStyle w:val="ListParagraph"/>
        <w:numPr>
          <w:ilvl w:val="0"/>
          <w:numId w:val="3"/>
        </w:numPr>
        <w:spacing w:after="80" w:line="290"/>
      </w:pPr>
      <w:r>
        <w:rPr>
          <w:rFonts w:ascii="Nunito Sans" w:cs="Nunito Sans" w:eastAsia="Nunito Sans" w:hAnsi="Nunito Sans"/>
          <w:color w:val="102E3B"/>
          <w:sz w:val="20"/>
          <w:szCs w:val="20"/>
        </w:rPr>
        <w:t xml:space="preserve">We do not pay staff hired locally and staff hired internationally differently for the same role, unless there is an objective reason, such as an allowance for relocation, which we explain in writing.</w:t>
      </w:r>
    </w:p>
    <w:p>
      <w:pPr>
        <w:pStyle w:val="ListParagraph"/>
        <w:numPr>
          <w:ilvl w:val="0"/>
          <w:numId w:val="3"/>
        </w:numPr>
        <w:spacing w:after="80" w:line="290"/>
      </w:pPr>
      <w:r>
        <w:rPr>
          <w:rFonts w:ascii="Nunito Sans" w:cs="Nunito Sans" w:eastAsia="Nunito Sans" w:hAnsi="Nunito Sans"/>
          <w:color w:val="102E3B"/>
          <w:sz w:val="20"/>
          <w:szCs w:val="20"/>
        </w:rPr>
        <w:t xml:space="preserve">We check our pay once a year for unexplained gaps, for example between women and men, and fix any we find.</w:t>
      </w:r>
    </w:p>
    <w:p>
      <w:pPr>
        <w:pStyle w:val="ListParagraph"/>
        <w:numPr>
          <w:ilvl w:val="0"/>
          <w:numId w:val="3"/>
        </w:numPr>
        <w:spacing w:after="80" w:line="290"/>
      </w:pPr>
      <w:r>
        <w:rPr>
          <w:rFonts w:ascii="Nunito Sans" w:cs="Nunito Sans" w:eastAsia="Nunito Sans" w:hAnsi="Nunito Sans"/>
          <w:color w:val="102E3B"/>
          <w:sz w:val="20"/>
          <w:szCs w:val="20"/>
        </w:rPr>
        <w:t xml:space="preserve">We pay at least the legal minimum wage and aim to pay a </w:t>
      </w:r>
      <w:r>
        <w:rPr>
          <w:rFonts w:ascii="Nunito Sans" w:cs="Nunito Sans" w:eastAsia="Nunito Sans" w:hAnsi="Nunito Sans"/>
          <w:color w:val="102E3B"/>
          <w:sz w:val="20"/>
          <w:szCs w:val="20"/>
          <w:highlight w:val="yellow"/>
        </w:rPr>
        <w:t xml:space="preserve">[living wage]</w:t>
      </w:r>
      <w:r>
        <w:rPr>
          <w:rFonts w:ascii="Nunito Sans" w:cs="Nunito Sans" w:eastAsia="Nunito Sans" w:hAnsi="Nunito Sans"/>
          <w:color w:val="102E3B"/>
          <w:sz w:val="20"/>
          <w:szCs w:val="20"/>
        </w:rPr>
        <w:t xml:space="preserve"> for the place where each person works.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 FAIRNESS</w:t>
            </w:r>
          </w:p>
          <w:p>
            <w:pPr>
              <w:spacing w:after="120" w:before="0" w:line="300"/>
            </w:pPr>
            <w:r>
              <w:rPr>
                <w:rFonts w:ascii="Nunito Sans" w:cs="Nunito Sans" w:eastAsia="Nunito Sans" w:hAnsi="Nunito Sans"/>
                <w:color w:val="102E3B"/>
                <w:sz w:val="19"/>
                <w:szCs w:val="19"/>
              </w:rPr>
              <w:t xml:space="preserve">Decide how you will set pay: a simple scale with </w:t>
            </w:r>
            <w:r>
              <w:rPr>
                <w:rFonts w:ascii="Nunito Sans" w:cs="Nunito Sans" w:eastAsia="Nunito Sans" w:hAnsi="Nunito Sans"/>
                <w:color w:val="102E3B"/>
                <w:sz w:val="19"/>
                <w:szCs w:val="19"/>
                <w:highlight w:val="yellow"/>
              </w:rPr>
              <w:t xml:space="preserve">[3–5]</w:t>
            </w:r>
            <w:r>
              <w:rPr>
                <w:rFonts w:ascii="Nunito Sans" w:cs="Nunito Sans" w:eastAsia="Nunito Sans" w:hAnsi="Nunito Sans"/>
                <w:color w:val="102E3B"/>
                <w:sz w:val="19"/>
                <w:szCs w:val="19"/>
              </w:rPr>
              <w:t xml:space="preserve"> levels works for most small organisations. If you employ people in several countries, explain how you set pay in each (for example, local market rates benchmarked against similar NGOs). Some countries require pay gap reporting above a certain size, for example the UK for employers with 250 or more staff. Check whether such rules apply to you.</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Reasonable adjustments and accessibility</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reasonable adjustment</w:t>
      </w:r>
      <w:r>
        <w:rPr>
          <w:rFonts w:ascii="Nunito Sans" w:cs="Nunito Sans" w:eastAsia="Nunito Sans" w:hAnsi="Nunito Sans"/>
          <w:color w:val="102E3B"/>
          <w:sz w:val="20"/>
          <w:szCs w:val="20"/>
        </w:rPr>
        <w:t xml:space="preserve"> is a change that removes a barrier for a disabled person, or for someone with another need, so they can work with us or use our services on an equal footing. Examples include flexible hours, a different start time, a screen reader, a quieter workspace, materials in large print or audio, a sign language interpreter, or holding a meeting in an accessible room.</w:t>
      </w:r>
    </w:p>
    <w:p>
      <w:pPr>
        <w:pStyle w:val="ListParagraph"/>
        <w:numPr>
          <w:ilvl w:val="0"/>
          <w:numId w:val="3"/>
        </w:numPr>
        <w:spacing w:after="80" w:line="290"/>
      </w:pPr>
      <w:r>
        <w:rPr>
          <w:rFonts w:ascii="Nunito Sans" w:cs="Nunito Sans" w:eastAsia="Nunito Sans" w:hAnsi="Nunito Sans"/>
          <w:color w:val="102E3B"/>
          <w:sz w:val="20"/>
          <w:szCs w:val="20"/>
        </w:rPr>
        <w:t xml:space="preserve">Anyone may ask for an adjustment at any time, and does not need to give a diagnosis. Ask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We discuss the request with the person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agree what will help, and record it.</w:t>
      </w:r>
    </w:p>
    <w:p>
      <w:pPr>
        <w:pStyle w:val="ListParagraph"/>
        <w:numPr>
          <w:ilvl w:val="0"/>
          <w:numId w:val="3"/>
        </w:numPr>
        <w:spacing w:after="80" w:line="290"/>
      </w:pPr>
      <w:r>
        <w:rPr>
          <w:rFonts w:ascii="Nunito Sans" w:cs="Nunito Sans" w:eastAsia="Nunito Sans" w:hAnsi="Nunito Sans"/>
          <w:color w:val="102E3B"/>
          <w:sz w:val="20"/>
          <w:szCs w:val="20"/>
        </w:rPr>
        <w:t xml:space="preserve">We pay for reasonable adjustments. If cost is a barrier, we look for funding or a lower-cost alternative together, before refusing.</w:t>
      </w:r>
    </w:p>
    <w:p>
      <w:pPr>
        <w:pStyle w:val="ListParagraph"/>
        <w:numPr>
          <w:ilvl w:val="0"/>
          <w:numId w:val="3"/>
        </w:numPr>
        <w:spacing w:after="80" w:line="290"/>
      </w:pPr>
      <w:r>
        <w:rPr>
          <w:rFonts w:ascii="Nunito Sans" w:cs="Nunito Sans" w:eastAsia="Nunito Sans" w:hAnsi="Nunito Sans"/>
          <w:color w:val="102E3B"/>
          <w:sz w:val="20"/>
          <w:szCs w:val="20"/>
        </w:rPr>
        <w:t xml:space="preserve">We consider accessibility when we choose offices, venues, websites, documents and transport for activities.</w:t>
      </w:r>
    </w:p>
    <w:p>
      <w:pPr>
        <w:pStyle w:val="ListParagraph"/>
        <w:numPr>
          <w:ilvl w:val="0"/>
          <w:numId w:val="3"/>
        </w:numPr>
        <w:spacing w:after="80" w:line="290"/>
      </w:pPr>
      <w:r>
        <w:rPr>
          <w:rFonts w:ascii="Nunito Sans" w:cs="Nunito Sans" w:eastAsia="Nunito Sans" w:hAnsi="Nunito Sans"/>
          <w:color w:val="102E3B"/>
          <w:sz w:val="20"/>
          <w:szCs w:val="20"/>
        </w:rPr>
        <w:t xml:space="preserve">We make reasonable adjustments for caring responsibilities, religious observance and health conditions too, where we can.</w:t>
      </w:r>
    </w:p>
    <w:p>
      <w:pPr>
        <w:pStyle w:val="Heading2"/>
        <w:keepNext/>
        <w:spacing w:after="120" w:before="280"/>
      </w:pPr>
      <w:r>
        <w:rPr>
          <w:rFonts w:ascii="DM Serif Display" w:cs="DM Serif Display" w:eastAsia="DM Serif Display" w:hAnsi="DM Serif Display"/>
          <w:color w:val="123C48"/>
          <w:sz w:val="28"/>
          <w:szCs w:val="28"/>
        </w:rPr>
        <w:t xml:space="preserve">5. Inclusive programmes and participation</w:t>
      </w:r>
    </w:p>
    <w:p>
      <w:pPr>
        <w:spacing w:after="120" w:before="0" w:line="300"/>
      </w:pPr>
      <w:r>
        <w:rPr>
          <w:rFonts w:ascii="Nunito Sans" w:cs="Nunito Sans" w:eastAsia="Nunito Sans" w:hAnsi="Nunito Sans"/>
          <w:color w:val="102E3B"/>
          <w:sz w:val="20"/>
          <w:szCs w:val="20"/>
        </w:rPr>
        <w:t xml:space="preserve">The people we serve are experts in their own lives. We:</w:t>
      </w:r>
    </w:p>
    <w:p>
      <w:pPr>
        <w:pStyle w:val="ListParagraph"/>
        <w:numPr>
          <w:ilvl w:val="0"/>
          <w:numId w:val="3"/>
        </w:numPr>
        <w:spacing w:after="80" w:line="290"/>
      </w:pPr>
      <w:r>
        <w:rPr>
          <w:rFonts w:ascii="Nunito Sans" w:cs="Nunito Sans" w:eastAsia="Nunito Sans" w:hAnsi="Nunito Sans"/>
          <w:color w:val="102E3B"/>
          <w:sz w:val="20"/>
          <w:szCs w:val="20"/>
        </w:rPr>
        <w:t xml:space="preserve">involve them in designing, running and reviewing our programmes, and pay them fairly for their time where they act as advisers or researchers;</w:t>
      </w:r>
    </w:p>
    <w:p>
      <w:pPr>
        <w:pStyle w:val="ListParagraph"/>
        <w:numPr>
          <w:ilvl w:val="0"/>
          <w:numId w:val="3"/>
        </w:numPr>
        <w:spacing w:after="80" w:line="290"/>
      </w:pPr>
      <w:r>
        <w:rPr>
          <w:rFonts w:ascii="Nunito Sans" w:cs="Nunito Sans" w:eastAsia="Nunito Sans" w:hAnsi="Nunito Sans"/>
          <w:color w:val="102E3B"/>
          <w:sz w:val="20"/>
          <w:szCs w:val="20"/>
        </w:rPr>
        <w:t xml:space="preserve">find out who is not taking part and why, for example women with young children, older people, disabled people, people from minority groups or people in remote areas, and change how we work to reach them;</w:t>
      </w:r>
    </w:p>
    <w:p>
      <w:pPr>
        <w:pStyle w:val="ListParagraph"/>
        <w:numPr>
          <w:ilvl w:val="0"/>
          <w:numId w:val="3"/>
        </w:numPr>
        <w:spacing w:after="80" w:line="290"/>
      </w:pPr>
      <w:r>
        <w:rPr>
          <w:rFonts w:ascii="Nunito Sans" w:cs="Nunito Sans" w:eastAsia="Nunito Sans" w:hAnsi="Nunito Sans"/>
          <w:color w:val="102E3B"/>
          <w:sz w:val="20"/>
          <w:szCs w:val="20"/>
        </w:rPr>
        <w:t xml:space="preserve">choose times, places and formats that suit them: childcare, transport costs, sessions near home, separate spaces where culture requires it;</w:t>
      </w:r>
    </w:p>
    <w:p>
      <w:pPr>
        <w:pStyle w:val="ListParagraph"/>
        <w:numPr>
          <w:ilvl w:val="0"/>
          <w:numId w:val="3"/>
        </w:numPr>
        <w:spacing w:after="80" w:line="290"/>
      </w:pPr>
      <w:r>
        <w:rPr>
          <w:rFonts w:ascii="Nunito Sans" w:cs="Nunito Sans" w:eastAsia="Nunito Sans" w:hAnsi="Nunito Sans"/>
          <w:color w:val="102E3B"/>
          <w:sz w:val="20"/>
          <w:szCs w:val="20"/>
        </w:rPr>
        <w:t xml:space="preserve">consider how our work could exclude or harm some groups before we start a new activity;</w:t>
      </w:r>
    </w:p>
    <w:p>
      <w:pPr>
        <w:pStyle w:val="ListParagraph"/>
        <w:numPr>
          <w:ilvl w:val="0"/>
          <w:numId w:val="3"/>
        </w:numPr>
        <w:spacing w:after="80" w:line="290"/>
      </w:pPr>
      <w:r>
        <w:rPr>
          <w:rFonts w:ascii="Nunito Sans" w:cs="Nunito Sans" w:eastAsia="Nunito Sans" w:hAnsi="Nunito Sans"/>
          <w:color w:val="102E3B"/>
          <w:sz w:val="20"/>
          <w:szCs w:val="20"/>
        </w:rPr>
        <w:t xml:space="preserve">give everyone a safe way to give feedback or complain (see our Complaints and Feedback Procedure), in ways that work for people who cannot read or write.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PROGRAMMES</w:t>
            </w:r>
          </w:p>
          <w:p>
            <w:pPr>
              <w:spacing w:after="120" w:before="0" w:line="300"/>
            </w:pPr>
            <w:r>
              <w:rPr>
                <w:rFonts w:ascii="Nunito Sans" w:cs="Nunito Sans" w:eastAsia="Nunito Sans" w:hAnsi="Nunito Sans"/>
                <w:color w:val="102E3B"/>
                <w:sz w:val="19"/>
                <w:szCs w:val="19"/>
              </w:rPr>
              <w:t xml:space="preserve">Add one or two concrete commitments that reflect your work, for example "At least half of our community committee members are women" or "Every training is offered in </w:t>
            </w:r>
            <w:r>
              <w:rPr>
                <w:rFonts w:ascii="Nunito Sans" w:cs="Nunito Sans" w:eastAsia="Nunito Sans" w:hAnsi="Nunito Sans"/>
                <w:color w:val="102E3B"/>
                <w:sz w:val="19"/>
                <w:szCs w:val="19"/>
                <w:highlight w:val="yellow"/>
              </w:rPr>
              <w:t xml:space="preserve">[local language]</w:t>
            </w:r>
            <w:r>
              <w:rPr>
                <w:rFonts w:ascii="Nunito Sans" w:cs="Nunito Sans" w:eastAsia="Nunito Sans" w:hAnsi="Nunito Sans"/>
                <w:color w:val="102E3B"/>
                <w:sz w:val="19"/>
                <w:szCs w:val="19"/>
              </w:rPr>
              <w:t xml:space="preserve"> and in sign language on request". Make sure your targets are realistic and that you can measure them.</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Language access</w:t>
      </w:r>
    </w:p>
    <w:p>
      <w:pPr>
        <w:pStyle w:val="ListParagraph"/>
        <w:numPr>
          <w:ilvl w:val="0"/>
          <w:numId w:val="3"/>
        </w:numPr>
        <w:spacing w:after="80" w:line="290"/>
      </w:pPr>
      <w:r>
        <w:rPr>
          <w:rFonts w:ascii="Nunito Sans" w:cs="Nunito Sans" w:eastAsia="Nunito Sans" w:hAnsi="Nunito Sans"/>
          <w:color w:val="102E3B"/>
          <w:sz w:val="20"/>
          <w:szCs w:val="20"/>
        </w:rPr>
        <w:t xml:space="preserve">We communicate with the people we serve in the language they understand best. We use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in our main activities, and arrange interpretation where we can.</w:t>
      </w:r>
    </w:p>
    <w:p>
      <w:pPr>
        <w:pStyle w:val="ListParagraph"/>
        <w:numPr>
          <w:ilvl w:val="0"/>
          <w:numId w:val="3"/>
        </w:numPr>
        <w:spacing w:after="80" w:line="290"/>
      </w:pPr>
      <w:r>
        <w:rPr>
          <w:rFonts w:ascii="Nunito Sans" w:cs="Nunito Sans" w:eastAsia="Nunito Sans" w:hAnsi="Nunito Sans"/>
          <w:color w:val="102E3B"/>
          <w:sz w:val="20"/>
          <w:szCs w:val="20"/>
        </w:rPr>
        <w:t xml:space="preserve">We write in plain language, use pictures and spoken explanations for people with low literacy, and read consent forms aloud where needed.</w:t>
      </w:r>
    </w:p>
    <w:p>
      <w:pPr>
        <w:pStyle w:val="ListParagraph"/>
        <w:numPr>
          <w:ilvl w:val="0"/>
          <w:numId w:val="3"/>
        </w:numPr>
        <w:spacing w:after="80" w:line="290"/>
      </w:pPr>
      <w:r>
        <w:rPr>
          <w:rFonts w:ascii="Nunito Sans" w:cs="Nunito Sans" w:eastAsia="Nunito Sans" w:hAnsi="Nunito Sans"/>
          <w:color w:val="102E3B"/>
          <w:sz w:val="20"/>
          <w:szCs w:val="20"/>
        </w:rPr>
        <w:t xml:space="preserve">We use qualified interpreters for sensitive conversations, such as safeguarding, health or legal matters. We use children as interpreters only in an emergency.</w:t>
      </w:r>
    </w:p>
    <w:p>
      <w:pPr>
        <w:pStyle w:val="ListParagraph"/>
        <w:numPr>
          <w:ilvl w:val="0"/>
          <w:numId w:val="3"/>
        </w:numPr>
        <w:spacing w:after="80" w:line="290"/>
      </w:pPr>
      <w:r>
        <w:rPr>
          <w:rFonts w:ascii="Nunito Sans" w:cs="Nunito Sans" w:eastAsia="Nunito Sans" w:hAnsi="Nunito Sans"/>
          <w:color w:val="102E3B"/>
          <w:sz w:val="20"/>
          <w:szCs w:val="20"/>
        </w:rPr>
        <w:t xml:space="preserve">Our main documents for participants, such as consent forms and the complaints procedure, are available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Respectful communications</w:t>
      </w:r>
    </w:p>
    <w:p>
      <w:pPr>
        <w:spacing w:after="120" w:before="0" w:line="300"/>
      </w:pPr>
      <w:r>
        <w:rPr>
          <w:rFonts w:ascii="Nunito Sans" w:cs="Nunito Sans" w:eastAsia="Nunito Sans" w:hAnsi="Nunito Sans"/>
          <w:color w:val="102E3B"/>
          <w:sz w:val="20"/>
          <w:szCs w:val="20"/>
        </w:rPr>
        <w:t xml:space="preserve">We show people with dignity. We do not use images or stories that reinforce stereotypes, present people as helpless, or reveal identities that could put them at risk. We follow our Social Media and Communications Policy and get informed consent through our Photo and Story Consent Form.</w:t>
      </w:r>
    </w:p>
    <w:p>
      <w:pPr>
        <w:pStyle w:val="Heading2"/>
        <w:keepNext/>
        <w:spacing w:after="120" w:before="280"/>
      </w:pPr>
      <w:r>
        <w:rPr>
          <w:rFonts w:ascii="DM Serif Display" w:cs="DM Serif Display" w:eastAsia="DM Serif Display" w:hAnsi="DM Serif Display"/>
          <w:color w:val="123C48"/>
          <w:sz w:val="28"/>
          <w:szCs w:val="28"/>
        </w:rPr>
        <w:t xml:space="preserve">8. Our board, partners and suppliers</w:t>
      </w:r>
    </w:p>
    <w:p>
      <w:pPr>
        <w:spacing w:after="120" w:before="0" w:line="300"/>
      </w:pPr>
      <w:r>
        <w:rPr>
          <w:rFonts w:ascii="Nunito Sans" w:cs="Nunito Sans" w:eastAsia="Nunito Sans" w:hAnsi="Nunito Sans"/>
          <w:color w:val="102E3B"/>
          <w:sz w:val="20"/>
          <w:szCs w:val="20"/>
        </w:rPr>
        <w:t xml:space="preserve">We aim for a board that reflects the communities we serve (see the Governing Body Terms of Reference). We ask partners and major suppliers to share our commitment to non-discrimination, and we include it in our partnership agreements. We prefer to work with organisations led by people from the communities where we work.</w:t>
      </w:r>
    </w:p>
    <w:p>
      <w:pPr>
        <w:pStyle w:val="Heading2"/>
        <w:keepNext/>
        <w:spacing w:after="120" w:before="280"/>
      </w:pPr>
      <w:r>
        <w:rPr>
          <w:rFonts w:ascii="DM Serif Display" w:cs="DM Serif Display" w:eastAsia="DM Serif Display" w:hAnsi="DM Serif Display"/>
          <w:color w:val="123C48"/>
          <w:sz w:val="28"/>
          <w:szCs w:val="28"/>
        </w:rPr>
        <w:t xml:space="preserve">9. Harassment, bullying and sexual harassment</w:t>
      </w:r>
    </w:p>
    <w:p>
      <w:pPr>
        <w:spacing w:after="120" w:before="0" w:line="300"/>
      </w:pPr>
      <w:r>
        <w:rPr>
          <w:rFonts w:ascii="Nunito Sans" w:cs="Nunito Sans" w:eastAsia="Nunito Sans" w:hAnsi="Nunito Sans"/>
          <w:color w:val="102E3B"/>
          <w:sz w:val="20"/>
          <w:szCs w:val="20"/>
        </w:rPr>
        <w:t xml:space="preserve">Harassment related to any characteristic in section 1, including sexual harassment, is never acceptable. Our Anti-Harassment, Intimidation and Bullying Policy and Procedure explains what this means, how to raise a concern and how we respond. Where the concern involves a child or an adult at risk, our Safeguarding Policy and Procedure applies.</w:t>
      </w:r>
    </w:p>
    <w:p>
      <w:pPr>
        <w:pStyle w:val="Heading1"/>
        <w:keepNext/>
        <w:spacing w:after="160" w:before="360"/>
      </w:pPr>
      <w:r>
        <w:rPr>
          <w:rFonts w:ascii="DM Serif Display" w:cs="DM Serif Display" w:eastAsia="DM Serif Display" w:hAnsi="DM Serif Display"/>
          <w:color w:val="123C48"/>
          <w:sz w:val="40"/>
          <w:szCs w:val="40"/>
        </w:rPr>
        <w:t xml:space="preserve">Sensitive contexts</w:t>
      </w:r>
    </w:p>
    <w:p>
      <w:pPr>
        <w:spacing w:after="120" w:before="0" w:line="300"/>
      </w:pPr>
      <w:r>
        <w:rPr>
          <w:rFonts w:ascii="Nunito Sans" w:cs="Nunito Sans" w:eastAsia="Nunito Sans" w:hAnsi="Nunito Sans"/>
          <w:color w:val="102E3B"/>
          <w:sz w:val="20"/>
          <w:szCs w:val="20"/>
        </w:rPr>
        <w:t xml:space="preserve">In some countries, some identities, beliefs or relationships are criminalised or put people in danger. These may include same-sex relationships, gender identity, some religions or none, political opinions, or membership of certain ethnic or minority groups. In these places we protect people first:</w:t>
      </w:r>
    </w:p>
    <w:p>
      <w:pPr>
        <w:pStyle w:val="ListParagraph"/>
        <w:numPr>
          <w:ilvl w:val="0"/>
          <w:numId w:val="3"/>
        </w:numPr>
        <w:spacing w:after="80" w:line="290"/>
      </w:pPr>
      <w:r>
        <w:rPr>
          <w:rFonts w:ascii="Nunito Sans" w:cs="Nunito Sans" w:eastAsia="Nunito Sans" w:hAnsi="Nunito Sans"/>
          <w:color w:val="102E3B"/>
          <w:sz w:val="20"/>
          <w:szCs w:val="20"/>
        </w:rPr>
        <w:t xml:space="preserve">We do not ask about, record or share such characteristics, even voluntarily, where doing so could expose anyone to harm or prosecution.</w:t>
      </w:r>
    </w:p>
    <w:p>
      <w:pPr>
        <w:pStyle w:val="ListParagraph"/>
        <w:numPr>
          <w:ilvl w:val="0"/>
          <w:numId w:val="3"/>
        </w:numPr>
        <w:spacing w:after="80" w:line="290"/>
      </w:pPr>
      <w:r>
        <w:rPr>
          <w:rFonts w:ascii="Nunito Sans" w:cs="Nunito Sans" w:eastAsia="Nunito Sans" w:hAnsi="Nunito Sans"/>
          <w:color w:val="102E3B"/>
          <w:sz w:val="20"/>
          <w:szCs w:val="20"/>
        </w:rPr>
        <w:t xml:space="preserve">Our non-discrimination commitment still applies in full. We treat everyone fairly whether or not we know their identity.</w:t>
      </w:r>
    </w:p>
    <w:p>
      <w:pPr>
        <w:pStyle w:val="ListParagraph"/>
        <w:numPr>
          <w:ilvl w:val="0"/>
          <w:numId w:val="3"/>
        </w:numPr>
        <w:spacing w:after="80" w:line="290"/>
      </w:pPr>
      <w:r>
        <w:rPr>
          <w:rFonts w:ascii="Nunito Sans" w:cs="Nunito Sans" w:eastAsia="Nunito Sans" w:hAnsi="Nunito Sans"/>
          <w:color w:val="102E3B"/>
          <w:sz w:val="20"/>
          <w:szCs w:val="20"/>
        </w:rPr>
        <w:t xml:space="preserve">We think carefully before publishing statements, images or data about such groups, and we follow the advice of local partners and the people concerned.</w:t>
      </w:r>
    </w:p>
    <w:p>
      <w:pPr>
        <w:pStyle w:val="ListParagraph"/>
        <w:numPr>
          <w:ilvl w:val="0"/>
          <w:numId w:val="3"/>
        </w:numPr>
        <w:spacing w:after="80" w:line="290"/>
      </w:pPr>
      <w:r>
        <w:rPr>
          <w:rFonts w:ascii="Nunito Sans" w:cs="Nunito Sans" w:eastAsia="Nunito Sans" w:hAnsi="Nunito Sans"/>
          <w:color w:val="102E3B"/>
          <w:sz w:val="20"/>
          <w:szCs w:val="20"/>
        </w:rPr>
        <w:t xml:space="preserve">If staff are at risk because of who they are, we discuss safety with them privately and apply our Travel Safety and Duty of Care Policy, including adjustments to travel or postings.</w:t>
      </w:r>
    </w:p>
    <w:p>
      <w:pPr>
        <w:pStyle w:val="ListParagraph"/>
        <w:numPr>
          <w:ilvl w:val="0"/>
          <w:numId w:val="3"/>
        </w:numPr>
        <w:spacing w:after="80" w:line="290"/>
      </w:pPr>
      <w:r>
        <w:rPr>
          <w:rFonts w:ascii="Nunito Sans" w:cs="Nunito Sans" w:eastAsia="Nunito Sans" w:hAnsi="Nunito Sans"/>
          <w:color w:val="102E3B"/>
          <w:sz w:val="20"/>
          <w:szCs w:val="20"/>
        </w:rPr>
        <w:t xml:space="preserve">We take legal advice where a law could require us to report or disclose information about people's identity, and we choose the course that keeps people safe and is lawful.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WORKING WHERE IDENTITIES ARE CRIMINALISED</w:t>
            </w:r>
          </w:p>
          <w:p>
            <w:pPr>
              <w:spacing w:after="120" w:before="0" w:line="300"/>
            </w:pPr>
            <w:r>
              <w:rPr>
                <w:rFonts w:ascii="Nunito Sans" w:cs="Nunito Sans" w:eastAsia="Nunito Sans" w:hAnsi="Nunito Sans"/>
                <w:color w:val="102E3B"/>
                <w:sz w:val="19"/>
                <w:szCs w:val="19"/>
              </w:rPr>
              <w:t xml:space="preserve">Check local law carefully, especially laws on sexual orientation, gender identity, religion, "promotion" of particular identities, or registration of organisations that work with certain groups. Some recent laws, for example in Uganda in 2023, create offences that may affect organisations, not only individuals, so take specialist legal advice. In these contexts it may be safer not to publish this policy in full on your website, while keeping it in force internally. Never put staff or participants at risk to make a public statement.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Monitoring diversity</w:t>
      </w:r>
    </w:p>
    <w:p>
      <w:pPr>
        <w:spacing w:after="120" w:before="0" w:line="300"/>
      </w:pPr>
      <w:r>
        <w:rPr>
          <w:rFonts w:ascii="Nunito Sans" w:cs="Nunito Sans" w:eastAsia="Nunito Sans" w:hAnsi="Nunito Sans"/>
          <w:color w:val="102E3B"/>
          <w:sz w:val="20"/>
          <w:szCs w:val="20"/>
        </w:rPr>
        <w:t xml:space="preserve">We collect diversity information only to check that our recruitment, pay and programmes are fair and reach the people they are meant for.</w:t>
      </w:r>
    </w:p>
    <w:p>
      <w:pPr>
        <w:pStyle w:val="ListParagraph"/>
        <w:numPr>
          <w:ilvl w:val="0"/>
          <w:numId w:val="3"/>
        </w:numPr>
        <w:spacing w:after="80" w:line="290"/>
      </w:pPr>
      <w:r>
        <w:rPr>
          <w:rFonts w:ascii="Nunito Sans" w:cs="Nunito Sans" w:eastAsia="Nunito Sans" w:hAnsi="Nunito Sans"/>
          <w:color w:val="102E3B"/>
          <w:sz w:val="20"/>
          <w:szCs w:val="20"/>
        </w:rPr>
        <w:t xml:space="preserve">Giving diversity information is </w:t>
      </w:r>
      <w:r>
        <w:rPr>
          <w:rFonts w:ascii="Nunito Sans" w:cs="Nunito Sans" w:eastAsia="Nunito Sans" w:hAnsi="Nunito Sans"/>
          <w:b/>
          <w:bCs/>
          <w:color w:val="102E3B"/>
          <w:sz w:val="20"/>
          <w:szCs w:val="20"/>
        </w:rPr>
        <w:t xml:space="preserve">voluntary</w:t>
      </w:r>
      <w:r>
        <w:rPr>
          <w:rFonts w:ascii="Nunito Sans" w:cs="Nunito Sans" w:eastAsia="Nunito Sans" w:hAnsi="Nunito Sans"/>
          <w:color w:val="102E3B"/>
          <w:sz w:val="20"/>
          <w:szCs w:val="20"/>
        </w:rPr>
        <w:t xml:space="preserve">. Every question has a "prefer not to say" option. Nobody is treated differently for not answering.</w:t>
      </w:r>
    </w:p>
    <w:p>
      <w:pPr>
        <w:pStyle w:val="ListParagraph"/>
        <w:numPr>
          <w:ilvl w:val="0"/>
          <w:numId w:val="3"/>
        </w:numPr>
        <w:spacing w:after="80" w:line="290"/>
      </w:pPr>
      <w:r>
        <w:rPr>
          <w:rFonts w:ascii="Nunito Sans" w:cs="Nunito Sans" w:eastAsia="Nunito Sans" w:hAnsi="Nunito Sans"/>
          <w:color w:val="102E3B"/>
          <w:sz w:val="20"/>
          <w:szCs w:val="20"/>
        </w:rPr>
        <w:t xml:space="preserve">We keep diversity data </w:t>
      </w:r>
      <w:r>
        <w:rPr>
          <w:rFonts w:ascii="Nunito Sans" w:cs="Nunito Sans" w:eastAsia="Nunito Sans" w:hAnsi="Nunito Sans"/>
          <w:b/>
          <w:bCs/>
          <w:color w:val="102E3B"/>
          <w:sz w:val="20"/>
          <w:szCs w:val="20"/>
        </w:rPr>
        <w:t xml:space="preserve">separate</w:t>
      </w:r>
      <w:r>
        <w:rPr>
          <w:rFonts w:ascii="Nunito Sans" w:cs="Nunito Sans" w:eastAsia="Nunito Sans" w:hAnsi="Nunito Sans"/>
          <w:color w:val="102E3B"/>
          <w:sz w:val="20"/>
          <w:szCs w:val="20"/>
        </w:rPr>
        <w:t xml:space="preserve"> from application forms and personnel files. Shortlisting and interview panels never see it.</w:t>
      </w:r>
    </w:p>
    <w:p>
      <w:pPr>
        <w:pStyle w:val="ListParagraph"/>
        <w:numPr>
          <w:ilvl w:val="0"/>
          <w:numId w:val="3"/>
        </w:numPr>
        <w:spacing w:after="80" w:line="290"/>
      </w:pPr>
      <w:r>
        <w:rPr>
          <w:rFonts w:ascii="Nunito Sans" w:cs="Nunito Sans" w:eastAsia="Nunito Sans" w:hAnsi="Nunito Sans"/>
          <w:color w:val="102E3B"/>
          <w:sz w:val="20"/>
          <w:szCs w:val="20"/>
        </w:rPr>
        <w:t xml:space="preserve">Only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can see individual answers. We report only totals, and we do not report groups so small that individuals could be identified (fewer than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people).</w:t>
      </w:r>
    </w:p>
    <w:p>
      <w:pPr>
        <w:pStyle w:val="ListParagraph"/>
        <w:numPr>
          <w:ilvl w:val="0"/>
          <w:numId w:val="3"/>
        </w:numPr>
        <w:spacing w:after="80" w:line="290"/>
      </w:pPr>
      <w:r>
        <w:rPr>
          <w:rFonts w:ascii="Nunito Sans" w:cs="Nunito Sans" w:eastAsia="Nunito Sans" w:hAnsi="Nunito Sans"/>
          <w:color w:val="102E3B"/>
          <w:sz w:val="20"/>
          <w:szCs w:val="20"/>
        </w:rPr>
        <w:t xml:space="preserve">We ask only questions that are lawful, relevant and safe in each country (see "Sensitive contexts"). Some information, such as health, ethnicity, religion or sexual orientation, is sensitive personal data under most data protection laws, so we follow our Data Protection Policy and, where needed, ask for explicit consent.</w:t>
      </w:r>
    </w:p>
    <w:p>
      <w:pPr>
        <w:pStyle w:val="ListParagraph"/>
        <w:numPr>
          <w:ilvl w:val="0"/>
          <w:numId w:val="3"/>
        </w:numPr>
        <w:spacing w:after="80" w:line="290"/>
      </w:pPr>
      <w:r>
        <w:rPr>
          <w:rFonts w:ascii="Nunito Sans" w:cs="Nunito Sans" w:eastAsia="Nunito Sans" w:hAnsi="Nunito Sans"/>
          <w:color w:val="102E3B"/>
          <w:sz w:val="20"/>
          <w:szCs w:val="20"/>
        </w:rPr>
        <w:t xml:space="preserve">For programmes, we usually collect only the information we need to check reach, such as sex, age group, disability (using simple, recognised questions such as the Washington Group Short Set) and location.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WHAT TO MONITOR</w:t>
            </w:r>
          </w:p>
          <w:p>
            <w:pPr>
              <w:spacing w:after="120" w:before="0" w:line="300"/>
            </w:pPr>
            <w:r>
              <w:rPr>
                <w:rFonts w:ascii="Nunito Sans" w:cs="Nunito Sans" w:eastAsia="Nunito Sans" w:hAnsi="Nunito Sans"/>
                <w:color w:val="102E3B"/>
                <w:sz w:val="19"/>
                <w:szCs w:val="19"/>
              </w:rPr>
              <w:t xml:space="preserve">For a small organisation, a short anonymous form for job applicants and an annual look at your team, board and participants is enough. The Washington Group Short Set of questions on functioning is widely used to measure disability without asking about diagnoses. Check what your data protection law says about special categories of data, for example the Kenya Data Protection Act 2019, South Africa's POPIA or Brazil's LGPD.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board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checks each year that it works, using the inclusion lead's report; makes sure the board itself is diverse and inclusive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[Executive Director / founder]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Leads by example; makes sure we have the resources for adjustments, interpretation and accessible materials; deals with serious complaints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Inclusion lead </w:t>
            </w:r>
            <w:r>
              <w:rPr>
                <w:rFonts w:ascii="Nunito Sans" w:cs="Nunito Sans" w:eastAsia="Nunito Sans" w:hAnsi="Nunito Sans"/>
                <w:color w:val="102E3B"/>
                <w:sz w:val="18"/>
                <w:szCs w:val="18"/>
                <w:highlight w:val="yellow"/>
              </w:rPr>
              <w:t xml:space="preserve">[Name]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Advises on this policy; supports fair recruitment and adjustments; keeps diversity data; prepares the annual report</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Managers and team leads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Apply this policy fairly; respond to adjustment requests; deal promptly with inappropriate behaviour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Treats others with respect; challenges or reports discrimination; takes part in training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Raising a concern</w:t>
      </w:r>
    </w:p>
    <w:p>
      <w:pPr>
        <w:spacing w:after="120" w:before="0" w:line="300"/>
      </w:pPr>
      <w:r>
        <w:rPr>
          <w:rFonts w:ascii="Nunito Sans" w:cs="Nunito Sans" w:eastAsia="Nunito Sans" w:hAnsi="Nunito Sans"/>
          <w:color w:val="102E3B"/>
          <w:sz w:val="20"/>
          <w:szCs w:val="20"/>
        </w:rPr>
        <w:t xml:space="preserve">If you think you, or someone else, has been discriminated against, harassed or victimised by anyone connected to us:</w:t>
      </w:r>
    </w:p>
    <w:p>
      <w:pPr>
        <w:pStyle w:val="ListParagraph"/>
        <w:numPr>
          <w:ilvl w:val="0"/>
          <w:numId w:val="4"/>
        </w:numPr>
        <w:spacing w:after="80" w:line="290"/>
      </w:pPr>
      <w:r>
        <w:rPr>
          <w:rFonts w:ascii="Nunito Sans" w:cs="Nunito Sans" w:eastAsia="Nunito Sans" w:hAnsi="Nunito Sans"/>
          <w:color w:val="102E3B"/>
          <w:sz w:val="20"/>
          <w:szCs w:val="20"/>
        </w:rPr>
        <w:t xml:space="preserve">If you feel able, raise it informally with the person or your manager. You do not have to.</w:t>
      </w:r>
    </w:p>
    <w:p>
      <w:pPr>
        <w:pStyle w:val="ListParagraph"/>
        <w:numPr>
          <w:ilvl w:val="0"/>
          <w:numId w:val="4"/>
        </w:numPr>
        <w:spacing w:after="80" w:line="290"/>
      </w:pPr>
      <w:r>
        <w:rPr>
          <w:rFonts w:ascii="Nunito Sans" w:cs="Nunito Sans" w:eastAsia="Nunito Sans" w:hAnsi="Nunito Sans"/>
          <w:color w:val="102E3B"/>
          <w:sz w:val="20"/>
          <w:szCs w:val="20"/>
        </w:rPr>
        <w:t xml:space="preserve">Or raise it with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 / phone]</w:t>
      </w:r>
      <w:r>
        <w:rPr>
          <w:rFonts w:ascii="Nunito Sans" w:cs="Nunito Sans" w:eastAsia="Nunito Sans" w:hAnsi="Nunito Sans"/>
          <w:color w:val="102E3B"/>
          <w:sz w:val="20"/>
          <w:szCs w:val="20"/>
        </w:rPr>
        <w:t xml:space="preserve">, or with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if it concerns them or the founder.</w:t>
      </w:r>
    </w:p>
    <w:p>
      <w:pPr>
        <w:pStyle w:val="ListParagraph"/>
        <w:numPr>
          <w:ilvl w:val="0"/>
          <w:numId w:val="4"/>
        </w:numPr>
        <w:spacing w:after="80" w:line="290"/>
      </w:pPr>
      <w:r>
        <w:rPr>
          <w:rFonts w:ascii="Nunito Sans" w:cs="Nunito Sans" w:eastAsia="Nunito Sans" w:hAnsi="Nunito Sans"/>
          <w:color w:val="102E3B"/>
          <w:sz w:val="20"/>
          <w:szCs w:val="20"/>
        </w:rPr>
        <w:t xml:space="preserve">Staff and volunteers can use the formal steps in our Anti-Harassment, Intimidation and Bullying Policy and Procedure. Participants, partners and the public can use our Complaints and Feedback Procedure. Anyone can use our Whistleblowing Policy and Procedure, including </w:t>
      </w:r>
      <w:r>
        <w:rPr>
          <w:rFonts w:ascii="Nunito Sans" w:cs="Nunito Sans" w:eastAsia="Nunito Sans" w:hAnsi="Nunito Sans"/>
          <w:color w:val="102E3B"/>
          <w:sz w:val="20"/>
          <w:szCs w:val="20"/>
          <w:highlight w:val="yellow"/>
        </w:rPr>
        <w:t xml:space="preserve">[an anonymous route]</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We acknowledge every concern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and aim to resolve it within </w:t>
      </w:r>
      <w:r>
        <w:rPr>
          <w:rFonts w:ascii="Nunito Sans" w:cs="Nunito Sans" w:eastAsia="Nunito Sans" w:hAnsi="Nunito Sans"/>
          <w:color w:val="102E3B"/>
          <w:sz w:val="20"/>
          <w:szCs w:val="20"/>
          <w:highlight w:val="yellow"/>
        </w:rPr>
        <w:t xml:space="preserve">[30 working days]</w:t>
      </w:r>
      <w:r>
        <w:rPr>
          <w:rFonts w:ascii="Nunito Sans" w:cs="Nunito Sans" w:eastAsia="Nunito Sans" w:hAnsi="Nunito Sans"/>
          <w:color w:val="102E3B"/>
          <w:sz w:val="20"/>
          <w:szCs w:val="20"/>
        </w:rPr>
        <w:t xml:space="preserve">, or the time limits of the procedure that applies. We tell you if it will take longer, and why.</w:t>
      </w:r>
    </w:p>
    <w:p>
      <w:pPr>
        <w:spacing w:after="120" w:before="0" w:line="300"/>
      </w:pPr>
      <w:r>
        <w:rPr>
          <w:rFonts w:ascii="Nunito Sans" w:cs="Nunito Sans" w:eastAsia="Nunito Sans" w:hAnsi="Nunito Sans"/>
          <w:color w:val="102E3B"/>
          <w:sz w:val="20"/>
          <w:szCs w:val="20"/>
        </w:rPr>
        <w:t xml:space="preserve">Nobody will be treated badly for raising a genuine concern, even if it is not upheld. You may also have the right to complain to an external body, such as </w:t>
      </w:r>
      <w:r>
        <w:rPr>
          <w:rFonts w:ascii="Nunito Sans" w:cs="Nunito Sans" w:eastAsia="Nunito Sans" w:hAnsi="Nunito Sans"/>
          <w:color w:val="102E3B"/>
          <w:sz w:val="20"/>
          <w:szCs w:val="20"/>
          <w:highlight w:val="yellow"/>
        </w:rPr>
        <w:t xml:space="preserve">[national equality body, labour office or human rights commission]</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We take every breach seriously. Depending on the case, we may give guidance or training, take disciplinary action up to dismissal, end a volunteer role, contract or board membership, or end a partnership. Discrimination, harassment and victimisation are disciplinary matters, and serious cases may be gross misconduct. We also look at whether our own rules or practices caused the problem, and change them.</w:t>
      </w: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We keep records of adjustment requests, complaints and diversity data securely, separately from other files, and only for as long as set out in our Records Retention Schedule. We share them only with those who need to know. We handle all personal information under our Data Protection Policy.</w:t>
      </w:r>
    </w:p>
    <w:p>
      <w:pPr>
        <w:pStyle w:val="Heading1"/>
        <w:keepNext/>
        <w:spacing w:after="160" w:before="360"/>
      </w:pPr>
      <w:r>
        <w:rPr>
          <w:rFonts w:ascii="DM Serif Display" w:cs="DM Serif Display" w:eastAsia="DM Serif Display" w:hAnsi="DM Serif Display"/>
          <w:color w:val="123C48"/>
          <w:sz w:val="40"/>
          <w:szCs w:val="40"/>
        </w:rPr>
        <w:t xml:space="preserve">Training</w:t>
      </w:r>
    </w:p>
    <w:p>
      <w:pPr>
        <w:spacing w:after="120" w:before="0" w:line="300"/>
      </w:pPr>
      <w:r>
        <w:rPr>
          <w:rFonts w:ascii="Nunito Sans" w:cs="Nunito Sans" w:eastAsia="Nunito Sans" w:hAnsi="Nunito Sans"/>
          <w:color w:val="102E3B"/>
          <w:sz w:val="20"/>
          <w:szCs w:val="20"/>
        </w:rPr>
        <w:t xml:space="preserve">Everyone receives a short briefing on this policy when they join. People who recruit or manage others receive training on fair recruitment, unconscious bias and reasonable adjustments within </w:t>
      </w:r>
      <w:r>
        <w:rPr>
          <w:rFonts w:ascii="Nunito Sans" w:cs="Nunito Sans" w:eastAsia="Nunito Sans" w:hAnsi="Nunito Sans"/>
          <w:color w:val="102E3B"/>
          <w:sz w:val="20"/>
          <w:szCs w:val="20"/>
          <w:highlight w:val="yellow"/>
        </w:rPr>
        <w:t xml:space="preserve">[3 months]</w:t>
      </w:r>
      <w:r>
        <w:rPr>
          <w:rFonts w:ascii="Nunito Sans" w:cs="Nunito Sans" w:eastAsia="Nunito Sans" w:hAnsi="Nunito Sans"/>
          <w:color w:val="102E3B"/>
          <w:sz w:val="20"/>
          <w:szCs w:val="20"/>
        </w:rPr>
        <w:t xml:space="preserve"> of taking on that role.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Each year the inclusion lead reports to the board on:</w:t>
      </w:r>
    </w:p>
    <w:p>
      <w:pPr>
        <w:pStyle w:val="ListParagraph"/>
        <w:numPr>
          <w:ilvl w:val="0"/>
          <w:numId w:val="3"/>
        </w:numPr>
        <w:spacing w:after="80" w:line="290"/>
      </w:pPr>
      <w:r>
        <w:rPr>
          <w:rFonts w:ascii="Nunito Sans" w:cs="Nunito Sans" w:eastAsia="Nunito Sans" w:hAnsi="Nunito Sans"/>
          <w:color w:val="102E3B"/>
          <w:sz w:val="20"/>
          <w:szCs w:val="20"/>
        </w:rPr>
        <w:t xml:space="preserve">the diversity of applicants, staff, volunteers and the board, in totals only;</w:t>
      </w:r>
    </w:p>
    <w:p>
      <w:pPr>
        <w:pStyle w:val="ListParagraph"/>
        <w:numPr>
          <w:ilvl w:val="0"/>
          <w:numId w:val="3"/>
        </w:numPr>
        <w:spacing w:after="80" w:line="290"/>
      </w:pPr>
      <w:r>
        <w:rPr>
          <w:rFonts w:ascii="Nunito Sans" w:cs="Nunito Sans" w:eastAsia="Nunito Sans" w:hAnsi="Nunito Sans"/>
          <w:color w:val="102E3B"/>
          <w:sz w:val="20"/>
          <w:szCs w:val="20"/>
        </w:rPr>
        <w:t xml:space="preserve">adjustment requests and how we responded;</w:t>
      </w:r>
    </w:p>
    <w:p>
      <w:pPr>
        <w:pStyle w:val="ListParagraph"/>
        <w:numPr>
          <w:ilvl w:val="0"/>
          <w:numId w:val="3"/>
        </w:numPr>
        <w:spacing w:after="80" w:line="290"/>
      </w:pPr>
      <w:r>
        <w:rPr>
          <w:rFonts w:ascii="Nunito Sans" w:cs="Nunito Sans" w:eastAsia="Nunito Sans" w:hAnsi="Nunito Sans"/>
          <w:color w:val="102E3B"/>
          <w:sz w:val="20"/>
          <w:szCs w:val="20"/>
        </w:rPr>
        <w:t xml:space="preserve">who takes part in our programmes, and who does not;</w:t>
      </w:r>
    </w:p>
    <w:p>
      <w:pPr>
        <w:pStyle w:val="ListParagraph"/>
        <w:numPr>
          <w:ilvl w:val="0"/>
          <w:numId w:val="3"/>
        </w:numPr>
        <w:spacing w:after="80" w:line="290"/>
      </w:pPr>
      <w:r>
        <w:rPr>
          <w:rFonts w:ascii="Nunito Sans" w:cs="Nunito Sans" w:eastAsia="Nunito Sans" w:hAnsi="Nunito Sans"/>
          <w:color w:val="102E3B"/>
          <w:sz w:val="20"/>
          <w:szCs w:val="20"/>
        </w:rPr>
        <w:t xml:space="preserve">pay checks and any gaps;</w:t>
      </w:r>
    </w:p>
    <w:p>
      <w:pPr>
        <w:pStyle w:val="ListParagraph"/>
        <w:numPr>
          <w:ilvl w:val="0"/>
          <w:numId w:val="3"/>
        </w:numPr>
        <w:spacing w:after="80" w:line="290"/>
      </w:pPr>
      <w:r>
        <w:rPr>
          <w:rFonts w:ascii="Nunito Sans" w:cs="Nunito Sans" w:eastAsia="Nunito Sans" w:hAnsi="Nunito Sans"/>
          <w:color w:val="102E3B"/>
          <w:sz w:val="20"/>
          <w:szCs w:val="20"/>
        </w:rPr>
        <w:t xml:space="preserve">complaints about discrimination and what we learned.</w:t>
      </w:r>
    </w:p>
    <w:p>
      <w:pPr>
        <w:spacing w:after="120" w:before="0" w:line="300"/>
      </w:pPr>
      <w:r>
        <w:rPr>
          <w:rFonts w:ascii="Nunito Sans" w:cs="Nunito Sans" w:eastAsia="Nunito Sans" w:hAnsi="Nunito Sans"/>
          <w:color w:val="102E3B"/>
          <w:sz w:val="20"/>
          <w:szCs w:val="20"/>
        </w:rPr>
        <w:t xml:space="preserve">The board agrees up to </w:t>
      </w:r>
      <w:r>
        <w:rPr>
          <w:rFonts w:ascii="Nunito Sans" w:cs="Nunito Sans" w:eastAsia="Nunito Sans" w:hAnsi="Nunito Sans"/>
          <w:color w:val="102E3B"/>
          <w:sz w:val="20"/>
          <w:szCs w:val="20"/>
          <w:highlight w:val="yellow"/>
        </w:rPr>
        <w:t xml:space="preserve">[three]</w:t>
      </w:r>
      <w:r>
        <w:rPr>
          <w:rFonts w:ascii="Nunito Sans" w:cs="Nunito Sans" w:eastAsia="Nunito Sans" w:hAnsi="Nunito Sans"/>
          <w:color w:val="102E3B"/>
          <w:sz w:val="20"/>
          <w:szCs w:val="20"/>
        </w:rPr>
        <w:t xml:space="preserve"> actions for the coming year. We review this policy at least every </w:t>
      </w:r>
      <w:r>
        <w:rPr>
          <w:rFonts w:ascii="Nunito Sans" w:cs="Nunito Sans" w:eastAsia="Nunito Sans" w:hAnsi="Nunito Sans"/>
          <w:color w:val="102E3B"/>
          <w:sz w:val="20"/>
          <w:szCs w:val="20"/>
          <w:highlight w:val="yellow"/>
        </w:rPr>
        <w:t xml:space="preserve">[two years]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Anti-Harassment, Intimidation and Bullying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Complaints and Feedback Procedure</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Travel Safety and Duty of Care Policy</w:t>
      </w:r>
    </w:p>
    <w:p>
      <w:pPr>
        <w:pStyle w:val="ListParagraph"/>
        <w:numPr>
          <w:ilvl w:val="0"/>
          <w:numId w:val="3"/>
        </w:numPr>
        <w:spacing w:after="80" w:line="290"/>
      </w:pPr>
      <w:r>
        <w:rPr>
          <w:rFonts w:ascii="Nunito Sans" w:cs="Nunito Sans" w:eastAsia="Nunito Sans" w:hAnsi="Nunito Sans"/>
          <w:color w:val="102E3B"/>
          <w:sz w:val="20"/>
          <w:szCs w:val="20"/>
        </w:rPr>
        <w:t xml:space="preserve">Social Media and Communications Policy</w:t>
      </w:r>
    </w:p>
    <w:p>
      <w:pPr>
        <w:pStyle w:val="ListParagraph"/>
        <w:numPr>
          <w:ilvl w:val="0"/>
          <w:numId w:val="3"/>
        </w:numPr>
        <w:spacing w:after="80" w:line="290"/>
      </w:pPr>
      <w:r>
        <w:rPr>
          <w:rFonts w:ascii="Nunito Sans" w:cs="Nunito Sans" w:eastAsia="Nunito Sans" w:hAnsi="Nunito Sans"/>
          <w:color w:val="102E3B"/>
          <w:sz w:val="20"/>
          <w:szCs w:val="20"/>
        </w:rPr>
        <w:t xml:space="preserve">Governing Body Terms of Reference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[Employment contracts, volunteer agreements and recruitment procedures]</w:t>
      </w:r>
    </w:p>
    <w:p>
      <w:pPr>
        <w:pStyle w:val="ListParagraph"/>
        <w:numPr>
          <w:ilvl w:val="0"/>
          <w:numId w:val="3"/>
        </w:numPr>
        <w:spacing w:after="80" w:line="290"/>
      </w:pPr>
      <w:r>
        <w:rPr>
          <w:rFonts w:ascii="Nunito Sans" w:cs="Nunito Sans" w:eastAsia="Nunito Sans" w:hAnsi="Nunito Sans"/>
          <w:color w:val="102E3B"/>
          <w:sz w:val="20"/>
          <w:szCs w:val="20"/>
        </w:rPr>
        <w:t xml:space="preserve">Safer Recruitment Procedure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Equality, Diversity and Inclusion Policy. I will treat everyone fairly and with respect, and I will raise any concern about discrimination, harassment or victimisation. I understand that breaking this policy can lead to disciplinary action or the end of my role with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Equality, Diversity and Inclusion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9BB6B3D-24AB-2C13-A640-1A5D3E7D2B9A}"/>
  </w:font>
  <w:font w:name="DM Serif Display">
    <w:family w:val="auto"/>
    <w:pitch w:val="variable"/>
    <w:sig w:usb0="E0002AFF" w:usb1="C000247B" w:usb2="00000009" w:usb3="00000000" w:csb0="000001FF" w:csb1="00000000"/>
    <w:embedRegular r:id="rId2" w:fontKey="{A58CC175-0479-3AE8-E346-35EFFB95D58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Equality, Diversity and Inclusion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EQUALITY, DIVERSITY AND INCLUSION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Equality, Diversity and Inclusion Policy</dc:title>
  <dc:creator>Method into Impact</dc:creator>
  <dc:description>How [[Organisation name]] treats people fairly, welcomes difference and removes barriers, in the way we recruit and pay our team, run our programmes and involve the people we serve.</dc:description>
  <cp:lastModifiedBy>Un-named</cp:lastModifiedBy>
  <cp:revision>1</cp:revision>
  <dcterms:created xsi:type="dcterms:W3CDTF">2026-10-29T06:09:12.696Z</dcterms:created>
  <dcterms:modified xsi:type="dcterms:W3CDTF">2026-10-29T06:09:12.696Z</dcterms:modified>
</cp:coreProperties>
</file>

<file path=docProps/custom.xml><?xml version="1.0" encoding="utf-8"?>
<Properties xmlns="http://schemas.openxmlformats.org/officeDocument/2006/custom-properties" xmlns:vt="http://schemas.openxmlformats.org/officeDocument/2006/docPropsVTypes"/>
</file>