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ACUERDO · PERSONAS FUNDADORAS Y GOBERNANZA</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Acuerdo entre Cofundadores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Lo que acuerdan las personas cofundadoras de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sobre el propósito, los roles, las decisiones, la propiedad o los puestos de gobierno, el dinero y lo que ocurre si alguien se va, puesto por escrito mientras todas se siguen entendiendo bien.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 mayoría de los conflictos entre personas fundadoras surgen de lo que nadie puso por escrito: quién decide, quién es titular de qué, quién cobra y qué ocurre cuando alguien se va. Este acuerdo deja constancia de esas decisiones desde el principio, para una sociedad con acciones (como una empresa social) o para una entidad sin ánimo de lucro sin acciones. Los financiadores, inversores y bancos suelen preguntar si las personas fundadoras tienen uno, y protege la misión si cambia el equipo.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Inversores y financiadores de impacto social; incubadoras y aceleradoras; bancos; nuevas personas cofundadoras y miembros del órgano de gobierno; su propio abogado o abogada al registrar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3 a 4 horas de conversación sincera entre las personas fundadoras, luego de 1 a 2 horas para completarlo, más la revisión legal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3 (estructura y gobernanza)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Términos de Referencia del Órgano de Gobierno · Matriz de Delegación de Autoridad · Política de Conflictos de Interés · Declaración de Intereses del Órgano de Gobierno · Código de Conducta · Acuerdo de Confidencialidad Mutua · Contrato de Trabajo · Contrato de Prestación de Servicios Independientes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ACUERDO</w:t>
            </w:r>
          </w:p>
          <w:p>
            <w:pPr>
              <w:spacing w:after="120" w:before="0" w:line="300"/>
            </w:pPr>
            <w:r>
              <w:rPr>
                <w:rFonts w:ascii="Nunito Sans" w:cs="Nunito Sans" w:eastAsia="Nunito Sans" w:hAnsi="Nunito Sans"/>
                <w:b/>
                <w:bCs/>
                <w:color w:val="102E3B"/>
                <w:sz w:val="19"/>
                <w:szCs w:val="19"/>
              </w:rPr>
              <w:t xml:space="preserve">Úsalo</w:t>
            </w:r>
            <w:r>
              <w:rPr>
                <w:rFonts w:ascii="Nunito Sans" w:cs="Nunito Sans" w:eastAsia="Nunito Sans" w:hAnsi="Nunito Sans"/>
                <w:color w:val="102E3B"/>
                <w:sz w:val="19"/>
                <w:szCs w:val="19"/>
              </w:rPr>
              <w:t xml:space="preserve"> cuando entre dos y cuatro personas pongan en marcha juntas una organización, idealmente antes de registrarla, captar fondos o contratar a alguien. Complétenlo juntas: la conversación importa tanto como el documento.</w:t>
            </w:r>
          </w:p>
          <w:p>
            <w:pPr>
              <w:spacing w:after="120" w:before="0" w:line="300"/>
            </w:pPr>
            <w:r>
              <w:rPr>
                <w:rFonts w:ascii="Nunito Sans" w:cs="Nunito Sans" w:eastAsia="Nunito Sans" w:hAnsi="Nunito Sans"/>
                <w:b/>
                <w:bCs/>
                <w:color w:val="102E3B"/>
                <w:sz w:val="19"/>
                <w:szCs w:val="19"/>
              </w:rPr>
              <w:t xml:space="preserve">Elige tu estructura y elimina la otra opción.</w:t>
            </w:r>
            <w:r>
              <w:rPr>
                <w:rFonts w:ascii="Nunito Sans" w:cs="Nunito Sans" w:eastAsia="Nunito Sans" w:hAnsi="Nunito Sans"/>
                <w:color w:val="102E3B"/>
                <w:sz w:val="19"/>
                <w:szCs w:val="19"/>
              </w:rPr>
              <w:t xml:space="preserve"> Esta plantilla cubre ambas:</w:t>
            </w:r>
          </w:p>
          <w:p>
            <w:pPr>
              <w:pStyle w:val="ListParagraph"/>
              <w:numPr>
                <w:ilvl w:val="0"/>
                <w:numId w:val="3"/>
              </w:numPr>
              <w:spacing w:after="80" w:line="290"/>
            </w:pPr>
            <w:r>
              <w:rPr>
                <w:rFonts w:ascii="Nunito Sans" w:cs="Nunito Sans" w:eastAsia="Nunito Sans" w:hAnsi="Nunito Sans"/>
                <w:b/>
                <w:bCs/>
                <w:color w:val="102E3B"/>
                <w:sz w:val="19"/>
                <w:szCs w:val="19"/>
              </w:rPr>
              <w:t xml:space="preserve">Opción A: una sociedad con acciones</w:t>
            </w:r>
            <w:r>
              <w:rPr>
                <w:rFonts w:ascii="Nunito Sans" w:cs="Nunito Sans" w:eastAsia="Nunito Sans" w:hAnsi="Nunito Sans"/>
                <w:color w:val="102E3B"/>
                <w:sz w:val="19"/>
                <w:szCs w:val="19"/>
              </w:rPr>
              <w:t xml:space="preserve">, como una empresa social, una community interest company, una benefit corporation o una cooperativa con capital social. Las personas fundadoras son titulares de acciones, que pueden consolidarse, venderse o recomprarse.</w:t>
            </w:r>
          </w:p>
          <w:p>
            <w:pPr>
              <w:pStyle w:val="ListParagraph"/>
              <w:numPr>
                <w:ilvl w:val="0"/>
                <w:numId w:val="3"/>
              </w:numPr>
              <w:spacing w:after="80" w:line="290"/>
            </w:pPr>
            <w:r>
              <w:rPr>
                <w:rFonts w:ascii="Nunito Sans" w:cs="Nunito Sans" w:eastAsia="Nunito Sans" w:hAnsi="Nunito Sans"/>
                <w:b/>
                <w:bCs/>
                <w:color w:val="102E3B"/>
                <w:sz w:val="19"/>
                <w:szCs w:val="19"/>
              </w:rPr>
              <w:t xml:space="preserve">Opción B: una entidad sin ánimo de lucro sin acciones</w:t>
            </w:r>
            <w:r>
              <w:rPr>
                <w:rFonts w:ascii="Nunito Sans" w:cs="Nunito Sans" w:eastAsia="Nunito Sans" w:hAnsi="Nunito Sans"/>
                <w:color w:val="102E3B"/>
                <w:sz w:val="19"/>
                <w:szCs w:val="19"/>
              </w:rPr>
              <w:t xml:space="preserve">, como una asociación, una fundación, un fideicomiso (trust), una sociedad sin ánimo de lucro limitada por garantía o una organización de beneficio público. Nadie es titular de ella. Las personas fundadoras ocupan puestos de gobierno y roles de personal o de voluntariado, y los activos pertenecen a la organización y a su propósito.</w:t>
            </w:r>
          </w:p>
          <w:p>
            <w:pPr>
              <w:spacing w:after="120" w:before="0" w:line="300"/>
            </w:pPr>
            <w:r>
              <w:rPr>
                <w:rFonts w:ascii="Nunito Sans" w:cs="Nunito Sans" w:eastAsia="Nunito Sans" w:hAnsi="Nunito Sans"/>
                <w:b/>
                <w:bCs/>
                <w:color w:val="102E3B"/>
                <w:sz w:val="19"/>
                <w:szCs w:val="19"/>
              </w:rPr>
              <w:t xml:space="preserve">Principales riesgos legales.</w:t>
            </w:r>
            <w:r>
              <w:rPr>
                <w:rFonts w:ascii="Nunito Sans" w:cs="Nunito Sans" w:eastAsia="Nunito Sans" w:hAnsi="Nunito Sans"/>
                <w:color w:val="102E3B"/>
                <w:sz w:val="19"/>
                <w:szCs w:val="19"/>
              </w:rPr>
              <w:t xml:space="preserve"> Tu documento constitutivo (estatutos, escritura de constitución, memorandum of incorporation, reglamento interno o escritura de fideicomiso) es el reglamento jurídicamente vinculante y suele prevalecer sobre este acuerdo. En una sociedad, puede ser legalmente necesario un pacto de socios formal y la modificación de los estatutos para que las transmisiones de acciones, la consolidación y las recompras sean exigibles. Recibir acciones puede generar impuestos. Las cláusulas de no competencia no son exigibles en algunos lugares. Las normas para entidades sin ánimo de lucro suelen limitar el control y la retribución de las personas fundadoras.</w:t>
            </w:r>
          </w:p>
          <w:p>
            <w:pPr>
              <w:spacing w:after="120" w:before="0" w:line="300"/>
            </w:pPr>
            <w:r>
              <w:rPr>
                <w:rFonts w:ascii="Nunito Sans" w:cs="Nunito Sans" w:eastAsia="Nunito Sans" w:hAnsi="Nunito Sans"/>
                <w:b/>
                <w:bCs/>
                <w:color w:val="102E3B"/>
                <w:sz w:val="19"/>
                <w:szCs w:val="19"/>
              </w:rPr>
              <w:t xml:space="preserve">Pide una revisión local</w:t>
            </w:r>
            <w:r>
              <w:rPr>
                <w:rFonts w:ascii="Nunito Sans" w:cs="Nunito Sans" w:eastAsia="Nunito Sans" w:hAnsi="Nunito Sans"/>
                <w:color w:val="102E3B"/>
                <w:sz w:val="19"/>
                <w:szCs w:val="19"/>
              </w:rPr>
              <w:t xml:space="preserve"> a un abogado o abogada de sociedades o de entidades sin ánimo de lucro antes de firmar, y asegúrate de que el documento constitutivo coincide con lo que acuerdan aquí.</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PARTE</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Fundadora 1</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completo]</w:t>
            </w:r>
            <w:r>
              <w:rPr>
                <w:rFonts w:ascii="Nunito Sans" w:cs="Nunito Sans" w:eastAsia="Nunito Sans" w:hAnsi="Nunito Sans"/>
                <w:color w:val="102E3B"/>
                <w:sz w:val="18"/>
                <w:szCs w:val="18"/>
              </w:rPr>
              <w:t xml:space="preserve">, con domicilio en </w:t>
            </w:r>
            <w:r>
              <w:rPr>
                <w:rFonts w:ascii="Nunito Sans" w:cs="Nunito Sans" w:eastAsia="Nunito Sans" w:hAnsi="Nunito Sans"/>
                <w:color w:val="102E3B"/>
                <w:sz w:val="18"/>
                <w:szCs w:val="18"/>
                <w:highlight w:val="yellow"/>
              </w:rPr>
              <w:t xml:space="preserve">[dirección]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[número de documento de identidad o pasaporte]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Fundadora 2</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completo]</w:t>
            </w:r>
            <w:r>
              <w:rPr>
                <w:rFonts w:ascii="Nunito Sans" w:cs="Nunito Sans" w:eastAsia="Nunito Sans" w:hAnsi="Nunito Sans"/>
                <w:color w:val="102E3B"/>
                <w:sz w:val="18"/>
                <w:szCs w:val="18"/>
              </w:rPr>
              <w:t xml:space="preserve">, con domicilio en </w:t>
            </w:r>
            <w:r>
              <w:rPr>
                <w:rFonts w:ascii="Nunito Sans" w:cs="Nunito Sans" w:eastAsia="Nunito Sans" w:hAnsi="Nunito Sans"/>
                <w:color w:val="102E3B"/>
                <w:sz w:val="18"/>
                <w:szCs w:val="18"/>
                <w:highlight w:val="yellow"/>
              </w:rPr>
              <w:t xml:space="preserve">[dirección]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[número de documento de identidad o pasaporte]</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Fundadora 3</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completo, o eliminar]</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Fundadora 4</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completo, o eliminar]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La Organización</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 la organización]</w:t>
            </w:r>
            <w:r>
              <w:rPr>
                <w:rFonts w:ascii="Nunito Sans" w:cs="Nunito Sans" w:eastAsia="Nunito Sans" w:hAnsi="Nunito Sans"/>
                <w:color w:val="102E3B"/>
                <w:sz w:val="18"/>
                <w:szCs w:val="18"/>
              </w:rPr>
              <w:t xml:space="preserve">, una </w:t>
            </w:r>
            <w:r>
              <w:rPr>
                <w:rFonts w:ascii="Nunito Sans" w:cs="Nunito Sans" w:eastAsia="Nunito Sans" w:hAnsi="Nunito Sans"/>
                <w:color w:val="102E3B"/>
                <w:sz w:val="18"/>
                <w:szCs w:val="18"/>
                <w:highlight w:val="yellow"/>
              </w:rPr>
              <w:t xml:space="preserve">[forma jurídica]</w:t>
            </w:r>
            <w:r>
              <w:rPr>
                <w:rFonts w:ascii="Nunito Sans" w:cs="Nunito Sans" w:eastAsia="Nunito Sans" w:hAnsi="Nunito Sans"/>
                <w:color w:val="102E3B"/>
                <w:sz w:val="18"/>
                <w:szCs w:val="18"/>
              </w:rPr>
              <w:t xml:space="preserve"> registrada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con el número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con domicilio en </w:t>
            </w:r>
            <w:r>
              <w:rPr>
                <w:rFonts w:ascii="Nunito Sans" w:cs="Nunito Sans" w:eastAsia="Nunito Sans" w:hAnsi="Nunito Sans"/>
                <w:color w:val="102E3B"/>
                <w:sz w:val="18"/>
                <w:szCs w:val="18"/>
                <w:highlight w:val="yellow"/>
              </w:rPr>
              <w:t xml:space="preserve">[domicilio social]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[Si aún no está registrada: las Personas Fundadoras se asegurarán de que la Organización firme un documento de adhesión a este acuerdo dentro de los 30 días siguientes a su registro.]</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Fecha</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Antecedentes</w:t>
      </w:r>
    </w:p>
    <w:p>
      <w:pPr>
        <w:pStyle w:val="ListParagraph"/>
        <w:numPr>
          <w:ilvl w:val="0"/>
          <w:numId w:val="4"/>
        </w:numPr>
        <w:spacing w:after="80" w:line="290"/>
      </w:pPr>
      <w:r>
        <w:rPr>
          <w:rFonts w:ascii="Nunito Sans" w:cs="Nunito Sans" w:eastAsia="Nunito Sans" w:hAnsi="Nunito Sans"/>
          <w:color w:val="102E3B"/>
          <w:sz w:val="20"/>
          <w:szCs w:val="20"/>
        </w:rPr>
        <w:t xml:space="preserve">Las Personas Fundadoras se han unido para crear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con el fin de </w:t>
      </w:r>
      <w:r>
        <w:rPr>
          <w:rFonts w:ascii="Nunito Sans" w:cs="Nunito Sans" w:eastAsia="Nunito Sans" w:hAnsi="Nunito Sans"/>
          <w:color w:val="102E3B"/>
          <w:sz w:val="20"/>
          <w:szCs w:val="20"/>
          <w:highlight w:val="yellow"/>
        </w:rPr>
        <w:t xml:space="preserve">[misión en una línea, por ejemplo "ayudar a pequeños productores agrícolas de África Oriental a obtener ingresos justos con cultivos resilientes al clima"]</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Las Personas Fundadoras desean dejar constancia de cómo trabajarán juntas, tomarán decisiones, compartirán </w:t>
      </w:r>
      <w:r>
        <w:rPr>
          <w:rFonts w:ascii="Nunito Sans" w:cs="Nunito Sans" w:eastAsia="Nunito Sans" w:hAnsi="Nunito Sans"/>
          <w:color w:val="102E3B"/>
          <w:sz w:val="20"/>
          <w:szCs w:val="20"/>
          <w:highlight w:val="yellow"/>
        </w:rPr>
        <w:t xml:space="preserve">[la propiedad / los roles de gobierno]</w:t>
      </w:r>
      <w:r>
        <w:rPr>
          <w:rFonts w:ascii="Nunito Sans" w:cs="Nunito Sans" w:eastAsia="Nunito Sans" w:hAnsi="Nunito Sans"/>
          <w:color w:val="102E3B"/>
          <w:sz w:val="20"/>
          <w:szCs w:val="20"/>
        </w:rPr>
        <w:t xml:space="preserve"> y gestionarán los cambios, para que la Organización y su misión queden protegidas pase lo que pase.</w:t>
      </w:r>
    </w:p>
    <w:p>
      <w:pPr>
        <w:pStyle w:val="ListParagraph"/>
        <w:numPr>
          <w:ilvl w:val="0"/>
          <w:numId w:val="4"/>
        </w:numPr>
        <w:spacing w:after="80" w:line="290"/>
      </w:pPr>
      <w:r>
        <w:rPr>
          <w:rFonts w:ascii="Nunito Sans" w:cs="Nunito Sans" w:eastAsia="Nunito Sans" w:hAnsi="Nunito Sans"/>
          <w:color w:val="102E3B"/>
          <w:sz w:val="20"/>
          <w:szCs w:val="20"/>
        </w:rPr>
        <w:t xml:space="preserve">Las Personas Fundadoras tienen la intención de que este acuerdo sea jurídicamente vinculante entre ellas. Si contradice el Documento Constitutivo o la ley imperativa, prevalece el Documento Constitutivo o la ley, y las Personas Fundadoras votarán para adaptar el Documento Constitutivo a este acuerdo cuando la ley lo permita.</w:t>
      </w:r>
    </w:p>
    <w:p>
      <w:pPr>
        <w:pStyle w:val="Heading1"/>
        <w:keepNext/>
        <w:spacing w:after="160" w:before="360"/>
      </w:pPr>
      <w:r>
        <w:rPr>
          <w:rFonts w:ascii="DM Serif Display" w:cs="DM Serif Display" w:eastAsia="DM Serif Display" w:hAnsi="DM Serif Display"/>
          <w:color w:val="123C48"/>
          <w:sz w:val="40"/>
          <w:szCs w:val="40"/>
        </w:rPr>
        <w:t xml:space="preserve">Condiciones acordadas</w:t>
      </w:r>
    </w:p>
    <w:p>
      <w:pPr>
        <w:pStyle w:val="Heading2"/>
        <w:keepNext/>
        <w:spacing w:after="120" w:before="280"/>
      </w:pPr>
      <w:r>
        <w:rPr>
          <w:rFonts w:ascii="DM Serif Display" w:cs="DM Serif Display" w:eastAsia="DM Serif Display" w:hAnsi="DM Serif Display"/>
          <w:color w:val="123C48"/>
          <w:sz w:val="28"/>
          <w:szCs w:val="28"/>
        </w:rPr>
        <w:t xml:space="preserve">1. Definiciones</w:t>
      </w:r>
    </w:p>
    <w:p>
      <w:pPr>
        <w:pStyle w:val="ListParagraph"/>
        <w:numPr>
          <w:ilvl w:val="0"/>
          <w:numId w:val="5"/>
        </w:numPr>
        <w:spacing w:after="80" w:line="290"/>
      </w:pPr>
      <w:r>
        <w:rPr>
          <w:rFonts w:ascii="Nunito Sans" w:cs="Nunito Sans" w:eastAsia="Nunito Sans" w:hAnsi="Nunito Sans"/>
          <w:color w:val="102E3B"/>
          <w:sz w:val="20"/>
          <w:szCs w:val="20"/>
        </w:rPr>
        <w:t xml:space="preserve">En este acuerdo:</w:t>
      </w:r>
    </w:p>
    <w:p>
      <w:pPr>
        <w:pStyle w:val="ListParagraph"/>
        <w:numPr>
          <w:ilvl w:val="1"/>
          <w:numId w:val="5"/>
        </w:numPr>
        <w:spacing w:after="80" w:line="290"/>
      </w:pPr>
      <w:r>
        <w:rPr>
          <w:rFonts w:ascii="Nunito Sans" w:cs="Nunito Sans" w:eastAsia="Nunito Sans" w:hAnsi="Nunito Sans"/>
          <w:b/>
          <w:bCs/>
          <w:color w:val="102E3B"/>
          <w:sz w:val="20"/>
          <w:szCs w:val="20"/>
        </w:rPr>
        <w:t xml:space="preserve">"Órgano de Gobierno"</w:t>
      </w:r>
      <w:r>
        <w:rPr>
          <w:rFonts w:ascii="Nunito Sans" w:cs="Nunito Sans" w:eastAsia="Nunito Sans" w:hAnsi="Nunito Sans"/>
          <w:color w:val="102E3B"/>
          <w:sz w:val="20"/>
          <w:szCs w:val="20"/>
        </w:rPr>
        <w:t xml:space="preserve"> significa el órgano de gobierno de la Organización, cualquiera que sea su denominación.</w:t>
      </w:r>
    </w:p>
    <w:p>
      <w:pPr>
        <w:pStyle w:val="ListParagraph"/>
        <w:numPr>
          <w:ilvl w:val="1"/>
          <w:numId w:val="5"/>
        </w:numPr>
        <w:spacing w:after="80" w:line="290"/>
      </w:pPr>
      <w:r>
        <w:rPr>
          <w:rFonts w:ascii="Nunito Sans" w:cs="Nunito Sans" w:eastAsia="Nunito Sans" w:hAnsi="Nunito Sans"/>
          <w:b/>
          <w:bCs/>
          <w:color w:val="102E3B"/>
          <w:sz w:val="20"/>
          <w:szCs w:val="20"/>
        </w:rPr>
        <w:t xml:space="preserve">"Documento Constitutivo"</w:t>
      </w:r>
      <w:r>
        <w:rPr>
          <w:rFonts w:ascii="Nunito Sans" w:cs="Nunito Sans" w:eastAsia="Nunito Sans" w:hAnsi="Nunito Sans"/>
          <w:color w:val="102E3B"/>
          <w:sz w:val="20"/>
          <w:szCs w:val="20"/>
        </w:rPr>
        <w:t xml:space="preserve"> significa </w:t>
      </w:r>
      <w:r>
        <w:rPr>
          <w:rFonts w:ascii="Nunito Sans" w:cs="Nunito Sans" w:eastAsia="Nunito Sans" w:hAnsi="Nunito Sans"/>
          <w:color w:val="102E3B"/>
          <w:sz w:val="20"/>
          <w:szCs w:val="20"/>
          <w:highlight w:val="yellow"/>
        </w:rPr>
        <w:t xml:space="preserve">[la escritura y los estatutos / los estatutos / el reglamento interno / la escritura de fideicomiso]</w:t>
      </w:r>
      <w:r>
        <w:rPr>
          <w:rFonts w:ascii="Nunito Sans" w:cs="Nunito Sans" w:eastAsia="Nunito Sans" w:hAnsi="Nunito Sans"/>
          <w:color w:val="102E3B"/>
          <w:sz w:val="20"/>
          <w:szCs w:val="20"/>
        </w:rPr>
        <w:t xml:space="preserve"> de la Organización, con sus modificaciones.</w:t>
      </w:r>
    </w:p>
    <w:p>
      <w:pPr>
        <w:pStyle w:val="ListParagraph"/>
        <w:numPr>
          <w:ilvl w:val="1"/>
          <w:numId w:val="5"/>
        </w:numPr>
        <w:spacing w:after="80" w:line="290"/>
      </w:pPr>
      <w:r>
        <w:rPr>
          <w:rFonts w:ascii="Nunito Sans" w:cs="Nunito Sans" w:eastAsia="Nunito Sans" w:hAnsi="Nunito Sans"/>
          <w:b/>
          <w:bCs/>
          <w:color w:val="102E3B"/>
          <w:sz w:val="20"/>
          <w:szCs w:val="20"/>
        </w:rPr>
        <w:t xml:space="preserve">"Persona Fundadora"</w:t>
      </w:r>
      <w:r>
        <w:rPr>
          <w:rFonts w:ascii="Nunito Sans" w:cs="Nunito Sans" w:eastAsia="Nunito Sans" w:hAnsi="Nunito Sans"/>
          <w:color w:val="102E3B"/>
          <w:sz w:val="20"/>
          <w:szCs w:val="20"/>
        </w:rPr>
        <w:t xml:space="preserve"> significa cada persona designada como Persona Fundadora más arriba, y cualquier persona que se incorpore conforme a la cláusula 13.</w:t>
      </w:r>
    </w:p>
    <w:p>
      <w:pPr>
        <w:pStyle w:val="ListParagraph"/>
        <w:numPr>
          <w:ilvl w:val="1"/>
          <w:numId w:val="5"/>
        </w:numPr>
        <w:spacing w:after="80" w:line="290"/>
      </w:pPr>
      <w:r>
        <w:rPr>
          <w:rFonts w:ascii="Nunito Sans" w:cs="Nunito Sans" w:eastAsia="Nunito Sans" w:hAnsi="Nunito Sans"/>
          <w:b/>
          <w:bCs/>
          <w:color w:val="102E3B"/>
          <w:sz w:val="20"/>
          <w:szCs w:val="20"/>
        </w:rPr>
        <w:t xml:space="preserve">"Fecha de Salida"</w:t>
      </w:r>
      <w:r>
        <w:rPr>
          <w:rFonts w:ascii="Nunito Sans" w:cs="Nunito Sans" w:eastAsia="Nunito Sans" w:hAnsi="Nunito Sans"/>
          <w:color w:val="102E3B"/>
          <w:sz w:val="20"/>
          <w:szCs w:val="20"/>
        </w:rPr>
        <w:t xml:space="preserve"> significa la fecha en que una Persona Fundadora deja de trabajar en la Organización en su rol de Persona Fundadora, por cualquier motivo.</w:t>
      </w:r>
    </w:p>
    <w:p>
      <w:pPr>
        <w:pStyle w:val="ListParagraph"/>
        <w:numPr>
          <w:ilvl w:val="1"/>
          <w:numId w:val="5"/>
        </w:numPr>
        <w:spacing w:after="80" w:line="290"/>
      </w:pPr>
      <w:r>
        <w:rPr>
          <w:rFonts w:ascii="Nunito Sans" w:cs="Nunito Sans" w:eastAsia="Nunito Sans" w:hAnsi="Nunito Sans"/>
          <w:b/>
          <w:bCs/>
          <w:color w:val="102E3B"/>
          <w:sz w:val="20"/>
          <w:szCs w:val="20"/>
        </w:rPr>
        <w:t xml:space="preserve">"Activos de la Organización"</w:t>
      </w:r>
      <w:r>
        <w:rPr>
          <w:rFonts w:ascii="Nunito Sans" w:cs="Nunito Sans" w:eastAsia="Nunito Sans" w:hAnsi="Nunito Sans"/>
          <w:color w:val="102E3B"/>
          <w:sz w:val="20"/>
          <w:szCs w:val="20"/>
        </w:rPr>
        <w:t xml:space="preserve"> significa todo lo que se utiliza para el trabajo de la Organización, incluidos su nombre, marca, logotipo, nombres de dominio, sitios web, cuentas de redes sociales, cuentas de correo electrónico, cuentas bancarias, datos, documentos, programas informáticos, métodos y relaciones con financiadores y socios.</w:t>
      </w:r>
    </w:p>
    <w:p>
      <w:pPr>
        <w:pStyle w:val="ListParagraph"/>
        <w:numPr>
          <w:ilvl w:val="1"/>
          <w:numId w:val="5"/>
        </w:numPr>
        <w:spacing w:after="80" w:line="290"/>
      </w:pPr>
      <w:r>
        <w:rPr>
          <w:rFonts w:ascii="Nunito Sans" w:cs="Nunito Sans" w:eastAsia="Nunito Sans" w:hAnsi="Nunito Sans"/>
          <w:b/>
          <w:bCs/>
          <w:color w:val="102E3B"/>
          <w:sz w:val="20"/>
          <w:szCs w:val="20"/>
        </w:rPr>
        <w:t xml:space="preserve">"Materias Reservadas"</w:t>
      </w:r>
      <w:r>
        <w:rPr>
          <w:rFonts w:ascii="Nunito Sans" w:cs="Nunito Sans" w:eastAsia="Nunito Sans" w:hAnsi="Nunito Sans"/>
          <w:color w:val="102E3B"/>
          <w:sz w:val="20"/>
          <w:szCs w:val="20"/>
        </w:rPr>
        <w:t xml:space="preserve"> significa las decisiones enumeradas en la cláusula 4.3.</w:t>
      </w:r>
    </w:p>
    <w:p>
      <w:pPr>
        <w:pStyle w:val="ListParagraph"/>
        <w:numPr>
          <w:ilvl w:val="1"/>
          <w:numId w:val="5"/>
        </w:numPr>
        <w:spacing w:after="80" w:line="290"/>
      </w:pPr>
      <w:r>
        <w:rPr>
          <w:rFonts w:ascii="Nunito Sans" w:cs="Nunito Sans" w:eastAsia="Nunito Sans" w:hAnsi="Nunito Sans"/>
          <w:b/>
          <w:bCs/>
          <w:color w:val="102E3B"/>
          <w:sz w:val="20"/>
          <w:szCs w:val="20"/>
        </w:rPr>
        <w:t xml:space="preserve">"Acciones"</w:t>
      </w:r>
      <w:r>
        <w:rPr>
          <w:rFonts w:ascii="Nunito Sans" w:cs="Nunito Sans" w:eastAsia="Nunito Sans" w:hAnsi="Nunito Sans"/>
          <w:color w:val="102E3B"/>
          <w:sz w:val="20"/>
          <w:szCs w:val="20"/>
        </w:rPr>
        <w:t xml:space="preserve"> (solo Opción A) significa las acciones o participaciones de la Organización, y </w:t>
      </w:r>
      <w:r>
        <w:rPr>
          <w:rFonts w:ascii="Nunito Sans" w:cs="Nunito Sans" w:eastAsia="Nunito Sans" w:hAnsi="Nunito Sans"/>
          <w:b/>
          <w:bCs/>
          <w:color w:val="102E3B"/>
          <w:sz w:val="20"/>
          <w:szCs w:val="20"/>
        </w:rPr>
        <w:t xml:space="preserve">"Valor Razonable"</w:t>
      </w:r>
      <w:r>
        <w:rPr>
          <w:rFonts w:ascii="Nunito Sans" w:cs="Nunito Sans" w:eastAsia="Nunito Sans" w:hAnsi="Nunito Sans"/>
          <w:color w:val="102E3B"/>
          <w:sz w:val="20"/>
          <w:szCs w:val="20"/>
        </w:rPr>
        <w:t xml:space="preserve"> significa su valor según lo acuerden las Personas Fundadoras o, si no logran acordarlo en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según lo fije un contador o auditor independiente designado conforme a la cláusula 16.</w:t>
      </w:r>
    </w:p>
    <w:p>
      <w:pPr>
        <w:pStyle w:val="ListParagraph"/>
        <w:numPr>
          <w:ilvl w:val="0"/>
          <w:numId w:val="5"/>
        </w:numPr>
        <w:spacing w:after="80" w:line="290"/>
      </w:pPr>
      <w:r>
        <w:rPr>
          <w:rFonts w:ascii="Nunito Sans" w:cs="Nunito Sans" w:eastAsia="Nunito Sans" w:hAnsi="Nunito Sans"/>
          <w:color w:val="102E3B"/>
          <w:sz w:val="20"/>
          <w:szCs w:val="20"/>
        </w:rPr>
        <w:t xml:space="preserve">Las palabras en singular incluyen el plural. "Incluido" significa "incluido, sin carácter limitativo".</w:t>
      </w:r>
    </w:p>
    <w:p>
      <w:pPr>
        <w:pStyle w:val="Heading2"/>
        <w:keepNext/>
        <w:spacing w:after="120" w:before="280"/>
      </w:pPr>
      <w:r>
        <w:rPr>
          <w:rFonts w:ascii="DM Serif Display" w:cs="DM Serif Display" w:eastAsia="DM Serif Display" w:hAnsi="DM Serif Display"/>
          <w:color w:val="123C48"/>
          <w:sz w:val="28"/>
          <w:szCs w:val="28"/>
        </w:rPr>
        <w:t xml:space="preserve">2. Propósito, valores y protección de la misión</w:t>
      </w:r>
    </w:p>
    <w:p>
      <w:pPr>
        <w:pStyle w:val="ListParagraph"/>
        <w:numPr>
          <w:ilvl w:val="0"/>
          <w:numId w:val="6"/>
        </w:numPr>
        <w:spacing w:after="80" w:line="290"/>
      </w:pPr>
      <w:r>
        <w:rPr>
          <w:rFonts w:ascii="Nunito Sans" w:cs="Nunito Sans" w:eastAsia="Nunito Sans" w:hAnsi="Nunito Sans"/>
          <w:color w:val="102E3B"/>
          <w:sz w:val="20"/>
          <w:szCs w:val="20"/>
        </w:rPr>
        <w:t xml:space="preserve">El propósito de la Organización es </w:t>
      </w:r>
      <w:r>
        <w:rPr>
          <w:rFonts w:ascii="Nunito Sans" w:cs="Nunito Sans" w:eastAsia="Nunito Sans" w:hAnsi="Nunito Sans"/>
          <w:color w:val="102E3B"/>
          <w:sz w:val="20"/>
          <w:szCs w:val="20"/>
          <w:highlight w:val="yellow"/>
        </w:rPr>
        <w:t xml:space="preserve">[propósito, coincidente con el objeto social del Documento Constitutivo]</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Las Personas Fundadoras comparten estos valores: </w:t>
      </w:r>
      <w:r>
        <w:rPr>
          <w:rFonts w:ascii="Nunito Sans" w:cs="Nunito Sans" w:eastAsia="Nunito Sans" w:hAnsi="Nunito Sans"/>
          <w:color w:val="102E3B"/>
          <w:sz w:val="20"/>
          <w:szCs w:val="20"/>
          <w:highlight w:val="yellow"/>
        </w:rPr>
        <w:t xml:space="preserve">[por ejemplo: liderazgo local, honestidad, rendición de cuentas ante las comunidades a las que servimos, cuidado del medio ambiente]</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Cada Persona Fundadora actuará de buena fe, en el mejor interés de la Organización y de su propósito, y conforme al Código de Conducta.</w:t>
      </w:r>
    </w:p>
    <w:p>
      <w:pPr>
        <w:pStyle w:val="ListParagraph"/>
        <w:numPr>
          <w:ilvl w:val="0"/>
          <w:numId w:val="6"/>
        </w:numPr>
        <w:spacing w:after="80" w:line="290"/>
      </w:pPr>
      <w:r>
        <w:rPr>
          <w:rFonts w:ascii="Nunito Sans" w:cs="Nunito Sans" w:eastAsia="Nunito Sans" w:hAnsi="Nunito Sans"/>
          <w:color w:val="102E3B"/>
          <w:sz w:val="20"/>
          <w:szCs w:val="20"/>
        </w:rPr>
        <w:t xml:space="preserve">Las Personas Fundadoras no modificarán el propósito ni eliminarán del Documento Constitutivo ninguna protección de la misión o de los activos sin el acuerdo unánime y por escrito de todas las Personas Fundadoras </w:t>
      </w:r>
      <w:r>
        <w:rPr>
          <w:rFonts w:ascii="Nunito Sans" w:cs="Nunito Sans" w:eastAsia="Nunito Sans" w:hAnsi="Nunito Sans"/>
          <w:color w:val="102E3B"/>
          <w:sz w:val="20"/>
          <w:szCs w:val="20"/>
          <w:highlight w:val="yellow"/>
        </w:rPr>
        <w:t xml:space="preserve">[y la aprobación del Órgano de Gobierno]</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b/>
          <w:bCs/>
          <w:color w:val="102E3B"/>
          <w:sz w:val="20"/>
          <w:szCs w:val="20"/>
        </w:rPr>
        <w:t xml:space="preserve">Opción A:</w:t>
      </w:r>
      <w:r>
        <w:rPr>
          <w:rFonts w:ascii="Nunito Sans" w:cs="Nunito Sans" w:eastAsia="Nunito Sans" w:hAnsi="Nunito Sans"/>
          <w:color w:val="102E3B"/>
          <w:sz w:val="20"/>
          <w:szCs w:val="20"/>
        </w:rPr>
        <w:t xml:space="preserve"> las Personas Fundadoras acuerdan que al menos el </w:t>
      </w:r>
      <w:r>
        <w:rPr>
          <w:rFonts w:ascii="Nunito Sans" w:cs="Nunito Sans" w:eastAsia="Nunito Sans" w:hAnsi="Nunito Sans"/>
          <w:color w:val="102E3B"/>
          <w:sz w:val="20"/>
          <w:szCs w:val="20"/>
          <w:highlight w:val="yellow"/>
        </w:rPr>
        <w:t xml:space="preserve">[porcentaje, por ejemplo 51 %]</w:t>
      </w:r>
      <w:r>
        <w:rPr>
          <w:rFonts w:ascii="Nunito Sans" w:cs="Nunito Sans" w:eastAsia="Nunito Sans" w:hAnsi="Nunito Sans"/>
          <w:color w:val="102E3B"/>
          <w:sz w:val="20"/>
          <w:szCs w:val="20"/>
        </w:rPr>
        <w:t xml:space="preserve"> de los beneficios distribuibles se reinvertirá en el propósito o se destinará a </w:t>
      </w:r>
      <w:r>
        <w:rPr>
          <w:rFonts w:ascii="Nunito Sans" w:cs="Nunito Sans" w:eastAsia="Nunito Sans" w:hAnsi="Nunito Sans"/>
          <w:color w:val="102E3B"/>
          <w:sz w:val="20"/>
          <w:szCs w:val="20"/>
          <w:highlight w:val="yellow"/>
        </w:rPr>
        <w:t xml:space="preserve">[beneficio comunitario]</w:t>
      </w:r>
      <w:r>
        <w:rPr>
          <w:rFonts w:ascii="Nunito Sans" w:cs="Nunito Sans" w:eastAsia="Nunito Sans" w:hAnsi="Nunito Sans"/>
          <w:color w:val="102E3B"/>
          <w:sz w:val="20"/>
          <w:szCs w:val="20"/>
        </w:rPr>
        <w:t xml:space="preserve">, y que el Documento Constitutivo así lo establecerá.</w:t>
      </w:r>
    </w:p>
    <w:p>
      <w:pPr>
        <w:pStyle w:val="ListParagraph"/>
        <w:numPr>
          <w:ilvl w:val="0"/>
          <w:numId w:val="6"/>
        </w:numPr>
        <w:spacing w:after="80" w:line="290"/>
      </w:pPr>
      <w:r>
        <w:rPr>
          <w:rFonts w:ascii="Nunito Sans" w:cs="Nunito Sans" w:eastAsia="Nunito Sans" w:hAnsi="Nunito Sans"/>
          <w:b/>
          <w:bCs/>
          <w:color w:val="102E3B"/>
          <w:sz w:val="20"/>
          <w:szCs w:val="20"/>
        </w:rPr>
        <w:t xml:space="preserve">Opción B:</w:t>
      </w:r>
      <w:r>
        <w:rPr>
          <w:rFonts w:ascii="Nunito Sans" w:cs="Nunito Sans" w:eastAsia="Nunito Sans" w:hAnsi="Nunito Sans"/>
          <w:color w:val="102E3B"/>
          <w:sz w:val="20"/>
          <w:szCs w:val="20"/>
        </w:rPr>
        <w:t xml:space="preserve"> los ingresos y activos de la Organización se utilizarán únicamente para su propósito. Ninguna Persona Fundadora recibirá beneficios, dividendos ni parte de los activos, salvo una retribución razonable por el trabajo realizado o el reembolso de gastos según lo permitan la cláusula 12 y la ley.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ELEGIR UNA PROTECCIÓN DE LA MISIÓN</w:t>
            </w:r>
          </w:p>
          <w:p>
            <w:pPr>
              <w:spacing w:after="120" w:before="0" w:line="300"/>
            </w:pPr>
            <w:r>
              <w:rPr>
                <w:rFonts w:ascii="Nunito Sans" w:cs="Nunito Sans" w:eastAsia="Nunito Sans" w:hAnsi="Nunito Sans"/>
                <w:color w:val="102E3B"/>
                <w:sz w:val="19"/>
                <w:szCs w:val="19"/>
              </w:rPr>
              <w:t xml:space="preserve">Una promesa entre personas fundadoras es una protección débil si una de ellas vende sus acciones o cambia el órgano de gobierno. Incluye también la protección en el Documento Constitutivo. Ejemplos de formas jurídicas con protección incorporada: la community interest company del Reino Unido tiene un bloqueo de activos (asset lock) supervisado por el CIC Regulator; las benefit corporations de Estados Unidos deben perseguir un beneficio público declarado según la ley estatal; la sociedad de la Section 8 de la India (Companies Act 2013) prohíbe los dividendos; la sociedad sin ánimo de lucro de Sudáfrica regida por la Companies Act 71 of 2008 no puede distribuir beneficios. Las sociedades ordinarias, como la sociedad por acciones simplificada (SAS, Ley 27.349 de 2017) de Argentina, no tienen protección incorporada, así que inclúyela en los estatutos. Las cooperativas se rigen por sus propias leyes de cooperativas. Consulta tu ley local sobre las formas jurídicas de empresa social, que cambian con frecuencia.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Roles y dedicación</w:t>
      </w:r>
    </w:p>
    <w:p>
      <w:pPr>
        <w:pStyle w:val="ListParagraph"/>
        <w:numPr>
          <w:ilvl w:val="0"/>
          <w:numId w:val="7"/>
        </w:numPr>
        <w:spacing w:after="80" w:line="290"/>
      </w:pPr>
      <w:r>
        <w:rPr>
          <w:rFonts w:ascii="Nunito Sans" w:cs="Nunito Sans" w:eastAsia="Nunito Sans" w:hAnsi="Nunito Sans"/>
          <w:color w:val="102E3B"/>
          <w:sz w:val="20"/>
          <w:szCs w:val="20"/>
        </w:rPr>
        <w:t xml:space="preserve">El rol, las responsabilidades, la ubicación y la dedicación de cada Persona Fundadora figuran en el Anexo 1.</w:t>
      </w:r>
    </w:p>
    <w:p>
      <w:pPr>
        <w:pStyle w:val="ListParagraph"/>
        <w:numPr>
          <w:ilvl w:val="0"/>
          <w:numId w:val="7"/>
        </w:numPr>
        <w:spacing w:after="80" w:line="290"/>
      </w:pPr>
      <w:r>
        <w:rPr>
          <w:rFonts w:ascii="Nunito Sans" w:cs="Nunito Sans" w:eastAsia="Nunito Sans" w:hAnsi="Nunito Sans"/>
          <w:color w:val="102E3B"/>
          <w:sz w:val="20"/>
          <w:szCs w:val="20"/>
        </w:rPr>
        <w:t xml:space="preserve">Cada Persona Fundadora dedicará el tiempo indicado en el Anexo 1. Una Persona Fundadora que desee reducir su dedicación durante más de </w:t>
      </w:r>
      <w:r>
        <w:rPr>
          <w:rFonts w:ascii="Nunito Sans" w:cs="Nunito Sans" w:eastAsia="Nunito Sans" w:hAnsi="Nunito Sans"/>
          <w:color w:val="102E3B"/>
          <w:sz w:val="20"/>
          <w:szCs w:val="20"/>
          <w:highlight w:val="yellow"/>
        </w:rPr>
        <w:t xml:space="preserve">[dos meses]</w:t>
      </w:r>
      <w:r>
        <w:rPr>
          <w:rFonts w:ascii="Nunito Sans" w:cs="Nunito Sans" w:eastAsia="Nunito Sans" w:hAnsi="Nunito Sans"/>
          <w:color w:val="102E3B"/>
          <w:sz w:val="20"/>
          <w:szCs w:val="20"/>
        </w:rPr>
        <w:t xml:space="preserve"> lo hablará primero con las demás Personas Fundadoras, y estas acordarán por escrito cualquier cambio en los roles, la retribución o </w:t>
      </w:r>
      <w:r>
        <w:rPr>
          <w:rFonts w:ascii="Nunito Sans" w:cs="Nunito Sans" w:eastAsia="Nunito Sans" w:hAnsi="Nunito Sans"/>
          <w:color w:val="102E3B"/>
          <w:sz w:val="20"/>
          <w:szCs w:val="20"/>
          <w:highlight w:val="yellow"/>
        </w:rPr>
        <w:t xml:space="preserve">[la consolidación / los puestos de gobierno]</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color w:val="102E3B"/>
          <w:sz w:val="20"/>
          <w:szCs w:val="20"/>
        </w:rPr>
        <w:t xml:space="preserve">Las Personas Fundadoras serán sinceras entre sí sobre su capacidad, su salud, sus presiones económicas y otros compromisos que afecten al trabajo.</w:t>
      </w:r>
    </w:p>
    <w:p>
      <w:pPr>
        <w:pStyle w:val="ListParagraph"/>
        <w:numPr>
          <w:ilvl w:val="0"/>
          <w:numId w:val="7"/>
        </w:numPr>
        <w:spacing w:after="80" w:line="290"/>
      </w:pPr>
      <w:r>
        <w:rPr>
          <w:rFonts w:ascii="Nunito Sans" w:cs="Nunito Sans" w:eastAsia="Nunito Sans" w:hAnsi="Nunito Sans"/>
          <w:color w:val="102E3B"/>
          <w:sz w:val="20"/>
          <w:szCs w:val="20"/>
        </w:rPr>
        <w:t xml:space="preserve">Las Personas Fundadoras se reunirán al menos </w:t>
      </w:r>
      <w:r>
        <w:rPr>
          <w:rFonts w:ascii="Nunito Sans" w:cs="Nunito Sans" w:eastAsia="Nunito Sans" w:hAnsi="Nunito Sans"/>
          <w:color w:val="102E3B"/>
          <w:sz w:val="20"/>
          <w:szCs w:val="20"/>
          <w:highlight w:val="yellow"/>
        </w:rPr>
        <w:t xml:space="preserve">[una vez al mes]</w:t>
      </w:r>
      <w:r>
        <w:rPr>
          <w:rFonts w:ascii="Nunito Sans" w:cs="Nunito Sans" w:eastAsia="Nunito Sans" w:hAnsi="Nunito Sans"/>
          <w:color w:val="102E3B"/>
          <w:sz w:val="20"/>
          <w:szCs w:val="20"/>
        </w:rPr>
        <w:t xml:space="preserve"> para revisar los avances, y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para revisar este acuerdo conforme a la cláusula 19.</w:t>
      </w:r>
    </w:p>
    <w:p>
      <w:pPr>
        <w:pStyle w:val="ListParagraph"/>
        <w:numPr>
          <w:ilvl w:val="0"/>
          <w:numId w:val="7"/>
        </w:numPr>
        <w:spacing w:after="80" w:line="290"/>
      </w:pPr>
      <w:r>
        <w:rPr>
          <w:rFonts w:ascii="Nunito Sans" w:cs="Nunito Sans" w:eastAsia="Nunito Sans" w:hAnsi="Nunito Sans"/>
          <w:color w:val="102E3B"/>
          <w:sz w:val="20"/>
          <w:szCs w:val="20"/>
        </w:rPr>
        <w:t xml:space="preserve">Cuando una Persona Fundadora también esté empleada o contratada por la Organización, esa relación se rige por un Contrato de Trabajo o un Contrato de Prestación de Servicios Independientes separado, aprobado conforme a la cláusula 4.</w:t>
      </w:r>
    </w:p>
    <w:p>
      <w:pPr>
        <w:pStyle w:val="Heading2"/>
        <w:keepNext/>
        <w:spacing w:after="120" w:before="280"/>
      </w:pPr>
      <w:r>
        <w:rPr>
          <w:rFonts w:ascii="DM Serif Display" w:cs="DM Serif Display" w:eastAsia="DM Serif Display" w:hAnsi="DM Serif Display"/>
          <w:color w:val="123C48"/>
          <w:sz w:val="28"/>
          <w:szCs w:val="28"/>
        </w:rPr>
        <w:t xml:space="preserve">4. Toma de decisiones</w:t>
      </w:r>
    </w:p>
    <w:p>
      <w:pPr>
        <w:pStyle w:val="ListParagraph"/>
        <w:numPr>
          <w:ilvl w:val="0"/>
          <w:numId w:val="8"/>
        </w:numPr>
        <w:spacing w:after="80" w:line="290"/>
      </w:pPr>
      <w:r>
        <w:rPr>
          <w:rFonts w:ascii="Nunito Sans" w:cs="Nunito Sans" w:eastAsia="Nunito Sans" w:hAnsi="Nunito Sans"/>
          <w:color w:val="102E3B"/>
          <w:sz w:val="20"/>
          <w:szCs w:val="20"/>
        </w:rPr>
        <w:t xml:space="preserve">Cada Persona Fundadora toma las decisiones cotidianas dentro de su rol según el Anexo 1 y dentro de los límites de la Matriz de Delegación de Autoridad.</w:t>
      </w:r>
    </w:p>
    <w:p>
      <w:pPr>
        <w:pStyle w:val="ListParagraph"/>
        <w:numPr>
          <w:ilvl w:val="0"/>
          <w:numId w:val="8"/>
        </w:numPr>
        <w:spacing w:after="80" w:line="290"/>
      </w:pPr>
      <w:r>
        <w:rPr>
          <w:rFonts w:ascii="Nunito Sans" w:cs="Nunito Sans" w:eastAsia="Nunito Sans" w:hAnsi="Nunito Sans"/>
          <w:color w:val="102E3B"/>
          <w:sz w:val="20"/>
          <w:szCs w:val="20"/>
        </w:rPr>
        <w:t xml:space="preserve">Las decisiones que excedan el rol de una Persona Fundadora y no figuren a continuación se toman por </w:t>
      </w:r>
      <w:r>
        <w:rPr>
          <w:rFonts w:ascii="Nunito Sans" w:cs="Nunito Sans" w:eastAsia="Nunito Sans" w:hAnsi="Nunito Sans"/>
          <w:b/>
          <w:bCs/>
          <w:color w:val="102E3B"/>
          <w:sz w:val="20"/>
          <w:szCs w:val="20"/>
        </w:rPr>
        <w:t xml:space="preserve">mayoría simple</w:t>
      </w:r>
      <w:r>
        <w:rPr>
          <w:rFonts w:ascii="Nunito Sans" w:cs="Nunito Sans" w:eastAsia="Nunito Sans" w:hAnsi="Nunito Sans"/>
          <w:color w:val="102E3B"/>
          <w:sz w:val="20"/>
          <w:szCs w:val="20"/>
        </w:rPr>
        <w:t xml:space="preserve"> de las Personas Fundadoras </w:t>
      </w:r>
      <w:r>
        <w:rPr>
          <w:rFonts w:ascii="Nunito Sans" w:cs="Nunito Sans" w:eastAsia="Nunito Sans" w:hAnsi="Nunito Sans"/>
          <w:color w:val="102E3B"/>
          <w:sz w:val="20"/>
          <w:szCs w:val="20"/>
          <w:highlight w:val="yellow"/>
        </w:rPr>
        <w:t xml:space="preserve">[o del Órgano de Gobierno]</w:t>
      </w:r>
      <w:r>
        <w:rPr>
          <w:rFonts w:ascii="Nunito Sans" w:cs="Nunito Sans" w:eastAsia="Nunito Sans" w:hAnsi="Nunito Sans"/>
          <w:color w:val="102E3B"/>
          <w:sz w:val="20"/>
          <w:szCs w:val="20"/>
        </w:rPr>
        <w:t xml:space="preserve">. Cada Persona Fundadora tiene un voto. </w:t>
      </w:r>
      <w:r>
        <w:rPr>
          <w:rFonts w:ascii="Nunito Sans" w:cs="Nunito Sans" w:eastAsia="Nunito Sans" w:hAnsi="Nunito Sans"/>
          <w:color w:val="102E3B"/>
          <w:sz w:val="20"/>
          <w:szCs w:val="20"/>
          <w:highlight w:val="yellow"/>
        </w:rPr>
        <w:t xml:space="preserve">[Opción A: o por mayoría de los votos correspondientes a las Acciones, cuando lo exija el Documento Constitutivo.]</w:t>
      </w:r>
    </w:p>
    <w:p>
      <w:pPr>
        <w:pStyle w:val="ListParagraph"/>
        <w:numPr>
          <w:ilvl w:val="0"/>
          <w:numId w:val="8"/>
        </w:numPr>
        <w:spacing w:after="80" w:line="290"/>
      </w:pPr>
      <w:r>
        <w:rPr>
          <w:rFonts w:ascii="Nunito Sans" w:cs="Nunito Sans" w:eastAsia="Nunito Sans" w:hAnsi="Nunito Sans"/>
          <w:color w:val="102E3B"/>
          <w:sz w:val="20"/>
          <w:szCs w:val="20"/>
        </w:rPr>
        <w:t xml:space="preserve">Las siguientes </w:t>
      </w:r>
      <w:r>
        <w:rPr>
          <w:rFonts w:ascii="Nunito Sans" w:cs="Nunito Sans" w:eastAsia="Nunito Sans" w:hAnsi="Nunito Sans"/>
          <w:b/>
          <w:bCs/>
          <w:color w:val="102E3B"/>
          <w:sz w:val="20"/>
          <w:szCs w:val="20"/>
        </w:rPr>
        <w:t xml:space="preserve">Materias Reservadas</w:t>
      </w:r>
      <w:r>
        <w:rPr>
          <w:rFonts w:ascii="Nunito Sans" w:cs="Nunito Sans" w:eastAsia="Nunito Sans" w:hAnsi="Nunito Sans"/>
          <w:color w:val="102E3B"/>
          <w:sz w:val="20"/>
          <w:szCs w:val="20"/>
        </w:rPr>
        <w:t xml:space="preserve"> requieren el acuerdo </w:t>
      </w:r>
      <w:r>
        <w:rPr>
          <w:rFonts w:ascii="Nunito Sans" w:cs="Nunito Sans" w:eastAsia="Nunito Sans" w:hAnsi="Nunito Sans"/>
          <w:b/>
          <w:bCs/>
          <w:color w:val="102E3B"/>
          <w:sz w:val="20"/>
          <w:szCs w:val="20"/>
        </w:rPr>
        <w:t xml:space="preserve">unánime</w:t>
      </w:r>
      <w:r>
        <w:rPr>
          <w:rFonts w:ascii="Nunito Sans" w:cs="Nunito Sans" w:eastAsia="Nunito Sans" w:hAnsi="Nunito Sans"/>
          <w:color w:val="102E3B"/>
          <w:sz w:val="20"/>
          <w:szCs w:val="20"/>
        </w:rPr>
        <w:t xml:space="preserve"> y por escrito de todas las Personas Fundadoras:</w:t>
      </w:r>
    </w:p>
    <w:p>
      <w:pPr>
        <w:pStyle w:val="ListParagraph"/>
        <w:numPr>
          <w:ilvl w:val="1"/>
          <w:numId w:val="8"/>
        </w:numPr>
        <w:spacing w:after="80" w:line="290"/>
      </w:pPr>
      <w:r>
        <w:rPr>
          <w:rFonts w:ascii="Nunito Sans" w:cs="Nunito Sans" w:eastAsia="Nunito Sans" w:hAnsi="Nunito Sans"/>
          <w:color w:val="102E3B"/>
          <w:sz w:val="20"/>
          <w:szCs w:val="20"/>
        </w:rPr>
        <w:t xml:space="preserve">modificar el propósito, los valores, la protección de la misión o el Documento Constitutivo;</w:t>
      </w:r>
    </w:p>
    <w:p>
      <w:pPr>
        <w:pStyle w:val="ListParagraph"/>
        <w:numPr>
          <w:ilvl w:val="1"/>
          <w:numId w:val="8"/>
        </w:numPr>
        <w:spacing w:after="80" w:line="290"/>
      </w:pPr>
      <w:r>
        <w:rPr>
          <w:rFonts w:ascii="Nunito Sans" w:cs="Nunito Sans" w:eastAsia="Nunito Sans" w:hAnsi="Nunito Sans"/>
          <w:color w:val="102E3B"/>
          <w:sz w:val="20"/>
          <w:szCs w:val="20"/>
        </w:rPr>
        <w:t xml:space="preserve">emitir nuevas Acciones u opciones, o admitir a una nueva Persona Fundadora (Opción A), o nombrar o destituir a un miembro del Órgano de Gobierno (Opción B, cuando las Personas Fundadoras lo controlen);</w:t>
      </w:r>
    </w:p>
    <w:p>
      <w:pPr>
        <w:pStyle w:val="ListParagraph"/>
        <w:numPr>
          <w:ilvl w:val="1"/>
          <w:numId w:val="8"/>
        </w:numPr>
        <w:spacing w:after="80" w:line="290"/>
      </w:pPr>
      <w:r>
        <w:rPr>
          <w:rFonts w:ascii="Nunito Sans" w:cs="Nunito Sans" w:eastAsia="Nunito Sans" w:hAnsi="Nunito Sans"/>
          <w:color w:val="102E3B"/>
          <w:sz w:val="20"/>
          <w:szCs w:val="20"/>
        </w:rPr>
        <w:t xml:space="preserve">tomar préstamos por más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u otorgar cualquier garantía o aval;</w:t>
      </w:r>
    </w:p>
    <w:p>
      <w:pPr>
        <w:pStyle w:val="ListParagraph"/>
        <w:numPr>
          <w:ilvl w:val="1"/>
          <w:numId w:val="8"/>
        </w:numPr>
        <w:spacing w:after="80" w:line="290"/>
      </w:pPr>
      <w:r>
        <w:rPr>
          <w:rFonts w:ascii="Nunito Sans" w:cs="Nunito Sans" w:eastAsia="Nunito Sans" w:hAnsi="Nunito Sans"/>
          <w:color w:val="102E3B"/>
          <w:sz w:val="20"/>
          <w:szCs w:val="20"/>
        </w:rPr>
        <w:t xml:space="preserve">comprar, vender u otorgar licencias sobre cualquier Activo de la Organización importante, incluidos el nombre, la marca o la propiedad intelectual principal;</w:t>
      </w:r>
    </w:p>
    <w:p>
      <w:pPr>
        <w:pStyle w:val="ListParagraph"/>
        <w:numPr>
          <w:ilvl w:val="1"/>
          <w:numId w:val="8"/>
        </w:numPr>
        <w:spacing w:after="80" w:line="290"/>
      </w:pPr>
      <w:r>
        <w:rPr>
          <w:rFonts w:ascii="Nunito Sans" w:cs="Nunito Sans" w:eastAsia="Nunito Sans" w:hAnsi="Nunito Sans"/>
          <w:color w:val="102E3B"/>
          <w:sz w:val="20"/>
          <w:szCs w:val="20"/>
        </w:rPr>
        <w:t xml:space="preserve">celebrar un acuerdo individual por valor superior a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o de duración superior a </w:t>
      </w:r>
      <w:r>
        <w:rPr>
          <w:rFonts w:ascii="Nunito Sans" w:cs="Nunito Sans" w:eastAsia="Nunito Sans" w:hAnsi="Nunito Sans"/>
          <w:color w:val="102E3B"/>
          <w:sz w:val="20"/>
          <w:szCs w:val="20"/>
          <w:highlight w:val="yellow"/>
        </w:rPr>
        <w:t xml:space="preserve">[dos años]</w:t>
      </w:r>
      <w:r>
        <w:rPr>
          <w:rFonts w:ascii="Nunito Sans" w:cs="Nunito Sans" w:eastAsia="Nunito Sans" w:hAnsi="Nunito Sans"/>
          <w:color w:val="102E3B"/>
          <w:sz w:val="20"/>
          <w:szCs w:val="20"/>
        </w:rPr>
        <w:t xml:space="preserve">;</w:t>
      </w:r>
    </w:p>
    <w:p>
      <w:pPr>
        <w:pStyle w:val="ListParagraph"/>
        <w:numPr>
          <w:ilvl w:val="1"/>
          <w:numId w:val="8"/>
        </w:numPr>
        <w:spacing w:after="80" w:line="290"/>
      </w:pPr>
      <w:r>
        <w:rPr>
          <w:rFonts w:ascii="Nunito Sans" w:cs="Nunito Sans" w:eastAsia="Nunito Sans" w:hAnsi="Nunito Sans"/>
          <w:color w:val="102E3B"/>
          <w:sz w:val="20"/>
          <w:szCs w:val="20"/>
        </w:rPr>
        <w:t xml:space="preserve">fijar o modificar la retribución de cualquier Persona Fundadora, o cualquier operación entre la Organización y una Persona Fundadora o sus familiares;</w:t>
      </w:r>
    </w:p>
    <w:p>
      <w:pPr>
        <w:pStyle w:val="ListParagraph"/>
        <w:numPr>
          <w:ilvl w:val="1"/>
          <w:numId w:val="8"/>
        </w:numPr>
        <w:spacing w:after="80" w:line="290"/>
      </w:pPr>
      <w:r>
        <w:rPr>
          <w:rFonts w:ascii="Nunito Sans" w:cs="Nunito Sans" w:eastAsia="Nunito Sans" w:hAnsi="Nunito Sans"/>
          <w:color w:val="102E3B"/>
          <w:sz w:val="20"/>
          <w:szCs w:val="20"/>
        </w:rPr>
        <w:t xml:space="preserve">fusionar, transformar, cerrar o disolver la Organización, o iniciar un procedimiento de insolvencia; y</w:t>
      </w:r>
    </w:p>
    <w:p>
      <w:pPr>
        <w:pStyle w:val="ListParagraph"/>
        <w:numPr>
          <w:ilvl w:val="1"/>
          <w:numId w:val="8"/>
        </w:numPr>
        <w:spacing w:after="80" w:line="290"/>
      </w:pPr>
      <w:r>
        <w:rPr>
          <w:rFonts w:ascii="Nunito Sans" w:cs="Nunito Sans" w:eastAsia="Nunito Sans" w:hAnsi="Nunito Sans"/>
          <w:color w:val="102E3B"/>
          <w:sz w:val="20"/>
          <w:szCs w:val="20"/>
          <w:highlight w:val="yellow"/>
        </w:rPr>
        <w:t xml:space="preserve">[cualquier otra materia que elijan las Personas Fundadoras]</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Una Persona Fundadora con un conflicto de interés lo declara y no vota sobre esa materia, conforme a la Política de Conflictos de Interés. Cuando el voto de la Persona Fundadora en conflicto sea necesario para la unanimidad, deciden por unanimidad las demás Personas Fundadoras.</w:t>
      </w:r>
    </w:p>
    <w:p>
      <w:pPr>
        <w:pStyle w:val="ListParagraph"/>
        <w:numPr>
          <w:ilvl w:val="0"/>
          <w:numId w:val="8"/>
        </w:numPr>
        <w:spacing w:after="80" w:line="290"/>
      </w:pPr>
      <w:r>
        <w:rPr>
          <w:rFonts w:ascii="Nunito Sans" w:cs="Nunito Sans" w:eastAsia="Nunito Sans" w:hAnsi="Nunito Sans"/>
          <w:color w:val="102E3B"/>
          <w:sz w:val="20"/>
          <w:szCs w:val="20"/>
        </w:rPr>
        <w:t xml:space="preserve">Las decisiones se registran por escrito, en acta o por correo electrónico confirmado por todas las Personas Fundadoras con derecho a voto, y se conservan en </w:t>
      </w:r>
      <w:r>
        <w:rPr>
          <w:rFonts w:ascii="Nunito Sans" w:cs="Nunito Sans" w:eastAsia="Nunito Sans" w:hAnsi="Nunito Sans"/>
          <w:color w:val="102E3B"/>
          <w:sz w:val="20"/>
          <w:szCs w:val="20"/>
          <w:highlight w:val="yellow"/>
        </w:rPr>
        <w:t xml:space="preserve">[ubicación]</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5. Bloqueo</w:t>
      </w:r>
    </w:p>
    <w:p>
      <w:pPr>
        <w:pStyle w:val="ListParagraph"/>
        <w:numPr>
          <w:ilvl w:val="0"/>
          <w:numId w:val="9"/>
        </w:numPr>
        <w:spacing w:after="80" w:line="290"/>
      </w:pPr>
      <w:r>
        <w:rPr>
          <w:rFonts w:ascii="Nunito Sans" w:cs="Nunito Sans" w:eastAsia="Nunito Sans" w:hAnsi="Nunito Sans"/>
          <w:color w:val="102E3B"/>
          <w:sz w:val="20"/>
          <w:szCs w:val="20"/>
        </w:rPr>
        <w:t xml:space="preserve">Existe un bloqueo cuando las Personas Fundadoras no logran tomar una decisión necesaria para que la Organización continúe su trabajo después de debatirla en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reuniones celebradas con al menos </w:t>
      </w:r>
      <w:r>
        <w:rPr>
          <w:rFonts w:ascii="Nunito Sans" w:cs="Nunito Sans" w:eastAsia="Nunito Sans" w:hAnsi="Nunito Sans"/>
          <w:color w:val="102E3B"/>
          <w:sz w:val="20"/>
          <w:szCs w:val="20"/>
          <w:highlight w:val="yellow"/>
        </w:rPr>
        <w:t xml:space="preserve">[siete días]</w:t>
      </w:r>
      <w:r>
        <w:rPr>
          <w:rFonts w:ascii="Nunito Sans" w:cs="Nunito Sans" w:eastAsia="Nunito Sans" w:hAnsi="Nunito Sans"/>
          <w:color w:val="102E3B"/>
          <w:sz w:val="20"/>
          <w:szCs w:val="20"/>
        </w:rPr>
        <w:t xml:space="preserve"> de diferencia.</w:t>
      </w:r>
    </w:p>
    <w:p>
      <w:pPr>
        <w:pStyle w:val="ListParagraph"/>
        <w:numPr>
          <w:ilvl w:val="0"/>
          <w:numId w:val="9"/>
        </w:numPr>
        <w:spacing w:after="80" w:line="290"/>
      </w:pPr>
      <w:r>
        <w:rPr>
          <w:rFonts w:ascii="Nunito Sans" w:cs="Nunito Sans" w:eastAsia="Nunito Sans" w:hAnsi="Nunito Sans"/>
          <w:color w:val="102E3B"/>
          <w:sz w:val="20"/>
          <w:szCs w:val="20"/>
        </w:rPr>
        <w:t xml:space="preserve">En ese caso, las Personas Fundadoras:</w:t>
      </w:r>
    </w:p>
    <w:p>
      <w:pPr>
        <w:pStyle w:val="ListParagraph"/>
        <w:numPr>
          <w:ilvl w:val="1"/>
          <w:numId w:val="9"/>
        </w:numPr>
        <w:spacing w:after="80" w:line="290"/>
      </w:pPr>
      <w:r>
        <w:rPr>
          <w:rFonts w:ascii="Nunito Sans" w:cs="Nunito Sans" w:eastAsia="Nunito Sans" w:hAnsi="Nunito Sans"/>
          <w:color w:val="102E3B"/>
          <w:sz w:val="20"/>
          <w:szCs w:val="20"/>
        </w:rPr>
        <w:t xml:space="preserve">pondrán cada una por escrito su postura y sus razones en no más de una página, en un plazo de </w:t>
      </w:r>
      <w:r>
        <w:rPr>
          <w:rFonts w:ascii="Nunito Sans" w:cs="Nunito Sans" w:eastAsia="Nunito Sans" w:hAnsi="Nunito Sans"/>
          <w:color w:val="102E3B"/>
          <w:sz w:val="20"/>
          <w:szCs w:val="20"/>
          <w:highlight w:val="yellow"/>
        </w:rPr>
        <w:t xml:space="preserve">[cinco días]</w:t>
      </w:r>
      <w:r>
        <w:rPr>
          <w:rFonts w:ascii="Nunito Sans" w:cs="Nunito Sans" w:eastAsia="Nunito Sans" w:hAnsi="Nunito Sans"/>
          <w:color w:val="102E3B"/>
          <w:sz w:val="20"/>
          <w:szCs w:val="20"/>
        </w:rPr>
        <w:t xml:space="preserve">;</w:t>
      </w:r>
    </w:p>
    <w:p>
      <w:pPr>
        <w:pStyle w:val="ListParagraph"/>
        <w:numPr>
          <w:ilvl w:val="1"/>
          <w:numId w:val="9"/>
        </w:numPr>
        <w:spacing w:after="80" w:line="290"/>
      </w:pPr>
      <w:r>
        <w:rPr>
          <w:rFonts w:ascii="Nunito Sans" w:cs="Nunito Sans" w:eastAsia="Nunito Sans" w:hAnsi="Nunito Sans"/>
          <w:color w:val="102E3B"/>
          <w:sz w:val="20"/>
          <w:szCs w:val="20"/>
        </w:rPr>
        <w:t xml:space="preserve">pedirán a </w:t>
      </w:r>
      <w:r>
        <w:rPr>
          <w:rFonts w:ascii="Nunito Sans" w:cs="Nunito Sans" w:eastAsia="Nunito Sans" w:hAnsi="Nunito Sans"/>
          <w:color w:val="102E3B"/>
          <w:sz w:val="20"/>
          <w:szCs w:val="20"/>
          <w:highlight w:val="yellow"/>
        </w:rPr>
        <w:t xml:space="preserve">[una persona asesora, mentora o la presidencia del órgano de gobierno, acordada de antemano: nombre]</w:t>
      </w:r>
      <w:r>
        <w:rPr>
          <w:rFonts w:ascii="Nunito Sans" w:cs="Nunito Sans" w:eastAsia="Nunito Sans" w:hAnsi="Nunito Sans"/>
          <w:color w:val="102E3B"/>
          <w:sz w:val="20"/>
          <w:szCs w:val="20"/>
        </w:rPr>
        <w:t xml:space="preserve"> que facilite un diálogo en un plazo de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y</w:t>
      </w:r>
    </w:p>
    <w:p>
      <w:pPr>
        <w:pStyle w:val="ListParagraph"/>
        <w:numPr>
          <w:ilvl w:val="1"/>
          <w:numId w:val="9"/>
        </w:numPr>
        <w:spacing w:after="80" w:line="290"/>
      </w:pPr>
      <w:r>
        <w:rPr>
          <w:rFonts w:ascii="Nunito Sans" w:cs="Nunito Sans" w:eastAsia="Nunito Sans" w:hAnsi="Nunito Sans"/>
          <w:color w:val="102E3B"/>
          <w:sz w:val="20"/>
          <w:szCs w:val="20"/>
        </w:rPr>
        <w:t xml:space="preserve">si sigue sin haber acuerdo, someterán la cuestión a mediación conforme a la cláusula 18.</w:t>
      </w:r>
    </w:p>
    <w:p>
      <w:pPr>
        <w:pStyle w:val="ListParagraph"/>
        <w:numPr>
          <w:ilvl w:val="0"/>
          <w:numId w:val="9"/>
        </w:numPr>
        <w:spacing w:after="80" w:line="290"/>
      </w:pPr>
      <w:r>
        <w:rPr>
          <w:rFonts w:ascii="Nunito Sans" w:cs="Nunito Sans" w:eastAsia="Nunito Sans" w:hAnsi="Nunito Sans"/>
          <w:color w:val="102E3B"/>
          <w:sz w:val="20"/>
          <w:szCs w:val="20"/>
        </w:rPr>
        <w:t xml:space="preserve">Mientras dure el bloqueo, la Organización mantiene sus actividades y su presupuesto actuales, y ninguna Persona Fundadora toma por sí sola una decisión sobre una Materia Reservada.</w:t>
      </w:r>
    </w:p>
    <w:p>
      <w:pPr>
        <w:pStyle w:val="ListParagraph"/>
        <w:numPr>
          <w:ilvl w:val="0"/>
          <w:numId w:val="9"/>
        </w:numPr>
        <w:spacing w:after="80" w:line="290"/>
      </w:pPr>
      <w:r>
        <w:rPr>
          <w:rFonts w:ascii="Nunito Sans" w:cs="Nunito Sans" w:eastAsia="Nunito Sans" w:hAnsi="Nunito Sans"/>
          <w:color w:val="102E3B"/>
          <w:sz w:val="20"/>
          <w:szCs w:val="20"/>
          <w:highlight w:val="yellow"/>
        </w:rPr>
        <w:t xml:space="preserve">[Opcional, solo para dos Personas Fundadoras: si un bloqueo sobre una cuestión fundamental no se resuelve en los 90 días siguientes a la mediación, cualquiera de las Personas Fundadoras puede ofrecer comprar las Acciones de la otra a un precio determinado; la otra debe vender a ese precio o comprar a ese precio en un plazo de 30 días.]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DECISIONES Y BLOQUEO</w:t>
            </w:r>
          </w:p>
          <w:p>
            <w:pPr>
              <w:spacing w:after="120" w:before="0" w:line="300"/>
            </w:pPr>
            <w:r>
              <w:rPr>
                <w:rFonts w:ascii="Nunito Sans" w:cs="Nunito Sans" w:eastAsia="Nunito Sans" w:hAnsi="Nunito Sans"/>
                <w:color w:val="102E3B"/>
                <w:sz w:val="19"/>
                <w:szCs w:val="19"/>
              </w:rPr>
              <w:t xml:space="preserve">Enumera las materias que de verdad necesitan el acuerdo de todas las personas: si son demasiadas, no se decide nada; si son muy pocas, una persona fundadora puede quedar en minoría en cuestiones importantes. Con dos personas fundadoras, cualquier desacuerdo puede convertirse en un bloqueo, así que los pasos de facilitación y mediación son importantes. La oferta opcional de compraventa (a veces llamada cláusula "shotgun") puede resolver un bloqueo en una sociedad, pero favorece a la persona fundadora con más dinero: úsala con cuidado, y no funciona en una entidad sin ánimo de lucro. En una entidad sin ánimo de lucro (Opción B), por ley suele ser el Órgano de Gobierno, y no las Personas Fundadoras, quien tiene la autoridad final, por lo que el voto de las Personas Fundadoras puede ser solo una recomendación al Órgano de Gobierno.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Opción A: Acciones y reparto del capital</w:t>
      </w:r>
    </w:p>
    <w:p>
      <w:pPr>
        <w:pStyle w:val="ListParagraph"/>
        <w:numPr>
          <w:ilvl w:val="0"/>
          <w:numId w:val="10"/>
        </w:numPr>
        <w:spacing w:after="80" w:line="290"/>
      </w:pPr>
      <w:r>
        <w:rPr>
          <w:rFonts w:ascii="Nunito Sans" w:cs="Nunito Sans" w:eastAsia="Nunito Sans" w:hAnsi="Nunito Sans"/>
          <w:color w:val="102E3B"/>
          <w:sz w:val="20"/>
          <w:szCs w:val="20"/>
        </w:rPr>
        <w:t xml:space="preserve">Las Acciones se distribuyen según el Anexo 2. El reparto refleja la valoración acordada por las Personas Fundadoras del trabajo pasado y futuro previsto, las ideas, el dinero, las competencias, las redes y el riesgo de cada persona.</w:t>
      </w:r>
    </w:p>
    <w:p>
      <w:pPr>
        <w:pStyle w:val="ListParagraph"/>
        <w:numPr>
          <w:ilvl w:val="0"/>
          <w:numId w:val="10"/>
        </w:numPr>
        <w:spacing w:after="80" w:line="290"/>
      </w:pPr>
      <w:r>
        <w:rPr>
          <w:rFonts w:ascii="Nunito Sans" w:cs="Nunito Sans" w:eastAsia="Nunito Sans" w:hAnsi="Nunito Sans"/>
          <w:color w:val="102E3B"/>
          <w:sz w:val="20"/>
          <w:szCs w:val="20"/>
        </w:rPr>
        <w:t xml:space="preserve">Todas las Acciones de las Personas Fundadoras están sujetas a consolidación conforme a la cláusula 7 y a las condiciones de salida de la cláusula 15, salvo que el Anexo 2 indique otra cosa.</w:t>
      </w:r>
    </w:p>
    <w:p>
      <w:pPr>
        <w:pStyle w:val="ListParagraph"/>
        <w:numPr>
          <w:ilvl w:val="0"/>
          <w:numId w:val="10"/>
        </w:numPr>
        <w:spacing w:after="80" w:line="290"/>
      </w:pPr>
      <w:r>
        <w:rPr>
          <w:rFonts w:ascii="Nunito Sans" w:cs="Nunito Sans" w:eastAsia="Nunito Sans" w:hAnsi="Nunito Sans"/>
          <w:color w:val="102E3B"/>
          <w:sz w:val="20"/>
          <w:szCs w:val="20"/>
        </w:rPr>
        <w:t xml:space="preserve">Ninguna Persona Fundadora puede vender, transmitir, pignorar ni ceder gratuitamente Acciones sin el consentimiento por escrito de las demás Personas Fundadoras, salvo en lo que permitan este acuerdo o el Documento Constitutivo. Las Personas Fundadoras que deseen vender deben ofrecer primero sus Acciones a las demás Personas Fundadoras en proporción a sus participaciones, al Valor Razonable.</w:t>
      </w:r>
    </w:p>
    <w:p>
      <w:pPr>
        <w:pStyle w:val="ListParagraph"/>
        <w:numPr>
          <w:ilvl w:val="0"/>
          <w:numId w:val="10"/>
        </w:numPr>
        <w:spacing w:after="80" w:line="290"/>
      </w:pPr>
      <w:r>
        <w:rPr>
          <w:rFonts w:ascii="Nunito Sans" w:cs="Nunito Sans" w:eastAsia="Nunito Sans" w:hAnsi="Nunito Sans"/>
          <w:color w:val="102E3B"/>
          <w:sz w:val="20"/>
          <w:szCs w:val="20"/>
        </w:rPr>
        <w:t xml:space="preserve">Si la Organización capta inversión, las participaciones de las Personas Fundadoras pueden diluirse. Se pedirá a los nuevos inversores que respeten la protección de la misión de la cláusula 2.</w:t>
      </w:r>
    </w:p>
    <w:p>
      <w:pPr>
        <w:pStyle w:val="ListParagraph"/>
        <w:numPr>
          <w:ilvl w:val="0"/>
          <w:numId w:val="10"/>
        </w:numPr>
        <w:spacing w:after="80" w:line="290"/>
      </w:pPr>
      <w:r>
        <w:rPr>
          <w:rFonts w:ascii="Nunito Sans" w:cs="Nunito Sans" w:eastAsia="Nunito Sans" w:hAnsi="Nunito Sans"/>
          <w:color w:val="102E3B"/>
          <w:sz w:val="20"/>
          <w:szCs w:val="20"/>
          <w:highlight w:val="yellow"/>
        </w:rPr>
        <w:t xml:space="preserve">[Si crean un fondo de acciones u opciones para el personal o la comunidad: las Personas Fundadoras acuerdan reservar un porcentaje de las Acciones para un fondo destinado al personal, los socios o miembros de la comunidad.]</w:t>
      </w:r>
    </w:p>
    <w:p>
      <w:pPr>
        <w:pStyle w:val="Heading2"/>
        <w:keepNext/>
        <w:spacing w:after="120" w:before="280"/>
      </w:pPr>
      <w:r>
        <w:rPr>
          <w:rFonts w:ascii="DM Serif Display" w:cs="DM Serif Display" w:eastAsia="DM Serif Display" w:hAnsi="DM Serif Display"/>
          <w:color w:val="123C48"/>
          <w:sz w:val="28"/>
          <w:szCs w:val="28"/>
        </w:rPr>
        <w:t xml:space="preserve">7. Opción A: Consolidación (vesting)</w:t>
      </w:r>
    </w:p>
    <w:p>
      <w:pPr>
        <w:pStyle w:val="ListParagraph"/>
        <w:numPr>
          <w:ilvl w:val="0"/>
          <w:numId w:val="11"/>
        </w:numPr>
        <w:spacing w:after="80" w:line="290"/>
      </w:pPr>
      <w:r>
        <w:rPr>
          <w:rFonts w:ascii="Nunito Sans" w:cs="Nunito Sans" w:eastAsia="Nunito Sans" w:hAnsi="Nunito Sans"/>
          <w:color w:val="102E3B"/>
          <w:sz w:val="20"/>
          <w:szCs w:val="20"/>
        </w:rPr>
        <w:t xml:space="preserve">Las Acciones de cada Persona Fundadora se consolidan a lo largo de </w:t>
      </w:r>
      <w:r>
        <w:rPr>
          <w:rFonts w:ascii="Nunito Sans" w:cs="Nunito Sans" w:eastAsia="Nunito Sans" w:hAnsi="Nunito Sans"/>
          <w:color w:val="102E3B"/>
          <w:sz w:val="20"/>
          <w:szCs w:val="20"/>
          <w:highlight w:val="yellow"/>
        </w:rPr>
        <w:t xml:space="preserve">[cuatro años]</w:t>
      </w:r>
      <w:r>
        <w:rPr>
          <w:rFonts w:ascii="Nunito Sans" w:cs="Nunito Sans" w:eastAsia="Nunito Sans" w:hAnsi="Nunito Sans"/>
          <w:color w:val="102E3B"/>
          <w:sz w:val="20"/>
          <w:szCs w:val="20"/>
        </w:rPr>
        <w:t xml:space="preserve"> desde </w:t>
      </w:r>
      <w:r>
        <w:rPr>
          <w:rFonts w:ascii="Nunito Sans" w:cs="Nunito Sans" w:eastAsia="Nunito Sans" w:hAnsi="Nunito Sans"/>
          <w:color w:val="102E3B"/>
          <w:sz w:val="20"/>
          <w:szCs w:val="20"/>
          <w:highlight w:val="yellow"/>
        </w:rPr>
        <w:t xml:space="preserve">[la Fecha de Inicio de la Consolidación indicada en el Anexo 2]</w:t>
      </w:r>
      <w:r>
        <w:rPr>
          <w:rFonts w:ascii="Nunito Sans" w:cs="Nunito Sans" w:eastAsia="Nunito Sans" w:hAnsi="Nunito Sans"/>
          <w:color w:val="102E3B"/>
          <w:sz w:val="20"/>
          <w:szCs w:val="20"/>
        </w:rPr>
        <w:t xml:space="preserve">, de la siguiente manera:</w:t>
      </w:r>
    </w:p>
    <w:p>
      <w:pPr>
        <w:pStyle w:val="ListParagraph"/>
        <w:numPr>
          <w:ilvl w:val="1"/>
          <w:numId w:val="11"/>
        </w:numPr>
        <w:spacing w:after="80" w:line="290"/>
      </w:pPr>
      <w:r>
        <w:rPr>
          <w:rFonts w:ascii="Nunito Sans" w:cs="Nunito Sans" w:eastAsia="Nunito Sans" w:hAnsi="Nunito Sans"/>
          <w:color w:val="102E3B"/>
          <w:sz w:val="20"/>
          <w:szCs w:val="20"/>
        </w:rPr>
        <w:t xml:space="preserve">no se consolida ninguna Acción durante los primeros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(el "período mínimo" o cliff);</w:t>
      </w:r>
    </w:p>
    <w:p>
      <w:pPr>
        <w:pStyle w:val="ListParagraph"/>
        <w:numPr>
          <w:ilvl w:val="1"/>
          <w:numId w:val="11"/>
        </w:numPr>
        <w:spacing w:after="80" w:line="290"/>
      </w:pPr>
      <w:r>
        <w:rPr>
          <w:rFonts w:ascii="Nunito Sans" w:cs="Nunito Sans" w:eastAsia="Nunito Sans" w:hAnsi="Nunito Sans"/>
          <w:color w:val="102E3B"/>
          <w:sz w:val="20"/>
          <w:szCs w:val="20"/>
        </w:rPr>
        <w:t xml:space="preserve">en el primer aniversario, se consolida el </w:t>
      </w:r>
      <w:r>
        <w:rPr>
          <w:rFonts w:ascii="Nunito Sans" w:cs="Nunito Sans" w:eastAsia="Nunito Sans" w:hAnsi="Nunito Sans"/>
          <w:color w:val="102E3B"/>
          <w:sz w:val="20"/>
          <w:szCs w:val="20"/>
          <w:highlight w:val="yellow"/>
        </w:rPr>
        <w:t xml:space="preserve">[25 %]</w:t>
      </w:r>
      <w:r>
        <w:rPr>
          <w:rFonts w:ascii="Nunito Sans" w:cs="Nunito Sans" w:eastAsia="Nunito Sans" w:hAnsi="Nunito Sans"/>
          <w:color w:val="102E3B"/>
          <w:sz w:val="20"/>
          <w:szCs w:val="20"/>
        </w:rPr>
        <w:t xml:space="preserve"> de las Acciones de la Persona Fundadora; y</w:t>
      </w:r>
    </w:p>
    <w:p>
      <w:pPr>
        <w:pStyle w:val="ListParagraph"/>
        <w:numPr>
          <w:ilvl w:val="1"/>
          <w:numId w:val="11"/>
        </w:numPr>
        <w:spacing w:after="80" w:line="290"/>
      </w:pPr>
      <w:r>
        <w:rPr>
          <w:rFonts w:ascii="Nunito Sans" w:cs="Nunito Sans" w:eastAsia="Nunito Sans" w:hAnsi="Nunito Sans"/>
          <w:color w:val="102E3B"/>
          <w:sz w:val="20"/>
          <w:szCs w:val="20"/>
        </w:rPr>
        <w:t xml:space="preserve">las Acciones restantes se consolidan en cuotas </w:t>
      </w:r>
      <w:r>
        <w:rPr>
          <w:rFonts w:ascii="Nunito Sans" w:cs="Nunito Sans" w:eastAsia="Nunito Sans" w:hAnsi="Nunito Sans"/>
          <w:color w:val="102E3B"/>
          <w:sz w:val="20"/>
          <w:szCs w:val="20"/>
          <w:highlight w:val="yellow"/>
        </w:rPr>
        <w:t xml:space="preserve">[mensuales / trimestrales]</w:t>
      </w:r>
      <w:r>
        <w:rPr>
          <w:rFonts w:ascii="Nunito Sans" w:cs="Nunito Sans" w:eastAsia="Nunito Sans" w:hAnsi="Nunito Sans"/>
          <w:color w:val="102E3B"/>
          <w:sz w:val="20"/>
          <w:szCs w:val="20"/>
        </w:rPr>
        <w:t xml:space="preserve"> iguales durante los </w:t>
      </w:r>
      <w:r>
        <w:rPr>
          <w:rFonts w:ascii="Nunito Sans" w:cs="Nunito Sans" w:eastAsia="Nunito Sans" w:hAnsi="Nunito Sans"/>
          <w:color w:val="102E3B"/>
          <w:sz w:val="20"/>
          <w:szCs w:val="20"/>
          <w:highlight w:val="yellow"/>
        </w:rPr>
        <w:t xml:space="preserve">[36 meses]</w:t>
      </w:r>
      <w:r>
        <w:rPr>
          <w:rFonts w:ascii="Nunito Sans" w:cs="Nunito Sans" w:eastAsia="Nunito Sans" w:hAnsi="Nunito Sans"/>
          <w:color w:val="102E3B"/>
          <w:sz w:val="20"/>
          <w:szCs w:val="20"/>
        </w:rPr>
        <w:t xml:space="preserve"> siguientes.</w:t>
      </w:r>
    </w:p>
    <w:p>
      <w:pPr>
        <w:pStyle w:val="ListParagraph"/>
        <w:numPr>
          <w:ilvl w:val="0"/>
          <w:numId w:val="11"/>
        </w:numPr>
        <w:spacing w:after="80" w:line="290"/>
      </w:pPr>
      <w:r>
        <w:rPr>
          <w:rFonts w:ascii="Nunito Sans" w:cs="Nunito Sans" w:eastAsia="Nunito Sans" w:hAnsi="Nunito Sans"/>
          <w:color w:val="102E3B"/>
          <w:sz w:val="20"/>
          <w:szCs w:val="20"/>
        </w:rPr>
        <w:t xml:space="preserve">"Consolidación" significa el derecho de la Persona Fundadora a conservar las Acciones si se va. Hasta que las Acciones se consoliden, pueden recomprarse conforme a la cláusula 16.</w:t>
      </w:r>
    </w:p>
    <w:p>
      <w:pPr>
        <w:pStyle w:val="ListParagraph"/>
        <w:numPr>
          <w:ilvl w:val="0"/>
          <w:numId w:val="11"/>
        </w:numPr>
        <w:spacing w:after="80" w:line="290"/>
      </w:pPr>
      <w:r>
        <w:rPr>
          <w:rFonts w:ascii="Nunito Sans" w:cs="Nunito Sans" w:eastAsia="Nunito Sans" w:hAnsi="Nunito Sans"/>
          <w:color w:val="102E3B"/>
          <w:sz w:val="20"/>
          <w:szCs w:val="20"/>
        </w:rPr>
        <w:t xml:space="preserve">Mientras una Persona Fundadora siga siéndolo, es titular de todas sus Acciones, consolidadas o no, y puede votar y recibir los dividendos que correspondan, con sujeción al Documento Constitutivo.</w:t>
      </w:r>
    </w:p>
    <w:p>
      <w:pPr>
        <w:pStyle w:val="ListParagraph"/>
        <w:numPr>
          <w:ilvl w:val="0"/>
          <w:numId w:val="11"/>
        </w:numPr>
        <w:spacing w:after="80" w:line="290"/>
      </w:pPr>
      <w:r>
        <w:rPr>
          <w:rFonts w:ascii="Nunito Sans" w:cs="Nunito Sans" w:eastAsia="Nunito Sans" w:hAnsi="Nunito Sans"/>
          <w:color w:val="102E3B"/>
          <w:sz w:val="20"/>
          <w:szCs w:val="20"/>
          <w:highlight w:val="yellow"/>
        </w:rPr>
        <w:t xml:space="preserve">[Aceleración opcional: si la Organización se vende o se fusiona y, como consecuencia, el rol de la Persona Fundadora termina en un plazo de 12 meses, todas sus Acciones se consolidan de inmediato.]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CAPITAL, CONSOLIDACIÓN E IMPUESTOS</w:t>
            </w:r>
          </w:p>
          <w:p>
            <w:pPr>
              <w:spacing w:after="120" w:before="0" w:line="300"/>
            </w:pPr>
            <w:r>
              <w:rPr>
                <w:rFonts w:ascii="Nunito Sans" w:cs="Nunito Sans" w:eastAsia="Nunito Sans" w:hAnsi="Nunito Sans"/>
                <w:color w:val="102E3B"/>
                <w:sz w:val="19"/>
                <w:szCs w:val="19"/>
              </w:rPr>
              <w:t xml:space="preserve">Un período de consolidación de cuatro años con un período mínimo de un año es una práctica habitual en las empresas emergentes, no una norma legal. Las empresas sociales suelen elegir tres años o una consolidación vinculada a hitos. Un reparto a partes iguales es sencillo, pero no siempre justo: hablen con sinceridad del tiempo, el riesgo y el dinero. La consolidación suele funcionar como "consolidación inversa" (reverse vesting): las personas fundadoras son titulares de las acciones desde el primer día, y la sociedad o las demás personas fundadoras pueden recomprar las acciones no consolidadas. Para que sea exigible, puede requerir disposiciones en los estatutos o un pacto de socios. </w:t>
            </w:r>
            <w:r>
              <w:rPr>
                <w:rFonts w:ascii="Nunito Sans" w:cs="Nunito Sans" w:eastAsia="Nunito Sans" w:hAnsi="Nunito Sans"/>
                <w:b/>
                <w:bCs/>
                <w:color w:val="102E3B"/>
                <w:sz w:val="19"/>
                <w:szCs w:val="19"/>
              </w:rPr>
              <w:t xml:space="preserve">Los impuestos pueden ser importantes.</w:t>
            </w:r>
            <w:r>
              <w:rPr>
                <w:rFonts w:ascii="Nunito Sans" w:cs="Nunito Sans" w:eastAsia="Nunito Sans" w:hAnsi="Nunito Sans"/>
                <w:color w:val="102E3B"/>
                <w:sz w:val="19"/>
                <w:szCs w:val="19"/>
              </w:rPr>
              <w:t xml:space="preserve"> Recibir acciones a cambio de trabajo puede tributar como renta, y la consolidación puede generar un hecho imponible. Ejemplos: en Estados Unidos, las personas fundadoras suelen presentar una elección de la section 83(b) en los 30 días siguientes a recibir acciones restringidas; en el Reino Unido, se suele presentar una elección conjunta de la section 431 de la Income Tax (Earnings and Pensions) Act 2003 en un plazo de 14 días. Consulta a un asesor fiscal local antes de emitir acciones.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Opción B: Puestos de gobierno y roles de las personas fundadoras</w:t>
      </w:r>
    </w:p>
    <w:p>
      <w:pPr>
        <w:pStyle w:val="ListParagraph"/>
        <w:numPr>
          <w:ilvl w:val="0"/>
          <w:numId w:val="12"/>
        </w:numPr>
        <w:spacing w:after="80" w:line="290"/>
      </w:pPr>
      <w:r>
        <w:rPr>
          <w:rFonts w:ascii="Nunito Sans" w:cs="Nunito Sans" w:eastAsia="Nunito Sans" w:hAnsi="Nunito Sans"/>
          <w:color w:val="102E3B"/>
          <w:sz w:val="20"/>
          <w:szCs w:val="20"/>
        </w:rPr>
        <w:t xml:space="preserve">La Organización no tiene acciones ni titulares. Las Personas Fundadoras ocupan los siguientes roles:</w:t>
      </w:r>
    </w:p>
    <w:p>
      <w:pPr>
        <w:pStyle w:val="ListParagraph"/>
        <w:numPr>
          <w:ilvl w:val="1"/>
          <w:numId w:val="12"/>
        </w:numPr>
        <w:spacing w:after="80" w:line="290"/>
      </w:pPr>
      <w:r>
        <w:rPr>
          <w:rFonts w:ascii="Nunito Sans" w:cs="Nunito Sans" w:eastAsia="Nunito Sans" w:hAnsi="Nunito Sans"/>
          <w:color w:val="102E3B"/>
          <w:sz w:val="20"/>
          <w:szCs w:val="20"/>
          <w:highlight w:val="yellow"/>
        </w:rPr>
        <w:t xml:space="preserve">[Persona Fundadora 1]</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[miembro del Órgano de Gobierno y dirección ejecutiva]</w:t>
      </w:r>
      <w:r>
        <w:rPr>
          <w:rFonts w:ascii="Nunito Sans" w:cs="Nunito Sans" w:eastAsia="Nunito Sans" w:hAnsi="Nunito Sans"/>
          <w:color w:val="102E3B"/>
          <w:sz w:val="20"/>
          <w:szCs w:val="20"/>
        </w:rPr>
        <w:t xml:space="preserve">;</w:t>
      </w:r>
    </w:p>
    <w:p>
      <w:pPr>
        <w:pStyle w:val="ListParagraph"/>
        <w:numPr>
          <w:ilvl w:val="1"/>
          <w:numId w:val="12"/>
        </w:numPr>
        <w:spacing w:after="80" w:line="290"/>
      </w:pPr>
      <w:r>
        <w:rPr>
          <w:rFonts w:ascii="Nunito Sans" w:cs="Nunito Sans" w:eastAsia="Nunito Sans" w:hAnsi="Nunito Sans"/>
          <w:color w:val="102E3B"/>
          <w:sz w:val="20"/>
          <w:szCs w:val="20"/>
          <w:highlight w:val="yellow"/>
        </w:rPr>
        <w:t xml:space="preserve">[Persona Fundadora 2]</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[miembro del Órgano de Gobierno y responsable de programas]</w:t>
      </w:r>
      <w:r>
        <w:rPr>
          <w:rFonts w:ascii="Nunito Sans" w:cs="Nunito Sans" w:eastAsia="Nunito Sans" w:hAnsi="Nunito Sans"/>
          <w:color w:val="102E3B"/>
          <w:sz w:val="20"/>
          <w:szCs w:val="20"/>
        </w:rPr>
        <w:t xml:space="preserve">;</w:t>
      </w:r>
    </w:p>
    <w:p>
      <w:pPr>
        <w:pStyle w:val="ListParagraph"/>
        <w:numPr>
          <w:ilvl w:val="1"/>
          <w:numId w:val="12"/>
        </w:numPr>
        <w:spacing w:after="80" w:line="290"/>
      </w:pPr>
      <w:r>
        <w:rPr>
          <w:rFonts w:ascii="Nunito Sans" w:cs="Nunito Sans" w:eastAsia="Nunito Sans" w:hAnsi="Nunito Sans"/>
          <w:color w:val="102E3B"/>
          <w:sz w:val="20"/>
          <w:szCs w:val="20"/>
          <w:highlight w:val="yellow"/>
        </w:rPr>
        <w:t xml:space="preserve">[Persona Fundadora 3]</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[miembro del Órgano de Gobierno, sin retribución]</w:t>
      </w:r>
      <w:r>
        <w:rPr>
          <w:rFonts w:ascii="Nunito Sans" w:cs="Nunito Sans" w:eastAsia="Nunito Sans" w:hAnsi="Nunito Sans"/>
          <w:color w:val="102E3B"/>
          <w:sz w:val="20"/>
          <w:szCs w:val="20"/>
        </w:rPr>
        <w:t xml:space="preserve">.</w:t>
      </w:r>
    </w:p>
    <w:p>
      <w:pPr>
        <w:pStyle w:val="ListParagraph"/>
        <w:numPr>
          <w:ilvl w:val="0"/>
          <w:numId w:val="12"/>
        </w:numPr>
        <w:spacing w:after="80" w:line="290"/>
      </w:pPr>
      <w:r>
        <w:rPr>
          <w:rFonts w:ascii="Nunito Sans" w:cs="Nunito Sans" w:eastAsia="Nunito Sans" w:hAnsi="Nunito Sans"/>
          <w:color w:val="102E3B"/>
          <w:sz w:val="20"/>
          <w:szCs w:val="20"/>
        </w:rPr>
        <w:t xml:space="preserve">Cada Persona Fundadora es </w:t>
      </w:r>
      <w:r>
        <w:rPr>
          <w:rFonts w:ascii="Nunito Sans" w:cs="Nunito Sans" w:eastAsia="Nunito Sans" w:hAnsi="Nunito Sans"/>
          <w:color w:val="102E3B"/>
          <w:sz w:val="20"/>
          <w:szCs w:val="20"/>
          <w:highlight w:val="yellow"/>
        </w:rPr>
        <w:t xml:space="preserve">[miembro de la asociación / administradora de la sociedad sin ánimo de lucro / patrona o fiduciaria]</w:t>
      </w:r>
      <w:r>
        <w:rPr>
          <w:rFonts w:ascii="Nunito Sans" w:cs="Nunito Sans" w:eastAsia="Nunito Sans" w:hAnsi="Nunito Sans"/>
          <w:color w:val="102E3B"/>
          <w:sz w:val="20"/>
          <w:szCs w:val="20"/>
        </w:rPr>
        <w:t xml:space="preserve"> conforme al Documento Constitutivo, con los derechos y deberes que la ley atribuye a ese rol.</w:t>
      </w:r>
    </w:p>
    <w:p>
      <w:pPr>
        <w:pStyle w:val="ListParagraph"/>
        <w:numPr>
          <w:ilvl w:val="0"/>
          <w:numId w:val="12"/>
        </w:numPr>
        <w:spacing w:after="80" w:line="290"/>
      </w:pPr>
      <w:r>
        <w:rPr>
          <w:rFonts w:ascii="Nunito Sans" w:cs="Nunito Sans" w:eastAsia="Nunito Sans" w:hAnsi="Nunito Sans"/>
          <w:color w:val="102E3B"/>
          <w:sz w:val="20"/>
          <w:szCs w:val="20"/>
        </w:rPr>
        <w:t xml:space="preserve">Las Personas Fundadoras nombrarán al menos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miembros independientes del Órgano de Gobierno, que no sean Personas Fundadoras, personal ni familiares de Personas Fundadoras, en un plazo de </w:t>
      </w:r>
      <w:r>
        <w:rPr>
          <w:rFonts w:ascii="Nunito Sans" w:cs="Nunito Sans" w:eastAsia="Nunito Sans" w:hAnsi="Nunito Sans"/>
          <w:color w:val="102E3B"/>
          <w:sz w:val="20"/>
          <w:szCs w:val="20"/>
          <w:highlight w:val="yellow"/>
        </w:rPr>
        <w:t xml:space="preserve">[12 / 24]</w:t>
      </w:r>
      <w:r>
        <w:rPr>
          <w:rFonts w:ascii="Nunito Sans" w:cs="Nunito Sans" w:eastAsia="Nunito Sans" w:hAnsi="Nunito Sans"/>
          <w:color w:val="102E3B"/>
          <w:sz w:val="20"/>
          <w:szCs w:val="20"/>
        </w:rPr>
        <w:t xml:space="preserve"> meses, para que el Órgano de Gobierno pueda supervisar a las Personas Fundadoras con imparcialidad.</w:t>
      </w:r>
    </w:p>
    <w:p>
      <w:pPr>
        <w:pStyle w:val="ListParagraph"/>
        <w:numPr>
          <w:ilvl w:val="0"/>
          <w:numId w:val="12"/>
        </w:numPr>
        <w:spacing w:after="80" w:line="290"/>
      </w:pPr>
      <w:r>
        <w:rPr>
          <w:rFonts w:ascii="Nunito Sans" w:cs="Nunito Sans" w:eastAsia="Nunito Sans" w:hAnsi="Nunito Sans"/>
          <w:color w:val="102E3B"/>
          <w:sz w:val="20"/>
          <w:szCs w:val="20"/>
        </w:rPr>
        <w:t xml:space="preserve">El puesto de una Persona Fundadora en el Órgano de Gobierno dura el mandato previsto en el Documento Constitutivo y puede renovarse. No es un bien patrimonial y no puede venderse ni transmitirse.</w:t>
      </w:r>
    </w:p>
    <w:p>
      <w:pPr>
        <w:pStyle w:val="ListParagraph"/>
        <w:numPr>
          <w:ilvl w:val="0"/>
          <w:numId w:val="12"/>
        </w:numPr>
        <w:spacing w:after="80" w:line="290"/>
      </w:pPr>
      <w:r>
        <w:rPr>
          <w:rFonts w:ascii="Nunito Sans" w:cs="Nunito Sans" w:eastAsia="Nunito Sans" w:hAnsi="Nunito Sans"/>
          <w:color w:val="102E3B"/>
          <w:sz w:val="20"/>
          <w:szCs w:val="20"/>
        </w:rPr>
        <w:t xml:space="preserve">Las Personas Fundadoras que forman parte del personal retribuido rinden cuentas al Órgano de Gobierno por su rol como personal, y se abstienen en las decisiones del Órgano de Gobierno sobre su propia retribución, desempeño o contrato.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PUESTOS DE GOBIERNO EN UNA ENTIDAD SIN ÁNIMO DE LUCRO</w:t>
            </w:r>
          </w:p>
          <w:p>
            <w:pPr>
              <w:spacing w:after="120" w:before="0" w:line="300"/>
            </w:pPr>
            <w:r>
              <w:rPr>
                <w:rFonts w:ascii="Nunito Sans" w:cs="Nunito Sans" w:eastAsia="Nunito Sans" w:hAnsi="Nunito Sans"/>
                <w:color w:val="102E3B"/>
                <w:sz w:val="19"/>
                <w:szCs w:val="19"/>
              </w:rPr>
              <w:t xml:space="preserve">En una entidad sin ánimo de lucro, las personas fundadoras no son titulares de la organización, y los reguladores esperan un órgano de gobierno independiente. Muchos países limitan la retribución de los miembros del órgano de gobierno: por ejemplo, en Inglaterra y Gales los trustees de las charities no suelen estar retribuidos, salvo que lo permitan el documento constitutivo, la Charity Commission o la ley. Las organizaciones exentas de impuestos de Estados Unidos deben evitar el beneficio privado y la retribución excesiva a personas vinculadas. La Public Benefit Organizations Act 2013 de Kenia entró en vigor en 2024 y modifica las normas de registro y gobernanza de muchas ONG: consulta el reglamento vigente. En la India, los trusts, las societies y las sociedades de la Section 8 tienen normas de gobernanza distintas; en Brasil, las asociaciones y fundaciones se rigen por el Código Civil; en Nigeria, los incorporated trustees se registran conforme a la Companies and Allied Matters Act 2020. Decide pronto cómo rendirán cuentas las personas fundadoras que formen parte del personal.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Propiedad intelectual</w:t>
      </w:r>
    </w:p>
    <w:p>
      <w:pPr>
        <w:pStyle w:val="ListParagraph"/>
        <w:numPr>
          <w:ilvl w:val="0"/>
          <w:numId w:val="13"/>
        </w:numPr>
        <w:spacing w:after="80" w:line="290"/>
      </w:pPr>
      <w:r>
        <w:rPr>
          <w:rFonts w:ascii="Nunito Sans" w:cs="Nunito Sans" w:eastAsia="Nunito Sans" w:hAnsi="Nunito Sans"/>
          <w:color w:val="102E3B"/>
          <w:sz w:val="20"/>
          <w:szCs w:val="20"/>
        </w:rPr>
        <w:t xml:space="preserve">Cada Persona Fundadora cede a la Organización toda la propiedad intelectual que haya creado o cree para la Organización o su trabajo, incluidos su nombre, marca, logotipo, sitio web, contenidos, métodos, programas informáticos, datos y materiales. Para lo creado antes del registro de la Organización, esta cesión surte efecto en el momento del registro.</w:t>
      </w:r>
    </w:p>
    <w:p>
      <w:pPr>
        <w:pStyle w:val="ListParagraph"/>
        <w:numPr>
          <w:ilvl w:val="0"/>
          <w:numId w:val="13"/>
        </w:numPr>
        <w:spacing w:after="80" w:line="290"/>
      </w:pPr>
      <w:r>
        <w:rPr>
          <w:rFonts w:ascii="Nunito Sans" w:cs="Nunito Sans" w:eastAsia="Nunito Sans" w:hAnsi="Nunito Sans"/>
          <w:color w:val="102E3B"/>
          <w:sz w:val="20"/>
          <w:szCs w:val="20"/>
        </w:rPr>
        <w:t xml:space="preserve">Cada Persona Fundadora enumera en el Anexo 3 los materiales preexistentes que aporta y conservará. Cada Persona Fundadora otorga a la Organización una licencia </w:t>
      </w:r>
      <w:r>
        <w:rPr>
          <w:rFonts w:ascii="Nunito Sans" w:cs="Nunito Sans" w:eastAsia="Nunito Sans" w:hAnsi="Nunito Sans"/>
          <w:color w:val="102E3B"/>
          <w:sz w:val="20"/>
          <w:szCs w:val="20"/>
          <w:highlight w:val="yellow"/>
        </w:rPr>
        <w:t xml:space="preserve">[gratuita, no exclusiva, perpetua y mundial]</w:t>
      </w:r>
      <w:r>
        <w:rPr>
          <w:rFonts w:ascii="Nunito Sans" w:cs="Nunito Sans" w:eastAsia="Nunito Sans" w:hAnsi="Nunito Sans"/>
          <w:color w:val="102E3B"/>
          <w:sz w:val="20"/>
          <w:szCs w:val="20"/>
        </w:rPr>
        <w:t xml:space="preserve"> para usar esos materiales en su trabajo.</w:t>
      </w:r>
    </w:p>
    <w:p>
      <w:pPr>
        <w:pStyle w:val="ListParagraph"/>
        <w:numPr>
          <w:ilvl w:val="0"/>
          <w:numId w:val="13"/>
        </w:numPr>
        <w:spacing w:after="80" w:line="290"/>
      </w:pPr>
      <w:r>
        <w:rPr>
          <w:rFonts w:ascii="Nunito Sans" w:cs="Nunito Sans" w:eastAsia="Nunito Sans" w:hAnsi="Nunito Sans"/>
          <w:color w:val="102E3B"/>
          <w:sz w:val="20"/>
          <w:szCs w:val="20"/>
        </w:rPr>
        <w:t xml:space="preserve">Cuando la ley lo permita, cada Persona Fundadora renuncia a sus derechos morales sobre las obras cedidas a la Organización.</w:t>
      </w:r>
    </w:p>
    <w:p>
      <w:pPr>
        <w:pStyle w:val="ListParagraph"/>
        <w:numPr>
          <w:ilvl w:val="0"/>
          <w:numId w:val="13"/>
        </w:numPr>
        <w:spacing w:after="80" w:line="290"/>
      </w:pPr>
      <w:r>
        <w:rPr>
          <w:rFonts w:ascii="Nunito Sans" w:cs="Nunito Sans" w:eastAsia="Nunito Sans" w:hAnsi="Nunito Sans"/>
          <w:color w:val="102E3B"/>
          <w:sz w:val="20"/>
          <w:szCs w:val="20"/>
        </w:rPr>
        <w:t xml:space="preserve">Cada Persona Fundadora firmará cualquier documento necesario para registrar o confirmar los derechos de la Organización.</w:t>
      </w:r>
    </w:p>
    <w:p>
      <w:pPr>
        <w:pStyle w:val="ListParagraph"/>
        <w:numPr>
          <w:ilvl w:val="0"/>
          <w:numId w:val="13"/>
        </w:numPr>
        <w:spacing w:after="80" w:line="290"/>
      </w:pPr>
      <w:r>
        <w:rPr>
          <w:rFonts w:ascii="Nunito Sans" w:cs="Nunito Sans" w:eastAsia="Nunito Sans" w:hAnsi="Nunito Sans"/>
          <w:color w:val="102E3B"/>
          <w:sz w:val="20"/>
          <w:szCs w:val="20"/>
        </w:rPr>
        <w:t xml:space="preserve">Ninguna Persona Fundadora registrará a su propio nombre una marca, un nombre de dominio o un nombre de usuario en redes sociales similar al nombre de la Organización.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PROPIEDAD INTELECTUAL Y TRABAJO PREVIO</w:t>
            </w:r>
          </w:p>
          <w:p>
            <w:pPr>
              <w:spacing w:after="120" w:before="0" w:line="300"/>
            </w:pPr>
            <w:r>
              <w:rPr>
                <w:rFonts w:ascii="Nunito Sans" w:cs="Nunito Sans" w:eastAsia="Nunito Sans" w:hAnsi="Nunito Sans"/>
                <w:color w:val="102E3B"/>
                <w:sz w:val="19"/>
                <w:szCs w:val="19"/>
              </w:rPr>
              <w:t xml:space="preserve">Las personas fundadoras suelen crear el nombre, el logotipo, el sitio web y los métodos antes de que exista la organización. Mientras no haya una entidad, esos derechos suelen pertenecer a quien los creó, por lo que es importante una cesión por escrito en el momento del registro. Algunos países exigen que la cesión de derechos de autor conste por escrito y esté firmada. Los derechos morales son irrenunciables en algunos países, como Francia, Brasil y Argentina. Si la marca tiene valor, regístrala a nombre de la Organización en tus principales países.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Confidencialidad</w:t>
      </w:r>
    </w:p>
    <w:p>
      <w:pPr>
        <w:pStyle w:val="ListParagraph"/>
        <w:numPr>
          <w:ilvl w:val="0"/>
          <w:numId w:val="14"/>
        </w:numPr>
        <w:spacing w:after="80" w:line="290"/>
      </w:pPr>
      <w:r>
        <w:rPr>
          <w:rFonts w:ascii="Nunito Sans" w:cs="Nunito Sans" w:eastAsia="Nunito Sans" w:hAnsi="Nunito Sans"/>
          <w:color w:val="102E3B"/>
          <w:sz w:val="20"/>
          <w:szCs w:val="20"/>
        </w:rPr>
        <w:t xml:space="preserve">Cada Persona Fundadora mantendrá la confidencialidad de toda la información no pública sobre la Organización, sus finanzas, financiadores, socios, personal y las personas a las que sirve, durante su etapa como Persona Fundadora y después de ella.</w:t>
      </w:r>
    </w:p>
    <w:p>
      <w:pPr>
        <w:pStyle w:val="ListParagraph"/>
        <w:numPr>
          <w:ilvl w:val="0"/>
          <w:numId w:val="14"/>
        </w:numPr>
        <w:spacing w:after="80" w:line="290"/>
      </w:pPr>
      <w:r>
        <w:rPr>
          <w:rFonts w:ascii="Nunito Sans" w:cs="Nunito Sans" w:eastAsia="Nunito Sans" w:hAnsi="Nunito Sans"/>
          <w:color w:val="102E3B"/>
          <w:sz w:val="20"/>
          <w:szCs w:val="20"/>
        </w:rPr>
        <w:t xml:space="preserve">Esto no impide a una Persona Fundadora revelar información cuando la ley lo exija, plantear una inquietud conforme a la Política y Procedimiento de Denuncia de Irregularidades o ante un organismo regulador, ni recibir asesoramiento jurídico o financiero.</w:t>
      </w:r>
    </w:p>
    <w:p>
      <w:pPr>
        <w:pStyle w:val="ListParagraph"/>
        <w:numPr>
          <w:ilvl w:val="0"/>
          <w:numId w:val="14"/>
        </w:numPr>
        <w:spacing w:after="80" w:line="290"/>
      </w:pPr>
      <w:r>
        <w:rPr>
          <w:rFonts w:ascii="Nunito Sans" w:cs="Nunito Sans" w:eastAsia="Nunito Sans" w:hAnsi="Nunito Sans"/>
          <w:color w:val="102E3B"/>
          <w:sz w:val="20"/>
          <w:szCs w:val="20"/>
        </w:rPr>
        <w:t xml:space="preserve">Los datos personales se tratan conforme a la Política de Protección de Datos.</w:t>
      </w:r>
    </w:p>
    <w:p>
      <w:pPr>
        <w:pStyle w:val="Heading2"/>
        <w:keepNext/>
        <w:spacing w:after="120" w:before="280"/>
      </w:pPr>
      <w:r>
        <w:rPr>
          <w:rFonts w:ascii="DM Serif Display" w:cs="DM Serif Display" w:eastAsia="DM Serif Display" w:hAnsi="DM Serif Display"/>
          <w:color w:val="123C48"/>
          <w:sz w:val="28"/>
          <w:szCs w:val="28"/>
        </w:rPr>
        <w:t xml:space="preserve">11. No captación y otras actividades</w:t>
      </w:r>
    </w:p>
    <w:p>
      <w:pPr>
        <w:pStyle w:val="ListParagraph"/>
        <w:numPr>
          <w:ilvl w:val="0"/>
          <w:numId w:val="15"/>
        </w:numPr>
        <w:spacing w:after="80" w:line="290"/>
      </w:pPr>
      <w:r>
        <w:rPr>
          <w:rFonts w:ascii="Nunito Sans" w:cs="Nunito Sans" w:eastAsia="Nunito Sans" w:hAnsi="Nunito Sans"/>
          <w:color w:val="102E3B"/>
          <w:sz w:val="20"/>
          <w:szCs w:val="20"/>
        </w:rPr>
        <w:t xml:space="preserve">Mientras sea Persona Fundadora, y durante los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siguientes a su Fecha de Salida, una Persona Fundadora no:</w:t>
      </w:r>
    </w:p>
    <w:p>
      <w:pPr>
        <w:pStyle w:val="ListParagraph"/>
        <w:numPr>
          <w:ilvl w:val="1"/>
          <w:numId w:val="15"/>
        </w:numPr>
        <w:spacing w:after="80" w:line="290"/>
      </w:pPr>
      <w:r>
        <w:rPr>
          <w:rFonts w:ascii="Nunito Sans" w:cs="Nunito Sans" w:eastAsia="Nunito Sans" w:hAnsi="Nunito Sans"/>
          <w:color w:val="102E3B"/>
          <w:sz w:val="20"/>
          <w:szCs w:val="20"/>
        </w:rPr>
        <w:t xml:space="preserve">persuadirá a ninguna persona empleada, voluntaria o contratista de la Organización para que la abandone; ni</w:t>
      </w:r>
    </w:p>
    <w:p>
      <w:pPr>
        <w:pStyle w:val="ListParagraph"/>
        <w:numPr>
          <w:ilvl w:val="1"/>
          <w:numId w:val="15"/>
        </w:numPr>
        <w:spacing w:after="80" w:line="290"/>
      </w:pPr>
      <w:r>
        <w:rPr>
          <w:rFonts w:ascii="Nunito Sans" w:cs="Nunito Sans" w:eastAsia="Nunito Sans" w:hAnsi="Nunito Sans"/>
          <w:color w:val="102E3B"/>
          <w:sz w:val="20"/>
          <w:szCs w:val="20"/>
        </w:rPr>
        <w:t xml:space="preserve">persuadirá a ningún financiador, socio o cliente de la Organización para que interrumpa o reduzca su apoyo, o lo traslade a otra organización en la que participe la Persona Fundadora.</w:t>
      </w:r>
    </w:p>
    <w:p>
      <w:pPr>
        <w:pStyle w:val="ListParagraph"/>
        <w:numPr>
          <w:ilvl w:val="0"/>
          <w:numId w:val="15"/>
        </w:numPr>
        <w:spacing w:after="80" w:line="290"/>
      </w:pPr>
      <w:r>
        <w:rPr>
          <w:rFonts w:ascii="Nunito Sans" w:cs="Nunito Sans" w:eastAsia="Nunito Sans" w:hAnsi="Nunito Sans"/>
          <w:color w:val="102E3B"/>
          <w:sz w:val="20"/>
          <w:szCs w:val="20"/>
        </w:rPr>
        <w:t xml:space="preserve">Las Personas Fundadoras pueden tener otros trabajos e intereses, retribuidos o no, siempre que los declaren en el Anexo 1, dediquen el tiempo acordado y eviten conflictos conforme a la Política de Conflictos de Interés.</w:t>
      </w:r>
    </w:p>
    <w:p>
      <w:pPr>
        <w:pStyle w:val="ListParagraph"/>
        <w:numPr>
          <w:ilvl w:val="0"/>
          <w:numId w:val="15"/>
        </w:numPr>
        <w:spacing w:after="80" w:line="290"/>
      </w:pPr>
      <w:r>
        <w:rPr>
          <w:rFonts w:ascii="Nunito Sans" w:cs="Nunito Sans" w:eastAsia="Nunito Sans" w:hAnsi="Nunito Sans"/>
          <w:color w:val="102E3B"/>
          <w:sz w:val="20"/>
          <w:szCs w:val="20"/>
        </w:rPr>
        <w:t xml:space="preserve">Una Persona Fundadora no creará ni se incorporará a una organización que realice sustancialmente el mismo trabajo en </w:t>
      </w:r>
      <w:r>
        <w:rPr>
          <w:rFonts w:ascii="Nunito Sans" w:cs="Nunito Sans" w:eastAsia="Nunito Sans" w:hAnsi="Nunito Sans"/>
          <w:color w:val="102E3B"/>
          <w:sz w:val="20"/>
          <w:szCs w:val="20"/>
          <w:highlight w:val="yellow"/>
        </w:rPr>
        <w:t xml:space="preserve">[los mismos países]</w:t>
      </w:r>
      <w:r>
        <w:rPr>
          <w:rFonts w:ascii="Nunito Sans" w:cs="Nunito Sans" w:eastAsia="Nunito Sans" w:hAnsi="Nunito Sans"/>
          <w:color w:val="102E3B"/>
          <w:sz w:val="20"/>
          <w:szCs w:val="20"/>
        </w:rPr>
        <w:t xml:space="preserve"> mientras sea Persona Fundadora, sin el acuerdo por escrito de las demás Personas Fundadoras.</w:t>
      </w:r>
    </w:p>
    <w:p>
      <w:pPr>
        <w:pStyle w:val="ListParagraph"/>
        <w:numPr>
          <w:ilvl w:val="0"/>
          <w:numId w:val="15"/>
        </w:numPr>
        <w:spacing w:after="80" w:line="290"/>
      </w:pPr>
      <w:r>
        <w:rPr>
          <w:rFonts w:ascii="Nunito Sans" w:cs="Nunito Sans" w:eastAsia="Nunito Sans" w:hAnsi="Nunito Sans"/>
          <w:color w:val="102E3B"/>
          <w:sz w:val="20"/>
          <w:szCs w:val="20"/>
          <w:highlight w:val="yellow"/>
        </w:rPr>
        <w:t xml:space="preserve">[Opcional y sujeto a la ley local: durante los 12 meses siguientes a su Fecha de Salida, una Persona Fundadora que haya sido titular de Acciones no creará ni trabajará para un competidor directo en los países indicados.]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CLÁUSULAS DE NO COMPETENCIA Y DE NO CAPTACIÓN</w:t>
            </w:r>
          </w:p>
          <w:p>
            <w:pPr>
              <w:spacing w:after="120" w:before="0" w:line="300"/>
            </w:pPr>
            <w:r>
              <w:rPr>
                <w:rFonts w:ascii="Nunito Sans" w:cs="Nunito Sans" w:eastAsia="Nunito Sans" w:hAnsi="Nunito Sans"/>
                <w:color w:val="102E3B"/>
                <w:sz w:val="19"/>
                <w:szCs w:val="19"/>
              </w:rPr>
              <w:t xml:space="preserve">Su exigibilidad varía mucho. Muchos tribunales solo hacen cumplir las restricciones si protegen un interés legítimo, están limitadas en el tiempo, el lugar y el alcance, y no van más allá de lo necesario. California declara nulas la mayoría de las cláusulas de no competencia, con excepciones limitadas para quienes venden su participación en un negocio. En el Reino Unido se han propuesto reformas para limitar las cláusulas de no competencia; consulta la situación vigente. Varios países de tradición civilista exigen que se pague a la antigua socia, socio o persona empleada durante el período de restricción. En el sector social, una cláusula de no competencia amplia también puede perjudicar a las comunidades a las que sirves. Una cláusula de no captación limitada, como la anterior, tiene más probabilidades de ser exigible y suele ser suficiente.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Dinero: inversión, préstamos, retribución y gastos</w:t>
      </w:r>
    </w:p>
    <w:p>
      <w:pPr>
        <w:pStyle w:val="ListParagraph"/>
        <w:numPr>
          <w:ilvl w:val="0"/>
          <w:numId w:val="16"/>
        </w:numPr>
        <w:spacing w:after="80" w:line="290"/>
      </w:pPr>
      <w:r>
        <w:rPr>
          <w:rFonts w:ascii="Nunito Sans" w:cs="Nunito Sans" w:eastAsia="Nunito Sans" w:hAnsi="Nunito Sans"/>
          <w:color w:val="102E3B"/>
          <w:sz w:val="20"/>
          <w:szCs w:val="20"/>
        </w:rPr>
        <w:t xml:space="preserve">Cada Persona Fundadora aportará a la Organización el siguiente dinero o bienes: </w:t>
      </w:r>
      <w:r>
        <w:rPr>
          <w:rFonts w:ascii="Nunito Sans" w:cs="Nunito Sans" w:eastAsia="Nunito Sans" w:hAnsi="Nunito Sans"/>
          <w:color w:val="102E3B"/>
          <w:sz w:val="20"/>
          <w:szCs w:val="20"/>
          <w:highlight w:val="yellow"/>
        </w:rPr>
        <w:t xml:space="preserve">[importes, elementos y fechas, o "Ninguno"]</w:t>
      </w:r>
      <w:r>
        <w:rPr>
          <w:rFonts w:ascii="Nunito Sans" w:cs="Nunito Sans" w:eastAsia="Nunito Sans" w:hAnsi="Nunito Sans"/>
          <w:color w:val="102E3B"/>
          <w:sz w:val="20"/>
          <w:szCs w:val="20"/>
        </w:rPr>
        <w:t xml:space="preserve">. Estas aportaciones se registran en el Anexo 3.</w:t>
      </w:r>
    </w:p>
    <w:p>
      <w:pPr>
        <w:pStyle w:val="ListParagraph"/>
        <w:numPr>
          <w:ilvl w:val="0"/>
          <w:numId w:val="16"/>
        </w:numPr>
        <w:spacing w:after="80" w:line="290"/>
      </w:pPr>
      <w:r>
        <w:rPr>
          <w:rFonts w:ascii="Nunito Sans" w:cs="Nunito Sans" w:eastAsia="Nunito Sans" w:hAnsi="Nunito Sans"/>
          <w:b/>
          <w:bCs/>
          <w:color w:val="102E3B"/>
          <w:sz w:val="20"/>
          <w:szCs w:val="20"/>
        </w:rPr>
        <w:t xml:space="preserve">Opción A:</w:t>
      </w:r>
      <w:r>
        <w:rPr>
          <w:rFonts w:ascii="Nunito Sans" w:cs="Nunito Sans" w:eastAsia="Nunito Sans" w:hAnsi="Nunito Sans"/>
          <w:color w:val="102E3B"/>
          <w:sz w:val="20"/>
          <w:szCs w:val="20"/>
        </w:rPr>
        <w:t xml:space="preserve"> el dinero aportado es </w:t>
      </w:r>
      <w:r>
        <w:rPr>
          <w:rFonts w:ascii="Nunito Sans" w:cs="Nunito Sans" w:eastAsia="Nunito Sans" w:hAnsi="Nunito Sans"/>
          <w:color w:val="102E3B"/>
          <w:sz w:val="20"/>
          <w:szCs w:val="20"/>
          <w:highlight w:val="yellow"/>
        </w:rPr>
        <w:t xml:space="preserve">[pago por Acciones / un préstamo / una donación]</w:t>
      </w:r>
      <w:r>
        <w:rPr>
          <w:rFonts w:ascii="Nunito Sans" w:cs="Nunito Sans" w:eastAsia="Nunito Sans" w:hAnsi="Nunito Sans"/>
          <w:color w:val="102E3B"/>
          <w:sz w:val="20"/>
          <w:szCs w:val="20"/>
        </w:rPr>
        <w:t xml:space="preserve">, según se registra en el Anexo 3. </w:t>
      </w:r>
      <w:r>
        <w:rPr>
          <w:rFonts w:ascii="Nunito Sans" w:cs="Nunito Sans" w:eastAsia="Nunito Sans" w:hAnsi="Nunito Sans"/>
          <w:b/>
          <w:bCs/>
          <w:color w:val="102E3B"/>
          <w:sz w:val="20"/>
          <w:szCs w:val="20"/>
        </w:rPr>
        <w:t xml:space="preserve">Opción B:</w:t>
      </w:r>
      <w:r>
        <w:rPr>
          <w:rFonts w:ascii="Nunito Sans" w:cs="Nunito Sans" w:eastAsia="Nunito Sans" w:hAnsi="Nunito Sans"/>
          <w:color w:val="102E3B"/>
          <w:sz w:val="20"/>
          <w:szCs w:val="20"/>
        </w:rPr>
        <w:t xml:space="preserve"> el dinero aportado es </w:t>
      </w:r>
      <w:r>
        <w:rPr>
          <w:rFonts w:ascii="Nunito Sans" w:cs="Nunito Sans" w:eastAsia="Nunito Sans" w:hAnsi="Nunito Sans"/>
          <w:color w:val="102E3B"/>
          <w:sz w:val="20"/>
          <w:szCs w:val="20"/>
          <w:highlight w:val="yellow"/>
        </w:rPr>
        <w:t xml:space="preserve">[una donación / un préstamo]</w:t>
      </w:r>
      <w:r>
        <w:rPr>
          <w:rFonts w:ascii="Nunito Sans" w:cs="Nunito Sans" w:eastAsia="Nunito Sans" w:hAnsi="Nunito Sans"/>
          <w:color w:val="102E3B"/>
          <w:sz w:val="20"/>
          <w:szCs w:val="20"/>
        </w:rPr>
        <w:t xml:space="preserve">; no otorga a la Persona Fundadora ninguna titularidad ni voto adicional.</w:t>
      </w:r>
    </w:p>
    <w:p>
      <w:pPr>
        <w:pStyle w:val="ListParagraph"/>
        <w:numPr>
          <w:ilvl w:val="0"/>
          <w:numId w:val="16"/>
        </w:numPr>
        <w:spacing w:after="80" w:line="290"/>
      </w:pPr>
      <w:r>
        <w:rPr>
          <w:rFonts w:ascii="Nunito Sans" w:cs="Nunito Sans" w:eastAsia="Nunito Sans" w:hAnsi="Nunito Sans"/>
          <w:color w:val="102E3B"/>
          <w:sz w:val="20"/>
          <w:szCs w:val="20"/>
        </w:rPr>
        <w:t xml:space="preserve">Un préstamo de una Persona Fundadora se concede en condiciones escritas aprobadas conforme a la cláusula 4, que indican el importe, los intereses (si los hay) y la devolución. Los préstamos solo se devuelven cuando la Organización pueda permitírselo y después de cumplir sus obligaciones con el personal, las autoridades fiscales y los financiadores, salvo acuerdo en contrario.</w:t>
      </w:r>
    </w:p>
    <w:p>
      <w:pPr>
        <w:pStyle w:val="ListParagraph"/>
        <w:numPr>
          <w:ilvl w:val="0"/>
          <w:numId w:val="16"/>
        </w:numPr>
        <w:spacing w:after="80" w:line="290"/>
      </w:pPr>
      <w:r>
        <w:rPr>
          <w:rFonts w:ascii="Nunito Sans" w:cs="Nunito Sans" w:eastAsia="Nunito Sans" w:hAnsi="Nunito Sans"/>
          <w:color w:val="102E3B"/>
          <w:sz w:val="20"/>
          <w:szCs w:val="20"/>
        </w:rPr>
        <w:t xml:space="preserve">Las Personas Fundadoras serán retribuidas de la siguiente manera: </w:t>
      </w:r>
      <w:r>
        <w:rPr>
          <w:rFonts w:ascii="Nunito Sans" w:cs="Nunito Sans" w:eastAsia="Nunito Sans" w:hAnsi="Nunito Sans"/>
          <w:color w:val="102E3B"/>
          <w:sz w:val="20"/>
          <w:szCs w:val="20"/>
          <w:highlight w:val="yellow"/>
        </w:rPr>
        <w:t xml:space="preserve">[ninguna Persona Fundadora cobra hasta que la Organización obtenga una financiación de importe / las Personas Fundadoras indicadas cobran el salario o los honorarios fijados en el Anexo 1]</w:t>
      </w:r>
      <w:r>
        <w:rPr>
          <w:rFonts w:ascii="Nunito Sans" w:cs="Nunito Sans" w:eastAsia="Nunito Sans" w:hAnsi="Nunito Sans"/>
          <w:color w:val="102E3B"/>
          <w:sz w:val="20"/>
          <w:szCs w:val="20"/>
        </w:rPr>
        <w:t xml:space="preserve">. Toda retribución se revisa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y se aprueba conforme a la cláusula 4.3 </w:t>
      </w:r>
      <w:r>
        <w:rPr>
          <w:rFonts w:ascii="Nunito Sans" w:cs="Nunito Sans" w:eastAsia="Nunito Sans" w:hAnsi="Nunito Sans"/>
          <w:color w:val="102E3B"/>
          <w:sz w:val="20"/>
          <w:szCs w:val="20"/>
          <w:highlight w:val="yellow"/>
        </w:rPr>
        <w:t xml:space="preserve">[y por los miembros independientes del Órgano de Gobierno]</w:t>
      </w:r>
      <w:r>
        <w:rPr>
          <w:rFonts w:ascii="Nunito Sans" w:cs="Nunito Sans" w:eastAsia="Nunito Sans" w:hAnsi="Nunito Sans"/>
          <w:color w:val="102E3B"/>
          <w:sz w:val="20"/>
          <w:szCs w:val="20"/>
        </w:rPr>
        <w:t xml:space="preserve">.</w:t>
      </w:r>
    </w:p>
    <w:p>
      <w:pPr>
        <w:pStyle w:val="ListParagraph"/>
        <w:numPr>
          <w:ilvl w:val="0"/>
          <w:numId w:val="16"/>
        </w:numPr>
        <w:spacing w:after="80" w:line="290"/>
      </w:pPr>
      <w:r>
        <w:rPr>
          <w:rFonts w:ascii="Nunito Sans" w:cs="Nunito Sans" w:eastAsia="Nunito Sans" w:hAnsi="Nunito Sans"/>
          <w:color w:val="102E3B"/>
          <w:sz w:val="20"/>
          <w:szCs w:val="20"/>
        </w:rPr>
        <w:t xml:space="preserve">A las Personas Fundadoras se les reembolsan los gastos razonables, al costo y con comprobantes, conforme a la Política de Gastos y Viáticos.</w:t>
      </w:r>
    </w:p>
    <w:p>
      <w:pPr>
        <w:pStyle w:val="ListParagraph"/>
        <w:numPr>
          <w:ilvl w:val="0"/>
          <w:numId w:val="16"/>
        </w:numPr>
        <w:spacing w:after="80" w:line="290"/>
      </w:pPr>
      <w:r>
        <w:rPr>
          <w:rFonts w:ascii="Nunito Sans" w:cs="Nunito Sans" w:eastAsia="Nunito Sans" w:hAnsi="Nunito Sans"/>
          <w:color w:val="102E3B"/>
          <w:sz w:val="20"/>
          <w:szCs w:val="20"/>
        </w:rPr>
        <w:t xml:space="preserve">Ninguna Persona Fundadora puede comprometer a la Organización a un gasto superior a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sin aprobación conforme a la Matriz de Delegación de Autoridad. Todo el dinero de la Organización se mantiene en cuentas a nombre de la Organización, con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firmantes autorizados.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DINERO ENTRE LAS PERSONAS FUNDADORAS Y LA ORGANIZACIÓN</w:t>
            </w:r>
          </w:p>
          <w:p>
            <w:pPr>
              <w:spacing w:after="120" w:before="0" w:line="300"/>
            </w:pPr>
            <w:r>
              <w:rPr>
                <w:rFonts w:ascii="Nunito Sans" w:cs="Nunito Sans" w:eastAsia="Nunito Sans" w:hAnsi="Nunito Sans"/>
                <w:color w:val="102E3B"/>
                <w:sz w:val="19"/>
                <w:szCs w:val="19"/>
              </w:rPr>
              <w:t xml:space="preserve">Deja por escrito cada importe que aporte una persona fundadora, y si es una donación, un préstamo o un pago por acciones. El dinero no registrado es una causa habitual de conflictos. Los préstamos de personas fundadoras a entidades sin ánimo de lucro pueden generar conflictos de interés, por lo que deben aprobarlos los miembros independientes del órgano de gobierno. En muchos países se permite retribuir a las personas fundadoras de una entidad sin ánimo de lucro por un trabajo real a una tarifa razonable, pero debe aprobarlo quien no tenga conflicto de interés y debe informarse en las cuentas. Los pagos a personas fundadoras también pueden requerir un tratamiento fiscal y de seguridad social como rentas del trabajo.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Incorporación de nuevas personas cofundadoras</w:t>
      </w:r>
    </w:p>
    <w:p>
      <w:pPr>
        <w:pStyle w:val="ListParagraph"/>
        <w:numPr>
          <w:ilvl w:val="0"/>
          <w:numId w:val="17"/>
        </w:numPr>
        <w:spacing w:after="80" w:line="290"/>
      </w:pPr>
      <w:r>
        <w:rPr>
          <w:rFonts w:ascii="Nunito Sans" w:cs="Nunito Sans" w:eastAsia="Nunito Sans" w:hAnsi="Nunito Sans"/>
          <w:color w:val="102E3B"/>
          <w:sz w:val="20"/>
          <w:szCs w:val="20"/>
        </w:rPr>
        <w:t xml:space="preserve">Una nueva Persona Fundadora solo puede incorporarse con el acuerdo unánime y por escrito de las Personas Fundadoras existentes.</w:t>
      </w:r>
    </w:p>
    <w:p>
      <w:pPr>
        <w:pStyle w:val="ListParagraph"/>
        <w:numPr>
          <w:ilvl w:val="0"/>
          <w:numId w:val="17"/>
        </w:numPr>
        <w:spacing w:after="80" w:line="290"/>
      </w:pPr>
      <w:r>
        <w:rPr>
          <w:rFonts w:ascii="Nunito Sans" w:cs="Nunito Sans" w:eastAsia="Nunito Sans" w:hAnsi="Nunito Sans"/>
          <w:color w:val="102E3B"/>
          <w:sz w:val="20"/>
          <w:szCs w:val="20"/>
        </w:rPr>
        <w:t xml:space="preserve">La nueva Persona Fundadora debe firmar un documento de adhesión por el que acepta quedar obligada por este acuerdo, y las Personas Fundadoras actualizarán los Anexos 1 a 3.</w:t>
      </w:r>
    </w:p>
    <w:p>
      <w:pPr>
        <w:pStyle w:val="ListParagraph"/>
        <w:numPr>
          <w:ilvl w:val="0"/>
          <w:numId w:val="17"/>
        </w:numPr>
        <w:spacing w:after="80" w:line="290"/>
      </w:pPr>
      <w:r>
        <w:rPr>
          <w:rFonts w:ascii="Nunito Sans" w:cs="Nunito Sans" w:eastAsia="Nunito Sans" w:hAnsi="Nunito Sans"/>
          <w:b/>
          <w:bCs/>
          <w:color w:val="102E3B"/>
          <w:sz w:val="20"/>
          <w:szCs w:val="20"/>
        </w:rPr>
        <w:t xml:space="preserve">Opción A:</w:t>
      </w:r>
      <w:r>
        <w:rPr>
          <w:rFonts w:ascii="Nunito Sans" w:cs="Nunito Sans" w:eastAsia="Nunito Sans" w:hAnsi="Nunito Sans"/>
          <w:color w:val="102E3B"/>
          <w:sz w:val="20"/>
          <w:szCs w:val="20"/>
        </w:rPr>
        <w:t xml:space="preserve"> las Acciones emitidas a la nueva Persona Fundadora están sujetas a consolidación conforme a la cláusula 7, desde la fecha de su incorporación. </w:t>
      </w:r>
      <w:r>
        <w:rPr>
          <w:rFonts w:ascii="Nunito Sans" w:cs="Nunito Sans" w:eastAsia="Nunito Sans" w:hAnsi="Nunito Sans"/>
          <w:b/>
          <w:bCs/>
          <w:color w:val="102E3B"/>
          <w:sz w:val="20"/>
          <w:szCs w:val="20"/>
        </w:rPr>
        <w:t xml:space="preserve">Opción B:</w:t>
      </w:r>
      <w:r>
        <w:rPr>
          <w:rFonts w:ascii="Nunito Sans" w:cs="Nunito Sans" w:eastAsia="Nunito Sans" w:hAnsi="Nunito Sans"/>
          <w:color w:val="102E3B"/>
          <w:sz w:val="20"/>
          <w:szCs w:val="20"/>
        </w:rPr>
        <w:t xml:space="preserve"> el puesto de gobierno de la nueva Persona Fundadora, si lo tiene, se rige por el Documento Constitutivo.</w:t>
      </w:r>
    </w:p>
    <w:p>
      <w:pPr>
        <w:pStyle w:val="Heading2"/>
        <w:keepNext/>
        <w:spacing w:after="120" w:before="280"/>
      </w:pPr>
      <w:r>
        <w:rPr>
          <w:rFonts w:ascii="DM Serif Display" w:cs="DM Serif Display" w:eastAsia="DM Serif Display" w:hAnsi="DM Serif Display"/>
          <w:color w:val="123C48"/>
          <w:sz w:val="28"/>
          <w:szCs w:val="28"/>
        </w:rPr>
        <w:t xml:space="preserve">14. Salida: preaviso y traspaso</w:t>
      </w:r>
    </w:p>
    <w:p>
      <w:pPr>
        <w:pStyle w:val="ListParagraph"/>
        <w:numPr>
          <w:ilvl w:val="0"/>
          <w:numId w:val="18"/>
        </w:numPr>
        <w:spacing w:after="80" w:line="290"/>
      </w:pPr>
      <w:r>
        <w:rPr>
          <w:rFonts w:ascii="Nunito Sans" w:cs="Nunito Sans" w:eastAsia="Nunito Sans" w:hAnsi="Nunito Sans"/>
          <w:color w:val="102E3B"/>
          <w:sz w:val="20"/>
          <w:szCs w:val="20"/>
        </w:rPr>
        <w:t xml:space="preserve">Una Persona Fundadora que desee irse dará a las demás Personas Fundadoras un preaviso por escrito de al menos </w:t>
      </w:r>
      <w:r>
        <w:rPr>
          <w:rFonts w:ascii="Nunito Sans" w:cs="Nunito Sans" w:eastAsia="Nunito Sans" w:hAnsi="Nunito Sans"/>
          <w:color w:val="102E3B"/>
          <w:sz w:val="20"/>
          <w:szCs w:val="20"/>
          <w:highlight w:val="yellow"/>
        </w:rPr>
        <w:t xml:space="preserve">[tres meses]</w:t>
      </w:r>
      <w:r>
        <w:rPr>
          <w:rFonts w:ascii="Nunito Sans" w:cs="Nunito Sans" w:eastAsia="Nunito Sans" w:hAnsi="Nunito Sans"/>
          <w:color w:val="102E3B"/>
          <w:sz w:val="20"/>
          <w:szCs w:val="20"/>
        </w:rPr>
        <w:t xml:space="preserve">, salvo que acuerden un plazo más corto.</w:t>
      </w:r>
    </w:p>
    <w:p>
      <w:pPr>
        <w:pStyle w:val="ListParagraph"/>
        <w:numPr>
          <w:ilvl w:val="0"/>
          <w:numId w:val="18"/>
        </w:numPr>
        <w:spacing w:after="80" w:line="290"/>
      </w:pPr>
      <w:r>
        <w:rPr>
          <w:rFonts w:ascii="Nunito Sans" w:cs="Nunito Sans" w:eastAsia="Nunito Sans" w:hAnsi="Nunito Sans"/>
          <w:color w:val="102E3B"/>
          <w:sz w:val="20"/>
          <w:szCs w:val="20"/>
        </w:rPr>
        <w:t xml:space="preserve">Durante el preaviso, la Persona Fundadora saliente traspasará de forma ordenada su trabajo, conocimientos, contactos, contraseñas y documentos, siguiendo un plan de traspaso acordado con las demás Personas Fundadoras en los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siguientes al preaviso.</w:t>
      </w:r>
    </w:p>
    <w:p>
      <w:pPr>
        <w:pStyle w:val="ListParagraph"/>
        <w:numPr>
          <w:ilvl w:val="0"/>
          <w:numId w:val="18"/>
        </w:numPr>
        <w:spacing w:after="80" w:line="290"/>
      </w:pPr>
      <w:r>
        <w:rPr>
          <w:rFonts w:ascii="Nunito Sans" w:cs="Nunito Sans" w:eastAsia="Nunito Sans" w:hAnsi="Nunito Sans"/>
          <w:color w:val="102E3B"/>
          <w:sz w:val="20"/>
          <w:szCs w:val="20"/>
        </w:rPr>
        <w:t xml:space="preserve">Una Persona Fundadora que se va renuncia a cualquier puesto en el Órgano de Gobierno, cargo o poder bancario que ostente por su rol de Persona Fundadora, salvo que las Personas Fundadoras restantes y el Órgano de Gobierno le pidan que continúe.</w:t>
      </w:r>
    </w:p>
    <w:p>
      <w:pPr>
        <w:pStyle w:val="ListParagraph"/>
        <w:numPr>
          <w:ilvl w:val="0"/>
          <w:numId w:val="18"/>
        </w:numPr>
        <w:spacing w:after="80" w:line="290"/>
      </w:pPr>
      <w:r>
        <w:rPr>
          <w:rFonts w:ascii="Nunito Sans" w:cs="Nunito Sans" w:eastAsia="Nunito Sans" w:hAnsi="Nunito Sans"/>
          <w:color w:val="102E3B"/>
          <w:sz w:val="20"/>
          <w:szCs w:val="20"/>
        </w:rPr>
        <w:t xml:space="preserve">Si una Persona Fundadora fallece o queda permanentemente incapacitada para trabajar, las demás Personas Fundadoras tratarán con consideración a su familia o representantes y aplicarán las condiciones de Salida Justificada.</w:t>
      </w:r>
    </w:p>
    <w:p>
      <w:pPr>
        <w:pStyle w:val="ListParagraph"/>
        <w:numPr>
          <w:ilvl w:val="0"/>
          <w:numId w:val="18"/>
        </w:numPr>
        <w:spacing w:after="80" w:line="290"/>
      </w:pPr>
      <w:r>
        <w:rPr>
          <w:rFonts w:ascii="Nunito Sans" w:cs="Nunito Sans" w:eastAsia="Nunito Sans" w:hAnsi="Nunito Sans"/>
          <w:color w:val="102E3B"/>
          <w:sz w:val="20"/>
          <w:szCs w:val="20"/>
        </w:rPr>
        <w:t xml:space="preserve">Las Personas Fundadoras pueden acordar, por decisión unánime de las demás, apartar a una Persona Fundadora en situación de Salida Injustificada, tras comunicarle los motivos por escrito y darle una oportunidad justa de responder.</w:t>
      </w:r>
    </w:p>
    <w:p>
      <w:pPr>
        <w:pStyle w:val="Heading2"/>
        <w:keepNext/>
        <w:spacing w:after="120" w:before="280"/>
      </w:pPr>
      <w:r>
        <w:rPr>
          <w:rFonts w:ascii="DM Serif Display" w:cs="DM Serif Display" w:eastAsia="DM Serif Display" w:hAnsi="DM Serif Display"/>
          <w:color w:val="123C48"/>
          <w:sz w:val="28"/>
          <w:szCs w:val="28"/>
        </w:rPr>
        <w:t xml:space="preserve">15. Salida justificada y salida injustificada</w:t>
      </w:r>
    </w:p>
    <w:p>
      <w:pPr>
        <w:pStyle w:val="ListParagraph"/>
        <w:numPr>
          <w:ilvl w:val="0"/>
          <w:numId w:val="19"/>
        </w:numPr>
        <w:spacing w:after="80" w:line="290"/>
      </w:pPr>
      <w:r>
        <w:rPr>
          <w:rFonts w:ascii="Nunito Sans" w:cs="Nunito Sans" w:eastAsia="Nunito Sans" w:hAnsi="Nunito Sans"/>
          <w:color w:val="102E3B"/>
          <w:sz w:val="20"/>
          <w:szCs w:val="20"/>
        </w:rPr>
        <w:t xml:space="preserve">Hay </w:t>
      </w:r>
      <w:r>
        <w:rPr>
          <w:rFonts w:ascii="Nunito Sans" w:cs="Nunito Sans" w:eastAsia="Nunito Sans" w:hAnsi="Nunito Sans"/>
          <w:b/>
          <w:bCs/>
          <w:color w:val="102E3B"/>
          <w:sz w:val="20"/>
          <w:szCs w:val="20"/>
        </w:rPr>
        <w:t xml:space="preserve">Salida Justificada</w:t>
      </w:r>
      <w:r>
        <w:rPr>
          <w:rFonts w:ascii="Nunito Sans" w:cs="Nunito Sans" w:eastAsia="Nunito Sans" w:hAnsi="Nunito Sans"/>
          <w:color w:val="102E3B"/>
          <w:sz w:val="20"/>
          <w:szCs w:val="20"/>
        </w:rPr>
        <w:t xml:space="preserve"> (good leaver) cuando una Persona Fundadora se va por fallecimiento, enfermedad grave o discapacidad, responsabilidades de cuidado, apartamiento sin causa o cualquier otro motivo que las demás Personas Fundadoras acepten por escrito.</w:t>
      </w:r>
    </w:p>
    <w:p>
      <w:pPr>
        <w:pStyle w:val="ListParagraph"/>
        <w:numPr>
          <w:ilvl w:val="0"/>
          <w:numId w:val="19"/>
        </w:numPr>
        <w:spacing w:after="80" w:line="290"/>
      </w:pPr>
      <w:r>
        <w:rPr>
          <w:rFonts w:ascii="Nunito Sans" w:cs="Nunito Sans" w:eastAsia="Nunito Sans" w:hAnsi="Nunito Sans"/>
          <w:color w:val="102E3B"/>
          <w:sz w:val="20"/>
          <w:szCs w:val="20"/>
        </w:rPr>
        <w:t xml:space="preserve">Hay </w:t>
      </w:r>
      <w:r>
        <w:rPr>
          <w:rFonts w:ascii="Nunito Sans" w:cs="Nunito Sans" w:eastAsia="Nunito Sans" w:hAnsi="Nunito Sans"/>
          <w:b/>
          <w:bCs/>
          <w:color w:val="102E3B"/>
          <w:sz w:val="20"/>
          <w:szCs w:val="20"/>
        </w:rPr>
        <w:t xml:space="preserve">Salida Injustificada</w:t>
      </w:r>
      <w:r>
        <w:rPr>
          <w:rFonts w:ascii="Nunito Sans" w:cs="Nunito Sans" w:eastAsia="Nunito Sans" w:hAnsi="Nunito Sans"/>
          <w:color w:val="102E3B"/>
          <w:sz w:val="20"/>
          <w:szCs w:val="20"/>
        </w:rPr>
        <w:t xml:space="preserve"> (bad leaver) cuando una Persona Fundadora:</w:t>
      </w:r>
    </w:p>
    <w:p>
      <w:pPr>
        <w:pStyle w:val="ListParagraph"/>
        <w:numPr>
          <w:ilvl w:val="1"/>
          <w:numId w:val="19"/>
        </w:numPr>
        <w:spacing w:after="80" w:line="290"/>
      </w:pPr>
      <w:r>
        <w:rPr>
          <w:rFonts w:ascii="Nunito Sans" w:cs="Nunito Sans" w:eastAsia="Nunito Sans" w:hAnsi="Nunito Sans"/>
          <w:color w:val="102E3B"/>
          <w:sz w:val="20"/>
          <w:szCs w:val="20"/>
        </w:rPr>
        <w:t xml:space="preserve">se va dentro de los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siguientes a </w:t>
      </w:r>
      <w:r>
        <w:rPr>
          <w:rFonts w:ascii="Nunito Sans" w:cs="Nunito Sans" w:eastAsia="Nunito Sans" w:hAnsi="Nunito Sans"/>
          <w:color w:val="102E3B"/>
          <w:sz w:val="20"/>
          <w:szCs w:val="20"/>
          <w:highlight w:val="yellow"/>
        </w:rPr>
        <w:t xml:space="preserve">[la Fecha de Inicio de la Consolidación (Opción A) / la fecha de este acuerdo (Opción B)]</w:t>
      </w:r>
      <w:r>
        <w:rPr>
          <w:rFonts w:ascii="Nunito Sans" w:cs="Nunito Sans" w:eastAsia="Nunito Sans" w:hAnsi="Nunito Sans"/>
          <w:color w:val="102E3B"/>
          <w:sz w:val="20"/>
          <w:szCs w:val="20"/>
        </w:rPr>
        <w:t xml:space="preserve"> por un motivo no previsto en el apartado 1;</w:t>
      </w:r>
    </w:p>
    <w:p>
      <w:pPr>
        <w:pStyle w:val="ListParagraph"/>
        <w:numPr>
          <w:ilvl w:val="1"/>
          <w:numId w:val="19"/>
        </w:numPr>
        <w:spacing w:after="80" w:line="290"/>
      </w:pPr>
      <w:r>
        <w:rPr>
          <w:rFonts w:ascii="Nunito Sans" w:cs="Nunito Sans" w:eastAsia="Nunito Sans" w:hAnsi="Nunito Sans"/>
          <w:color w:val="102E3B"/>
          <w:sz w:val="20"/>
          <w:szCs w:val="20"/>
        </w:rPr>
        <w:t xml:space="preserve">es apartada tras cometer fraude, robo, explotación, abuso o acoso sexuales, u otro incumplimiento grave del Código de Conducta;</w:t>
      </w:r>
    </w:p>
    <w:p>
      <w:pPr>
        <w:pStyle w:val="ListParagraph"/>
        <w:numPr>
          <w:ilvl w:val="1"/>
          <w:numId w:val="19"/>
        </w:numPr>
        <w:spacing w:after="80" w:line="290"/>
      </w:pPr>
      <w:r>
        <w:rPr>
          <w:rFonts w:ascii="Nunito Sans" w:cs="Nunito Sans" w:eastAsia="Nunito Sans" w:hAnsi="Nunito Sans"/>
          <w:color w:val="102E3B"/>
          <w:sz w:val="20"/>
          <w:szCs w:val="20"/>
        </w:rPr>
        <w:t xml:space="preserve">comete un incumplimiento grave o reiterado de este acuerdo y no lo subsana en los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siguientes a la notificación por escrito; o</w:t>
      </w:r>
    </w:p>
    <w:p>
      <w:pPr>
        <w:pStyle w:val="ListParagraph"/>
        <w:numPr>
          <w:ilvl w:val="1"/>
          <w:numId w:val="19"/>
        </w:numPr>
        <w:spacing w:after="80" w:line="290"/>
      </w:pPr>
      <w:r>
        <w:rPr>
          <w:rFonts w:ascii="Nunito Sans" w:cs="Nunito Sans" w:eastAsia="Nunito Sans" w:hAnsi="Nunito Sans"/>
          <w:color w:val="102E3B"/>
          <w:sz w:val="20"/>
          <w:szCs w:val="20"/>
        </w:rPr>
        <w:t xml:space="preserve">incumple de forma sustancial la cláusula 10 o la cláusula 11.</w:t>
      </w:r>
    </w:p>
    <w:p>
      <w:pPr>
        <w:pStyle w:val="ListParagraph"/>
        <w:numPr>
          <w:ilvl w:val="0"/>
          <w:numId w:val="19"/>
        </w:numPr>
        <w:spacing w:after="80" w:line="290"/>
      </w:pPr>
      <w:r>
        <w:rPr>
          <w:rFonts w:ascii="Nunito Sans" w:cs="Nunito Sans" w:eastAsia="Nunito Sans" w:hAnsi="Nunito Sans"/>
          <w:color w:val="102E3B"/>
          <w:sz w:val="20"/>
          <w:szCs w:val="20"/>
        </w:rPr>
        <w:t xml:space="preserve">La salida de una Persona Fundadora que no sea ni Justificada ni Injustificada se trata como Salida Justificada, salvo que las demás Personas Fundadoras acuerden otra cosa.</w:t>
      </w:r>
    </w:p>
    <w:p>
      <w:pPr>
        <w:pStyle w:val="Heading2"/>
        <w:keepNext/>
        <w:spacing w:after="120" w:before="280"/>
      </w:pPr>
      <w:r>
        <w:rPr>
          <w:rFonts w:ascii="DM Serif Display" w:cs="DM Serif Display" w:eastAsia="DM Serif Display" w:hAnsi="DM Serif Display"/>
          <w:color w:val="123C48"/>
          <w:sz w:val="28"/>
          <w:szCs w:val="28"/>
        </w:rPr>
        <w:t xml:space="preserve">16. Después de la salida: recompra de Acciones (Opción A) o fin de los roles (Opción B)</w:t>
      </w:r>
    </w:p>
    <w:p>
      <w:pPr>
        <w:pStyle w:val="ListParagraph"/>
        <w:numPr>
          <w:ilvl w:val="0"/>
          <w:numId w:val="20"/>
        </w:numPr>
        <w:spacing w:after="80" w:line="290"/>
      </w:pPr>
      <w:r>
        <w:rPr>
          <w:rFonts w:ascii="Nunito Sans" w:cs="Nunito Sans" w:eastAsia="Nunito Sans" w:hAnsi="Nunito Sans"/>
          <w:b/>
          <w:bCs/>
          <w:color w:val="102E3B"/>
          <w:sz w:val="20"/>
          <w:szCs w:val="20"/>
        </w:rPr>
        <w:t xml:space="preserve">Opción A:</w:t>
      </w:r>
      <w:r>
        <w:rPr>
          <w:rFonts w:ascii="Nunito Sans" w:cs="Nunito Sans" w:eastAsia="Nunito Sans" w:hAnsi="Nunito Sans"/>
          <w:color w:val="102E3B"/>
          <w:sz w:val="20"/>
          <w:szCs w:val="20"/>
        </w:rPr>
        <w:t xml:space="preserve"> cuando una Persona Fundadora se va, la Organización o las Personas Fundadoras restantes pueden comprar sus Acciones, mediante notificación por escrito en los </w:t>
      </w:r>
      <w:r>
        <w:rPr>
          <w:rFonts w:ascii="Nunito Sans" w:cs="Nunito Sans" w:eastAsia="Nunito Sans" w:hAnsi="Nunito Sans"/>
          <w:color w:val="102E3B"/>
          <w:sz w:val="20"/>
          <w:szCs w:val="20"/>
          <w:highlight w:val="yellow"/>
        </w:rPr>
        <w:t xml:space="preserve">[90 días]</w:t>
      </w:r>
      <w:r>
        <w:rPr>
          <w:rFonts w:ascii="Nunito Sans" w:cs="Nunito Sans" w:eastAsia="Nunito Sans" w:hAnsi="Nunito Sans"/>
          <w:color w:val="102E3B"/>
          <w:sz w:val="20"/>
          <w:szCs w:val="20"/>
        </w:rPr>
        <w:t xml:space="preserve"> siguientes a la Fecha de Salida, de la siguiente manera:</w:t>
      </w:r>
    </w:p>
    <w:p>
      <w:pPr>
        <w:pStyle w:val="ListParagraph"/>
        <w:numPr>
          <w:ilvl w:val="1"/>
          <w:numId w:val="20"/>
        </w:numPr>
        <w:spacing w:after="80" w:line="290"/>
      </w:pPr>
      <w:r>
        <w:rPr>
          <w:rFonts w:ascii="Nunito Sans" w:cs="Nunito Sans" w:eastAsia="Nunito Sans" w:hAnsi="Nunito Sans"/>
          <w:color w:val="102E3B"/>
          <w:sz w:val="20"/>
          <w:szCs w:val="20"/>
        </w:rPr>
        <w:t xml:space="preserve">en caso de Salida Justificada, la Persona Fundadora conserva sus Acciones consolidadas y vende las no consolidadas a </w:t>
      </w:r>
      <w:r>
        <w:rPr>
          <w:rFonts w:ascii="Nunito Sans" w:cs="Nunito Sans" w:eastAsia="Nunito Sans" w:hAnsi="Nunito Sans"/>
          <w:color w:val="102E3B"/>
          <w:sz w:val="20"/>
          <w:szCs w:val="20"/>
          <w:highlight w:val="yellow"/>
        </w:rPr>
        <w:t xml:space="preserve">[el menor entre el Valor Razonable y el precio pagado / su valor nominal]</w:t>
      </w:r>
      <w:r>
        <w:rPr>
          <w:rFonts w:ascii="Nunito Sans" w:cs="Nunito Sans" w:eastAsia="Nunito Sans" w:hAnsi="Nunito Sans"/>
          <w:color w:val="102E3B"/>
          <w:sz w:val="20"/>
          <w:szCs w:val="20"/>
        </w:rPr>
        <w:t xml:space="preserve">;</w:t>
      </w:r>
    </w:p>
    <w:p>
      <w:pPr>
        <w:pStyle w:val="ListParagraph"/>
        <w:numPr>
          <w:ilvl w:val="1"/>
          <w:numId w:val="20"/>
        </w:numPr>
        <w:spacing w:after="80" w:line="290"/>
      </w:pPr>
      <w:r>
        <w:rPr>
          <w:rFonts w:ascii="Nunito Sans" w:cs="Nunito Sans" w:eastAsia="Nunito Sans" w:hAnsi="Nunito Sans"/>
          <w:color w:val="102E3B"/>
          <w:sz w:val="20"/>
          <w:szCs w:val="20"/>
        </w:rPr>
        <w:t xml:space="preserve">en caso de Salida Injustificada, la Persona Fundadora vende todas sus Acciones, consolidadas y no consolidadas, a </w:t>
      </w:r>
      <w:r>
        <w:rPr>
          <w:rFonts w:ascii="Nunito Sans" w:cs="Nunito Sans" w:eastAsia="Nunito Sans" w:hAnsi="Nunito Sans"/>
          <w:color w:val="102E3B"/>
          <w:sz w:val="20"/>
          <w:szCs w:val="20"/>
          <w:highlight w:val="yellow"/>
        </w:rPr>
        <w:t xml:space="preserve">[el menor entre el Valor Razonable y el precio pagado]</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El pago se realiza en los </w:t>
      </w:r>
      <w:r>
        <w:rPr>
          <w:rFonts w:ascii="Nunito Sans" w:cs="Nunito Sans" w:eastAsia="Nunito Sans" w:hAnsi="Nunito Sans"/>
          <w:color w:val="102E3B"/>
          <w:sz w:val="20"/>
          <w:szCs w:val="20"/>
          <w:highlight w:val="yellow"/>
        </w:rPr>
        <w:t xml:space="preserve">[60 días]</w:t>
      </w:r>
      <w:r>
        <w:rPr>
          <w:rFonts w:ascii="Nunito Sans" w:cs="Nunito Sans" w:eastAsia="Nunito Sans" w:hAnsi="Nunito Sans"/>
          <w:color w:val="102E3B"/>
          <w:sz w:val="20"/>
          <w:szCs w:val="20"/>
        </w:rPr>
        <w:t xml:space="preserve"> siguientes al acuerdo o la fijación del precio, o en cuotas durante un máximo de </w:t>
      </w:r>
      <w:r>
        <w:rPr>
          <w:rFonts w:ascii="Nunito Sans" w:cs="Nunito Sans" w:eastAsia="Nunito Sans" w:hAnsi="Nunito Sans"/>
          <w:color w:val="102E3B"/>
          <w:sz w:val="20"/>
          <w:szCs w:val="20"/>
          <w:highlight w:val="yellow"/>
        </w:rPr>
        <w:t xml:space="preserve">[24 meses]</w:t>
      </w:r>
      <w:r>
        <w:rPr>
          <w:rFonts w:ascii="Nunito Sans" w:cs="Nunito Sans" w:eastAsia="Nunito Sans" w:hAnsi="Nunito Sans"/>
          <w:color w:val="102E3B"/>
          <w:sz w:val="20"/>
          <w:szCs w:val="20"/>
        </w:rPr>
        <w:t xml:space="preserve"> si la Organización no puede pagarlo de una vez.</w:t>
      </w:r>
    </w:p>
    <w:p>
      <w:pPr>
        <w:pStyle w:val="ListParagraph"/>
        <w:numPr>
          <w:ilvl w:val="0"/>
          <w:numId w:val="20"/>
        </w:numPr>
        <w:spacing w:after="80" w:line="290"/>
      </w:pPr>
      <w:r>
        <w:rPr>
          <w:rFonts w:ascii="Nunito Sans" w:cs="Nunito Sans" w:eastAsia="Nunito Sans" w:hAnsi="Nunito Sans"/>
          <w:color w:val="102E3B"/>
          <w:sz w:val="20"/>
          <w:szCs w:val="20"/>
        </w:rPr>
        <w:t xml:space="preserve">Si las Personas Fundadoras no logran acordar el Valor Razonable en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lo fijará un contador o auditor independiente acordado por ellas o designado por </w:t>
      </w:r>
      <w:r>
        <w:rPr>
          <w:rFonts w:ascii="Nunito Sans" w:cs="Nunito Sans" w:eastAsia="Nunito Sans" w:hAnsi="Nunito Sans"/>
          <w:color w:val="102E3B"/>
          <w:sz w:val="20"/>
          <w:szCs w:val="20"/>
          <w:highlight w:val="yellow"/>
        </w:rPr>
        <w:t xml:space="preserve">[el colegio profesional de contadores del país]</w:t>
      </w:r>
      <w:r>
        <w:rPr>
          <w:rFonts w:ascii="Nunito Sans" w:cs="Nunito Sans" w:eastAsia="Nunito Sans" w:hAnsi="Nunito Sans"/>
          <w:color w:val="102E3B"/>
          <w:sz w:val="20"/>
          <w:szCs w:val="20"/>
        </w:rPr>
        <w:t xml:space="preserve">. Su decisión es definitiva, salvo error manifiesto, y la Organización paga sus honorarios.</w:t>
      </w:r>
    </w:p>
    <w:p>
      <w:pPr>
        <w:pStyle w:val="ListParagraph"/>
        <w:numPr>
          <w:ilvl w:val="0"/>
          <w:numId w:val="20"/>
        </w:numPr>
        <w:spacing w:after="80" w:line="290"/>
      </w:pPr>
      <w:r>
        <w:rPr>
          <w:rFonts w:ascii="Nunito Sans" w:cs="Nunito Sans" w:eastAsia="Nunito Sans" w:hAnsi="Nunito Sans"/>
          <w:b/>
          <w:bCs/>
          <w:color w:val="102E3B"/>
          <w:sz w:val="20"/>
          <w:szCs w:val="20"/>
        </w:rPr>
        <w:t xml:space="preserve">Opción B:</w:t>
      </w:r>
      <w:r>
        <w:rPr>
          <w:rFonts w:ascii="Nunito Sans" w:cs="Nunito Sans" w:eastAsia="Nunito Sans" w:hAnsi="Nunito Sans"/>
          <w:color w:val="102E3B"/>
          <w:sz w:val="20"/>
          <w:szCs w:val="20"/>
        </w:rPr>
        <w:t xml:space="preserve"> el puesto de gobierno, el rol como personal y cualquier facultad para actuar en nombre de la Organización de una Persona Fundadora saliente terminan en la Fecha de Salida, salvo que el Órgano de Gobierno decida otra cosa. No tiene derecho alguno sobre los activos, fondos o reservas de la Organización. Cualquier préstamo que haya concedido se devuelve según sus condiciones.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CONDICIONES DE SALIDA Y VALORACIÓN</w:t>
            </w:r>
          </w:p>
          <w:p>
            <w:pPr>
              <w:spacing w:after="120" w:before="0" w:line="300"/>
            </w:pPr>
            <w:r>
              <w:rPr>
                <w:rFonts w:ascii="Nunito Sans" w:cs="Nunito Sans" w:eastAsia="Nunito Sans" w:hAnsi="Nunito Sans"/>
                <w:color w:val="102E3B"/>
                <w:sz w:val="19"/>
                <w:szCs w:val="19"/>
              </w:rPr>
              <w:t xml:space="preserve">Estas condiciones deciden con qué se va una persona fundadora saliente, así que acuérdenlas mientras todas estén comprometidas. Los tribunales de algunos países se niegan a hacer cumplir condiciones que consideran penalizaciones, por ejemplo una venta forzosa de acciones consolidadas a un precio muy bajo, por lo que fijar el precio de Salida Injustificada en el menor entre el Valor Razonable y el costo suele ser más seguro que el valor nominal. La recompra de acciones por la propia sociedad está regulada por el derecho de sociedades en la mayoría de los países, y puede requerir aprobaciones específicas y reservas distribuibles suficientes. Consulta tu ley local sobre la recompra de acciones. En una entidad sin ánimo de lucro no hay nada que recomprar: la cuestión es un traspaso justo y el reconocimiento del trabajo de la persona fundadora saliente.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17. Nombre, marca, dominios y cuentas</w:t>
      </w:r>
    </w:p>
    <w:p>
      <w:pPr>
        <w:pStyle w:val="ListParagraph"/>
        <w:numPr>
          <w:ilvl w:val="0"/>
          <w:numId w:val="21"/>
        </w:numPr>
        <w:spacing w:after="80" w:line="290"/>
      </w:pPr>
      <w:r>
        <w:rPr>
          <w:rFonts w:ascii="Nunito Sans" w:cs="Nunito Sans" w:eastAsia="Nunito Sans" w:hAnsi="Nunito Sans"/>
          <w:color w:val="102E3B"/>
          <w:sz w:val="20"/>
          <w:szCs w:val="20"/>
        </w:rPr>
        <w:t xml:space="preserve">Todos los Activos de la Organización pertenecen a la Organización, aunque los haya registrado o pagado una Persona Fundadora. Cuando alguno esté a nombre de una Persona Fundadora, esta lo mantiene en nombre de la Organización y lo transferirá cuando se le solicite.</w:t>
      </w:r>
    </w:p>
    <w:p>
      <w:pPr>
        <w:pStyle w:val="ListParagraph"/>
        <w:numPr>
          <w:ilvl w:val="0"/>
          <w:numId w:val="21"/>
        </w:numPr>
        <w:spacing w:after="80" w:line="290"/>
      </w:pPr>
      <w:r>
        <w:rPr>
          <w:rFonts w:ascii="Nunito Sans" w:cs="Nunito Sans" w:eastAsia="Nunito Sans" w:hAnsi="Nunito Sans"/>
          <w:color w:val="102E3B"/>
          <w:sz w:val="20"/>
          <w:szCs w:val="20"/>
        </w:rPr>
        <w:t xml:space="preserve">La Organización lleva un registro de sus Activos en el Anexo 3, que incluye quién tiene el acceso, el correo de recuperación y el dispositivo de autenticación en dos pasos de cada cuenta. Al menos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Personas Fundadoras o miembros del personal tienen acceso de administración a cada cuenta crítica.</w:t>
      </w:r>
    </w:p>
    <w:p>
      <w:pPr>
        <w:pStyle w:val="ListParagraph"/>
        <w:numPr>
          <w:ilvl w:val="0"/>
          <w:numId w:val="21"/>
        </w:numPr>
        <w:spacing w:after="80" w:line="290"/>
      </w:pPr>
      <w:r>
        <w:rPr>
          <w:rFonts w:ascii="Nunito Sans" w:cs="Nunito Sans" w:eastAsia="Nunito Sans" w:hAnsi="Nunito Sans"/>
          <w:color w:val="102E3B"/>
          <w:sz w:val="20"/>
          <w:szCs w:val="20"/>
        </w:rPr>
        <w:t xml:space="preserve">En su Fecha de Salida, una Persona Fundadora saliente transferirá todos los accesos, permisos de administración, registros de dominio y datos de recuperación a la persona que designen las Personas Fundadoras restantes, y no cambiará contraseñas, eliminará contenidos ni redirigirá dominios.</w:t>
      </w:r>
    </w:p>
    <w:p>
      <w:pPr>
        <w:pStyle w:val="ListParagraph"/>
        <w:numPr>
          <w:ilvl w:val="0"/>
          <w:numId w:val="21"/>
        </w:numPr>
        <w:spacing w:after="80" w:line="290"/>
      </w:pPr>
      <w:r>
        <w:rPr>
          <w:rFonts w:ascii="Nunito Sans" w:cs="Nunito Sans" w:eastAsia="Nunito Sans" w:hAnsi="Nunito Sans"/>
          <w:color w:val="102E3B"/>
          <w:sz w:val="20"/>
          <w:szCs w:val="20"/>
        </w:rPr>
        <w:t xml:space="preserve">Una Persona Fundadora saliente puede describir su rol con exactitud en su currículum y su perfil público, pero no puede usar el nombre ni la marca de la Organización para dar a entender que todavía la representa.</w:t>
      </w:r>
    </w:p>
    <w:p>
      <w:pPr>
        <w:pStyle w:val="ListParagraph"/>
        <w:numPr>
          <w:ilvl w:val="0"/>
          <w:numId w:val="21"/>
        </w:numPr>
        <w:spacing w:after="80" w:line="290"/>
      </w:pPr>
      <w:r>
        <w:rPr>
          <w:rFonts w:ascii="Nunito Sans" w:cs="Nunito Sans" w:eastAsia="Nunito Sans" w:hAnsi="Nunito Sans"/>
          <w:color w:val="102E3B"/>
          <w:sz w:val="20"/>
          <w:szCs w:val="20"/>
        </w:rPr>
        <w:t xml:space="preserve">Si la Organización se disuelve, su nombre y su marca se transmiten junto con sus demás activos conforme al Documento Constitutivo y la ley, y ninguna Persona Fundadora puede usarlos sin el acuerdo de las demás.</w:t>
      </w:r>
    </w:p>
    <w:p>
      <w:pPr>
        <w:pStyle w:val="Heading2"/>
        <w:keepNext/>
        <w:spacing w:after="120" w:before="280"/>
      </w:pPr>
      <w:r>
        <w:rPr>
          <w:rFonts w:ascii="DM Serif Display" w:cs="DM Serif Display" w:eastAsia="DM Serif Display" w:hAnsi="DM Serif Display"/>
          <w:color w:val="123C48"/>
          <w:sz w:val="28"/>
          <w:szCs w:val="28"/>
        </w:rPr>
        <w:t xml:space="preserve">18. Controversias</w:t>
      </w:r>
    </w:p>
    <w:p>
      <w:pPr>
        <w:pStyle w:val="ListParagraph"/>
        <w:numPr>
          <w:ilvl w:val="0"/>
          <w:numId w:val="22"/>
        </w:numPr>
        <w:spacing w:after="80" w:line="290"/>
      </w:pPr>
      <w:r>
        <w:rPr>
          <w:rFonts w:ascii="Nunito Sans" w:cs="Nunito Sans" w:eastAsia="Nunito Sans" w:hAnsi="Nunito Sans"/>
          <w:color w:val="102E3B"/>
          <w:sz w:val="20"/>
          <w:szCs w:val="20"/>
        </w:rPr>
        <w:t xml:space="preserve">Si surge una controversia en relación con este acuerdo, las Personas Fundadoras hablarán primero entre sí con franqueza e intentarán resolverla en un plazo de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w:t>
      </w:r>
    </w:p>
    <w:p>
      <w:pPr>
        <w:pStyle w:val="ListParagraph"/>
        <w:numPr>
          <w:ilvl w:val="0"/>
          <w:numId w:val="22"/>
        </w:numPr>
        <w:spacing w:after="80" w:line="290"/>
      </w:pPr>
      <w:r>
        <w:rPr>
          <w:rFonts w:ascii="Nunito Sans" w:cs="Nunito Sans" w:eastAsia="Nunito Sans" w:hAnsi="Nunito Sans"/>
          <w:color w:val="102E3B"/>
          <w:sz w:val="20"/>
          <w:szCs w:val="20"/>
        </w:rPr>
        <w:t xml:space="preserve">Si no lo logran, intentarán una mediación a cargo de </w:t>
      </w:r>
      <w:r>
        <w:rPr>
          <w:rFonts w:ascii="Nunito Sans" w:cs="Nunito Sans" w:eastAsia="Nunito Sans" w:hAnsi="Nunito Sans"/>
          <w:color w:val="102E3B"/>
          <w:sz w:val="20"/>
          <w:szCs w:val="20"/>
          <w:highlight w:val="yellow"/>
        </w:rPr>
        <w:t xml:space="preserve">[una persona mediadora o servicio de mediación designado, por ejemplo el centro nacional de mediación]</w:t>
      </w:r>
      <w:r>
        <w:rPr>
          <w:rFonts w:ascii="Nunito Sans" w:cs="Nunito Sans" w:eastAsia="Nunito Sans" w:hAnsi="Nunito Sans"/>
          <w:color w:val="102E3B"/>
          <w:sz w:val="20"/>
          <w:szCs w:val="20"/>
        </w:rPr>
        <w:t xml:space="preserve">, compartiendo el costo a partes iguales,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w:t>
      </w:r>
    </w:p>
    <w:p>
      <w:pPr>
        <w:pStyle w:val="ListParagraph"/>
        <w:numPr>
          <w:ilvl w:val="0"/>
          <w:numId w:val="22"/>
        </w:numPr>
        <w:spacing w:after="80" w:line="290"/>
      </w:pPr>
      <w:r>
        <w:rPr>
          <w:rFonts w:ascii="Nunito Sans" w:cs="Nunito Sans" w:eastAsia="Nunito Sans" w:hAnsi="Nunito Sans"/>
          <w:color w:val="102E3B"/>
          <w:sz w:val="20"/>
          <w:szCs w:val="20"/>
        </w:rPr>
        <w:t xml:space="preserve">Si la mediación no resuelve la controversia en </w:t>
      </w:r>
      <w:r>
        <w:rPr>
          <w:rFonts w:ascii="Nunito Sans" w:cs="Nunito Sans" w:eastAsia="Nunito Sans" w:hAnsi="Nunito Sans"/>
          <w:color w:val="102E3B"/>
          <w:sz w:val="20"/>
          <w:szCs w:val="20"/>
          <w:highlight w:val="yellow"/>
        </w:rPr>
        <w:t xml:space="preserve">[60 días]</w:t>
      </w:r>
      <w:r>
        <w:rPr>
          <w:rFonts w:ascii="Nunito Sans" w:cs="Nunito Sans" w:eastAsia="Nunito Sans" w:hAnsi="Nunito Sans"/>
          <w:color w:val="102E3B"/>
          <w:sz w:val="20"/>
          <w:szCs w:val="20"/>
        </w:rPr>
        <w:t xml:space="preserve">, cualquier Persona Fundadora puede someterla a </w:t>
      </w:r>
      <w:r>
        <w:rPr>
          <w:rFonts w:ascii="Nunito Sans" w:cs="Nunito Sans" w:eastAsia="Nunito Sans" w:hAnsi="Nunito Sans"/>
          <w:color w:val="102E3B"/>
          <w:sz w:val="20"/>
          <w:szCs w:val="20"/>
          <w:highlight w:val="yellow"/>
        </w:rPr>
        <w:t xml:space="preserve">[los tribunales de país / arbitraje conforme al reglamento de institución designada, con un único árbitro, con sede en ciudad]</w:t>
      </w:r>
      <w:r>
        <w:rPr>
          <w:rFonts w:ascii="Nunito Sans" w:cs="Nunito Sans" w:eastAsia="Nunito Sans" w:hAnsi="Nunito Sans"/>
          <w:color w:val="102E3B"/>
          <w:sz w:val="20"/>
          <w:szCs w:val="20"/>
        </w:rPr>
        <w:t xml:space="preserve">.</w:t>
      </w:r>
    </w:p>
    <w:p>
      <w:pPr>
        <w:pStyle w:val="ListParagraph"/>
        <w:numPr>
          <w:ilvl w:val="0"/>
          <w:numId w:val="22"/>
        </w:numPr>
        <w:spacing w:after="80" w:line="290"/>
      </w:pPr>
      <w:r>
        <w:rPr>
          <w:rFonts w:ascii="Nunito Sans" w:cs="Nunito Sans" w:eastAsia="Nunito Sans" w:hAnsi="Nunito Sans"/>
          <w:color w:val="102E3B"/>
          <w:sz w:val="20"/>
          <w:szCs w:val="20"/>
        </w:rPr>
        <w:t xml:space="preserve">Nada de lo dispuesto en esta cláusula impide a una Persona Fundadora solicitar medidas judiciales urgentes para proteger la información confidencial, la propiedad intelectual o los Activos de la Organización.</w:t>
      </w:r>
    </w:p>
    <w:p>
      <w:pPr>
        <w:pStyle w:val="Heading2"/>
        <w:keepNext/>
        <w:spacing w:after="120" w:before="280"/>
      </w:pPr>
      <w:r>
        <w:rPr>
          <w:rFonts w:ascii="DM Serif Display" w:cs="DM Serif Display" w:eastAsia="DM Serif Display" w:hAnsi="DM Serif Display"/>
          <w:color w:val="123C48"/>
          <w:sz w:val="28"/>
          <w:szCs w:val="28"/>
        </w:rPr>
        <w:t xml:space="preserve">19. Revisión de este acuerdo</w:t>
      </w:r>
    </w:p>
    <w:p>
      <w:pPr>
        <w:pStyle w:val="ListParagraph"/>
        <w:numPr>
          <w:ilvl w:val="0"/>
          <w:numId w:val="23"/>
        </w:numPr>
        <w:spacing w:after="80" w:line="290"/>
      </w:pPr>
      <w:r>
        <w:rPr>
          <w:rFonts w:ascii="Nunito Sans" w:cs="Nunito Sans" w:eastAsia="Nunito Sans" w:hAnsi="Nunito Sans"/>
          <w:color w:val="102E3B"/>
          <w:sz w:val="20"/>
          <w:szCs w:val="20"/>
        </w:rPr>
        <w:t xml:space="preserve">Las Personas Fundadoras revisarán este acuerdo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y siempre que una Persona Fundadora se incorpore o se vaya, la Organización cambie de estructura o capte una inversión significativa.</w:t>
      </w:r>
    </w:p>
    <w:p>
      <w:pPr>
        <w:pStyle w:val="ListParagraph"/>
        <w:numPr>
          <w:ilvl w:val="0"/>
          <w:numId w:val="23"/>
        </w:numPr>
        <w:spacing w:after="80" w:line="290"/>
      </w:pPr>
      <w:r>
        <w:rPr>
          <w:rFonts w:ascii="Nunito Sans" w:cs="Nunito Sans" w:eastAsia="Nunito Sans" w:hAnsi="Nunito Sans"/>
          <w:color w:val="102E3B"/>
          <w:sz w:val="20"/>
          <w:szCs w:val="20"/>
        </w:rPr>
        <w:t xml:space="preserve">Las modificaciones solo son válidas si constan por escrito y están firmadas por todas las Personas Fundadoras.</w:t>
      </w:r>
    </w:p>
    <w:p>
      <w:pPr>
        <w:pStyle w:val="Heading2"/>
        <w:keepNext/>
        <w:spacing w:after="120" w:before="280"/>
      </w:pPr>
      <w:r>
        <w:rPr>
          <w:rFonts w:ascii="DM Serif Display" w:cs="DM Serif Display" w:eastAsia="DM Serif Display" w:hAnsi="DM Serif Display"/>
          <w:color w:val="123C48"/>
          <w:sz w:val="28"/>
          <w:szCs w:val="28"/>
        </w:rPr>
        <w:t xml:space="preserve">20. Disposiciones generales</w:t>
      </w:r>
    </w:p>
    <w:p>
      <w:pPr>
        <w:pStyle w:val="ListParagraph"/>
        <w:numPr>
          <w:ilvl w:val="0"/>
          <w:numId w:val="24"/>
        </w:numPr>
        <w:spacing w:after="80" w:line="290"/>
      </w:pPr>
      <w:r>
        <w:rPr>
          <w:rFonts w:ascii="Nunito Sans" w:cs="Nunito Sans" w:eastAsia="Nunito Sans" w:hAnsi="Nunito Sans"/>
          <w:color w:val="102E3B"/>
          <w:sz w:val="20"/>
          <w:szCs w:val="20"/>
        </w:rPr>
        <w:t xml:space="preserve">Este acuerdo, con sus anexos y el Documento Constitutivo, constituye el acuerdo íntegro entre las Personas Fundadoras sobre su objeto.</w:t>
      </w:r>
    </w:p>
    <w:p>
      <w:pPr>
        <w:pStyle w:val="ListParagraph"/>
        <w:numPr>
          <w:ilvl w:val="0"/>
          <w:numId w:val="24"/>
        </w:numPr>
        <w:spacing w:after="80" w:line="290"/>
      </w:pPr>
      <w:r>
        <w:rPr>
          <w:rFonts w:ascii="Nunito Sans" w:cs="Nunito Sans" w:eastAsia="Nunito Sans" w:hAnsi="Nunito Sans"/>
          <w:color w:val="102E3B"/>
          <w:sz w:val="20"/>
          <w:szCs w:val="20"/>
        </w:rPr>
        <w:t xml:space="preserve">Si alguna parte de este acuerdo no es válida, el resto sigue en vigor, y las Personas Fundadoras sustituirán la parte no válida por otra válida lo más cercana posible a su intención.</w:t>
      </w:r>
    </w:p>
    <w:p>
      <w:pPr>
        <w:pStyle w:val="ListParagraph"/>
        <w:numPr>
          <w:ilvl w:val="0"/>
          <w:numId w:val="24"/>
        </w:numPr>
        <w:spacing w:after="80" w:line="290"/>
      </w:pPr>
      <w:r>
        <w:rPr>
          <w:rFonts w:ascii="Nunito Sans" w:cs="Nunito Sans" w:eastAsia="Nunito Sans" w:hAnsi="Nunito Sans"/>
          <w:color w:val="102E3B"/>
          <w:sz w:val="20"/>
          <w:szCs w:val="20"/>
        </w:rPr>
        <w:t xml:space="preserve">Este acuerdo se rige por la ley de </w:t>
      </w:r>
      <w:r>
        <w:rPr>
          <w:rFonts w:ascii="Nunito Sans" w:cs="Nunito Sans" w:eastAsia="Nunito Sans" w:hAnsi="Nunito Sans"/>
          <w:color w:val="102E3B"/>
          <w:sz w:val="20"/>
          <w:szCs w:val="20"/>
          <w:highlight w:val="yellow"/>
        </w:rPr>
        <w:t xml:space="preserve">[país donde está registrada la Organización]</w:t>
      </w:r>
      <w:r>
        <w:rPr>
          <w:rFonts w:ascii="Nunito Sans" w:cs="Nunito Sans" w:eastAsia="Nunito Sans" w:hAnsi="Nunito Sans"/>
          <w:color w:val="102E3B"/>
          <w:sz w:val="20"/>
          <w:szCs w:val="20"/>
        </w:rPr>
        <w:t xml:space="preserve">.</w:t>
      </w:r>
    </w:p>
    <w:p>
      <w:pPr>
        <w:pStyle w:val="ListParagraph"/>
        <w:numPr>
          <w:ilvl w:val="0"/>
          <w:numId w:val="24"/>
        </w:numPr>
        <w:spacing w:after="80" w:line="290"/>
      </w:pPr>
      <w:r>
        <w:rPr>
          <w:rFonts w:ascii="Nunito Sans" w:cs="Nunito Sans" w:eastAsia="Nunito Sans" w:hAnsi="Nunito Sans"/>
          <w:color w:val="102E3B"/>
          <w:sz w:val="20"/>
          <w:szCs w:val="20"/>
        </w:rPr>
        <w:t xml:space="preserve">Este acuerdo puede firmarse en ejemplares separados y de forma electrónica.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APLICABLE Y CÓMO HACERLO VINCULANTE</w:t>
            </w:r>
          </w:p>
          <w:p>
            <w:pPr>
              <w:spacing w:after="120" w:before="0" w:line="300"/>
            </w:pPr>
            <w:r>
              <w:rPr>
                <w:rFonts w:ascii="Nunito Sans" w:cs="Nunito Sans" w:eastAsia="Nunito Sans" w:hAnsi="Nunito Sans"/>
                <w:color w:val="102E3B"/>
                <w:sz w:val="19"/>
                <w:szCs w:val="19"/>
              </w:rPr>
              <w:t xml:space="preserve">Elige la ley del país donde está registrada la Organización, para que este acuerdo y el Documento Constitutivo se rijan por la misma ley. Las personas fundadoras que vivan en países distintos deben pedir asesoramiento en cada uno. Algunos países exigen que los pactos de socios se protocolicen ante notario, se registren o sean coherentes con el documento constitutivo: por ejemplo, en Sudáfrica un pacto de socios debe ser coherente con el memorandum of incorporation de la sociedad. Consulta tu ley local sobre los requisitos formales.</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Roles y dedicación de las personas fundadoras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2857"/>
        <w:gridCol w:w="1523"/>
        <w:gridCol w:w="1714"/>
        <w:gridCol w:w="1716"/>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PERSONA FUNDADORA</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 Y RESPONSABILIDADES PRINCIPALES</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DEDICACIÓN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RETRIBUCIÓN</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OTROS TRABAJOS DECLARADOS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Fundadora 1]</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dirección ejecutiva; estrategia, captación de fondos, socios, supervisión financiera]</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[Tiempo completo]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o sin retribución]</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[Ninguno]</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Fundadora 2]</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responsable de programas; ejecución, MEAL, relaciones con la comunidad]</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[Tres días por semana]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[Docencia universitaria a tiempo parcial]</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Fundadora 3]</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miembro del órgano de gobierno; asesoría jurídica y de cumplimiento]</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[Cuatro horas al mes]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[Sin retribución]</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[Despacho de abogados]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2: Opción A, participaciones y consolidación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1714"/>
        <w:gridCol w:w="1714"/>
        <w:gridCol w:w="2095"/>
        <w:gridCol w:w="1906"/>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PERSONA FUNDADORA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NÚMERO DE ACCIONES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PORCENTAJE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DE INICIO DE LA CONSOLIDACIÓN</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CONDICIONES DE CONSOLIDACIÓN</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Fundadora 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[Cuatro años, período mínimo de un año, mensual]</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Fundadora 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[Cuatro años, período mínimo de un año, mensual]</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[Fondo, si lo hay]</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[Asignado por el Órgano de Gobierno]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3: Dinero, materiales preexistentes y Activos de la Organización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2381"/>
        <w:gridCol w:w="2381"/>
        <w:gridCol w:w="2381"/>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PERSONA FUNDADORA</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TIPO O TITULAR</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OBSERVACIONES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pagado el </w:t>
            </w:r>
            <w:r>
              <w:rPr>
                <w:rFonts w:ascii="Nunito Sans" w:cs="Nunito Sans" w:eastAsia="Nunito Sans" w:hAnsi="Nunito Sans"/>
                <w:color w:val="102E3B"/>
                <w:sz w:val="18"/>
                <w:szCs w:val="18"/>
                <w:highlight w:val="yellow"/>
              </w:rPr>
              <w:t xml:space="preserve">[fecha]</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Fundadora 1]</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[Préstamo / donación / pago por Acciones]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[Condiciones de devolución]</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programa de formación creado en </w:t>
            </w:r>
            <w:r>
              <w:rPr>
                <w:rFonts w:ascii="Nunito Sans" w:cs="Nunito Sans" w:eastAsia="Nunito Sans" w:hAnsi="Nunito Sans"/>
                <w:color w:val="102E3B"/>
                <w:sz w:val="18"/>
                <w:szCs w:val="18"/>
                <w:highlight w:val="yellow"/>
              </w:rPr>
              <w:t xml:space="preserve">[año]</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Fundadora 2]</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Material preexistente, con licencia a la Organización</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[La Persona Fundadora conserva la titularidad]</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Dominio </w:t>
            </w:r>
            <w:r>
              <w:rPr>
                <w:rFonts w:ascii="Nunito Sans" w:cs="Nunito Sans" w:eastAsia="Nunito Sans" w:hAnsi="Nunito Sans"/>
                <w:color w:val="102E3B"/>
                <w:sz w:val="18"/>
                <w:szCs w:val="18"/>
                <w:highlight w:val="yellow"/>
              </w:rPr>
              <w:t xml:space="preserve">[tuorganizacion.org]</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Fundadora 1]</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Registrado en </w:t>
            </w:r>
            <w:r>
              <w:rPr>
                <w:rFonts w:ascii="Nunito Sans" w:cs="Nunito Sans" w:eastAsia="Nunito Sans" w:hAnsi="Nunito Sans"/>
                <w:color w:val="102E3B"/>
                <w:sz w:val="18"/>
                <w:szCs w:val="18"/>
                <w:highlight w:val="yellow"/>
              </w:rPr>
              <w:t xml:space="preserve">[registrador]</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[Transferir a la cuenta de la Organización antes de fecha]</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Cuentas de redes sociales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Fundadora 2]</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Administración: </w:t>
            </w:r>
            <w:r>
              <w:rPr>
                <w:rFonts w:ascii="Nunito Sans" w:cs="Nunito Sans" w:eastAsia="Nunito Sans" w:hAnsi="Nunito Sans"/>
                <w:color w:val="102E3B"/>
                <w:sz w:val="18"/>
                <w:szCs w:val="18"/>
                <w:highlight w:val="yellow"/>
              </w:rPr>
              <w:t xml:space="preserve">[nombres]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de recuperación: dirección compartida de administración]</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Cuenta bancaria</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Organización</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Firmantes: </w:t>
            </w:r>
            <w:r>
              <w:rPr>
                <w:rFonts w:ascii="Nunito Sans" w:cs="Nunito Sans" w:eastAsia="Nunito Sans" w:hAnsi="Nunito Sans"/>
                <w:color w:val="102E3B"/>
                <w:sz w:val="18"/>
                <w:szCs w:val="18"/>
                <w:highlight w:val="yellow"/>
              </w:rPr>
              <w:t xml:space="preserve">[nombres]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[Dos firmas por encima de importe]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Firmas</w:t>
      </w:r>
    </w:p>
    <w:p>
      <w:pPr>
        <w:spacing w:after="120" w:before="0" w:line="300"/>
      </w:pPr>
      <w:r>
        <w:rPr>
          <w:rFonts w:ascii="Nunito Sans" w:cs="Nunito Sans" w:eastAsia="Nunito Sans" w:hAnsi="Nunito Sans"/>
          <w:color w:val="102E3B"/>
          <w:sz w:val="20"/>
          <w:szCs w:val="20"/>
        </w:rPr>
        <w:t xml:space="preserve">Cada Persona Fundadora confirma que ha leído este acuerdo, que ha tenido la oportunidad de recibir asesoramiento independiente y que lo firma libremente.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Fundadora 1: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Lugar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Fundadora 2: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Lugar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Fundadora 3: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Lugar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Fundadora 4, si la hay: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Lugar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C0FF11BF-C075-FAF7-E163-4F673E2EB894}"/>
  </w:font>
  <w:font w:name="DM Serif Display">
    <w:family w:val="auto"/>
    <w:pitch w:val="variable"/>
    <w:sig w:usb0="E0002AFF" w:usb1="C000247B" w:usb2="00000009" w:usb3="00000000" w:csb0="000001FF" w:csb1="00000000"/>
    <w:embedRegular r:id="rId2" w:fontKey="{6F4FE4D1-E146-6D69-B2C0-E421C15CCF4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Acuerdo entre Cofundadores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ACUERDO ENTRE COFUNDADORES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entre Cofundadores</dc:title>
  <dc:creator>Method into Impact</dc:creator>
  <dc:description>Lo que acuerdan las personas cofundadoras de [[Nombre de la organización]] sobre el propósito, los roles, las decisiones, la propiedad o los puestos de gobierno, el dinero y lo que ocurre si alguien se va, puesto por escrito mientras todas se siguen entendiendo bien.</dc:description>
  <cp:lastModifiedBy>Un-named</cp:lastModifiedBy>
  <cp:revision>1</cp:revision>
  <dcterms:created xsi:type="dcterms:W3CDTF">2026-10-29T06:09:22.955Z</dcterms:created>
  <dcterms:modified xsi:type="dcterms:W3CDTF">2026-10-29T06:09:22.955Z</dcterms:modified>
</cp:coreProperties>
</file>

<file path=docProps/custom.xml><?xml version="1.0" encoding="utf-8"?>
<Properties xmlns="http://schemas.openxmlformats.org/officeDocument/2006/custom-properties" xmlns:vt="http://schemas.openxmlformats.org/officeDocument/2006/docPropsVTypes"/>
</file>