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EVALUACIÓN · PROTECCIÓN DE DATOS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Evaluación de Impacto en la Protección de Datos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formulario breve, paso a paso, que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utiliza para detectar y reducir los riesgos para la privacidad antes de iniciar un nuevo proyecto, sistema o intercambio de datos.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evaluación de impacto en la protección de datos, o EIPD, es una forma estructurada de analizar cómo una nueva actividad podría perjudicar a las personas cuya información usted utiliza, y qué hará al respecto. Muchas leyes de protección de datos la exigen para los tratamientos de alto riesgo, y los financiadores piden verla cada vez más, sobre todo en el trabajo con niñas y niños, datos de salud o nuevas tecnologías. Este formulario es lo bastante breve para que un equipo pequeño lo complete en una tarde.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Autoridades de protección de datos; financiadores institucionales y organismos de las Naciones Unidas para proyectos con datos sensibles; comités de ética de la investigación; socios que firman un acuerdo de intercambio de datos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1 a 2 horas para adaptar el formulario; de 2 a 4 horas para completar cada evaluación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Aviso de Privacidad · Acuerdo de Intercambio de Datos · Registro de Riesgos · Calendario de Conservación de Registros · Política de TI y Seguridad de la Información</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Evaluación de Impacto en la Protección de Datos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Evaluación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Cualquier persona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que planifique un nuevo proyecto, sistema, herramienta o alianza que utilice información personal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[privacidad@tuorganizacion.org]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Propósito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La evaluación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Cuándo necesitamos una EIPD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Notas de orientación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usar este formulario</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p>
      <w:pPr>
        <w:pStyle w:val="Heading1"/>
        <w:keepNext/>
        <w:spacing w:after="160" w:before="360"/>
      </w:pPr>
      <w:r>
        <w:rPr>
          <w:rFonts w:ascii="DM Serif Display" w:cs="DM Serif Display" w:eastAsia="DM Serif Display" w:hAnsi="DM Serif Display"/>
          <w:color w:val="123C48"/>
          <w:sz w:val="40"/>
          <w:szCs w:val="40"/>
        </w:rPr>
        <w:t xml:space="preserve">Propósito</w:t>
      </w:r>
    </w:p>
    <w:p>
      <w:pPr>
        <w:spacing w:after="120" w:before="0" w:line="300"/>
      </w:pPr>
      <w:r>
        <w:rPr>
          <w:rFonts w:ascii="Nunito Sans" w:cs="Nunito Sans" w:eastAsia="Nunito Sans" w:hAnsi="Nunito Sans"/>
          <w:color w:val="102E3B"/>
          <w:sz w:val="20"/>
          <w:szCs w:val="20"/>
        </w:rPr>
        <w:t xml:space="preserve">Una EIPD ayuda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a examinar una nueva actividad desde el punto de vista de las personas cuya información vamos a utilizar. Plantea cuatro preguntas: qué vamos a hacer con su información, si realmente lo necesitamos, qué podría salirles mal y qué haremos para evitarlo. Es una herramienta de planificación, no un trámite. Si se hace a tiempo, ahorra dinero y protege a las personas.</w:t>
      </w:r>
    </w:p>
    <w:p>
      <w:pPr>
        <w:pStyle w:val="Heading1"/>
        <w:keepNext/>
        <w:spacing w:after="160" w:before="360"/>
      </w:pPr>
      <w:r>
        <w:rPr>
          <w:rFonts w:ascii="DM Serif Display" w:cs="DM Serif Display" w:eastAsia="DM Serif Display" w:hAnsi="DM Serif Display"/>
          <w:color w:val="123C48"/>
          <w:sz w:val="40"/>
          <w:szCs w:val="40"/>
        </w:rPr>
        <w:t xml:space="preserve">Cuándo necesitamos una EIPD</w:t>
      </w:r>
    </w:p>
    <w:p>
      <w:pPr>
        <w:spacing w:after="120" w:before="0" w:line="300"/>
      </w:pPr>
      <w:r>
        <w:rPr>
          <w:rFonts w:ascii="Nunito Sans" w:cs="Nunito Sans" w:eastAsia="Nunito Sans" w:hAnsi="Nunito Sans"/>
          <w:color w:val="102E3B"/>
          <w:sz w:val="20"/>
          <w:szCs w:val="20"/>
        </w:rPr>
        <w:t xml:space="preserve">La persona responsable del proyecto responde a las preguntas de cribado siguientes antes de cualquier nueva actividad que utilice información personal. Si la respuesta a alguna pregunta es afirmativa, completa la evaluación completa antes de que empiece la actividad, salvo que la persona responsable de protección de datos decida que el riesgo es claramente bajo y deje constancia del motivo. Si todas las respuestas son negativas, conserva el cribado en el expediente del proyecto.</w:t>
      </w:r>
    </w:p>
    <w:p>
      <w:pPr>
        <w:keepNext/>
        <w:spacing w:after="80" w:before="120"/>
      </w:pPr>
      <w:r>
        <w:rPr>
          <w:rFonts w:ascii="Nunito Sans" w:cs="Nunito Sans" w:eastAsia="Nunito Sans" w:hAnsi="Nunito Sans"/>
          <w:b/>
          <w:bCs/>
          <w:color w:val="16746E"/>
          <w:spacing w:val="30"/>
          <w:sz w:val="15"/>
          <w:szCs w:val="15"/>
        </w:rPr>
        <w:t xml:space="preserve">PREGUNTAS DE CRIBADO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Vamos a introducir un nuevo sistema, aplicación, base de datos o herramienta en línea que contenga información personal.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Vamos a recopilar información sensible: salud, estado serológico respecto al VIH, discapacidad, orientación sexual, origen étnico, religión, opiniones políticas, antecedentes penales, situación migratoria, datos biométricos o información sobre personas supervivientes.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Vamos a recopilar información sobre niñas y niños, o sobre personas adultas que puedan estar en situación de riesgo.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Vamos a observar a personas a gran escala o de forma sistemática, por ejemplo mediante seguimiento de la ubicación, videovigilancia o seguimiento del comportamiento en línea.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Vamos a usar nuevas tecnologías, incluidas herramientas de IA que analicen, transcriban, traduzcan, puntúen o tomen decisiones sobre personas.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Vamos a compartir información personal con un socio, un financiador, un organismo público o un equipo de investigación, o a combinar conjuntos de datos de distintas fuentes.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Vamos a transferir información personal a otro país o a un proveedor en el extranjero.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Una decisión que afecta de forma significativa a las personas, como la elegibilidad para recibir apoyo, se tomará u orientará por medios automatizados.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Las personas afectadas se sorprenderían, o podrían sufrir un perjuicio, si supieran cómo usamos su información.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CUÁNDO ES OBLIGATORIA POR LEY UNA EIPD</w:t>
            </w:r>
          </w:p>
          <w:p>
            <w:pPr>
              <w:spacing w:after="120" w:before="0" w:line="300"/>
            </w:pPr>
            <w:r>
              <w:rPr>
                <w:rFonts w:ascii="Nunito Sans" w:cs="Nunito Sans" w:eastAsia="Nunito Sans" w:hAnsi="Nunito Sans"/>
                <w:color w:val="102E3B"/>
                <w:sz w:val="19"/>
                <w:szCs w:val="19"/>
              </w:rPr>
              <w:t xml:space="preserve">Según el Reglamento General de Protección de Datos (RGPD), una EIPD es obligatoria cuando es probable que el tratamiento entrañe un alto riesgo para las personas, y muchas autoridades nacionales publican listas de actividades que siempre la requieren. La Data Protection Act 2019 de Kenia exige una EIPD para los tratamientos que probablemente entrañen un alto riesgo, y su reglamento exige compartirla con el Data Commissioner antes de iniciar el tratamiento; comprueba el plazo vigente. La Data Protection Act 2023 de Nigeria la exige cuando es probable que el tratamiento entrañe un alto riesgo. La Ley 27 de 2022 de Indonesia exige una evaluación de impacto para los tratamientos de alto riesgo. En Brasil, la ANPD puede solicitar un informe de impacto en la protección de datos conforme a la LGPD. El reglamento de la POPIA de Sudáfrica exige que el responsable de información (information officer) se asegure de que se realice una evaluación de impacto sobre la información personal. La DPDP Act 2023 de la India solo exige EIPD periódicas a las organizaciones designadas como fiduciarios de datos significativos (significant data fiduciaries). Aunque no sea obligatoria, una EIPD es una buena práctica para las actividades de la lista anterior.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usar este formulario</w:t>
      </w:r>
    </w:p>
    <w:p>
      <w:pPr>
        <w:pStyle w:val="ListParagraph"/>
        <w:numPr>
          <w:ilvl w:val="0"/>
          <w:numId w:val="3"/>
        </w:numPr>
        <w:spacing w:after="80" w:line="290"/>
      </w:pPr>
      <w:r>
        <w:rPr>
          <w:rFonts w:ascii="Nunito Sans" w:cs="Nunito Sans" w:eastAsia="Nunito Sans" w:hAnsi="Nunito Sans"/>
          <w:b/>
          <w:bCs/>
          <w:color w:val="102E3B"/>
          <w:sz w:val="20"/>
          <w:szCs w:val="20"/>
        </w:rPr>
        <w:t xml:space="preserve">Quién lo completa:</w:t>
      </w:r>
      <w:r>
        <w:rPr>
          <w:rFonts w:ascii="Nunito Sans" w:cs="Nunito Sans" w:eastAsia="Nunito Sans" w:hAnsi="Nunito Sans"/>
          <w:color w:val="102E3B"/>
          <w:sz w:val="20"/>
          <w:szCs w:val="20"/>
        </w:rPr>
        <w:t xml:space="preserve"> la persona responsable del proyecto, con la ayuda de la persona responsable de protección de datos,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Cuándo:</w:t>
      </w:r>
      <w:r>
        <w:rPr>
          <w:rFonts w:ascii="Nunito Sans" w:cs="Nunito Sans" w:eastAsia="Nunito Sans" w:hAnsi="Nunito Sans"/>
          <w:color w:val="102E3B"/>
          <w:sz w:val="20"/>
          <w:szCs w:val="20"/>
        </w:rPr>
        <w:t xml:space="preserve"> en la fase de diseño, antes de recopilar datos o firmar un contrato. No después del lanzamiento.</w:t>
      </w:r>
    </w:p>
    <w:p>
      <w:pPr>
        <w:pStyle w:val="ListParagraph"/>
        <w:numPr>
          <w:ilvl w:val="0"/>
          <w:numId w:val="3"/>
        </w:numPr>
        <w:spacing w:after="80" w:line="290"/>
      </w:pPr>
      <w:r>
        <w:rPr>
          <w:rFonts w:ascii="Nunito Sans" w:cs="Nunito Sans" w:eastAsia="Nunito Sans" w:hAnsi="Nunito Sans"/>
          <w:b/>
          <w:bCs/>
          <w:color w:val="102E3B"/>
          <w:sz w:val="20"/>
          <w:szCs w:val="20"/>
        </w:rPr>
        <w:t xml:space="preserve">Cuánto tiempo:</w:t>
      </w:r>
      <w:r>
        <w:rPr>
          <w:rFonts w:ascii="Nunito Sans" w:cs="Nunito Sans" w:eastAsia="Nunito Sans" w:hAnsi="Nunito Sans"/>
          <w:color w:val="102E3B"/>
          <w:sz w:val="20"/>
          <w:szCs w:val="20"/>
        </w:rPr>
        <w:t xml:space="preserve"> las respuestas deben ser breves. Suele bastar un párrafo por pregunta.</w:t>
      </w:r>
    </w:p>
    <w:p>
      <w:pPr>
        <w:pStyle w:val="ListParagraph"/>
        <w:numPr>
          <w:ilvl w:val="0"/>
          <w:numId w:val="3"/>
        </w:numPr>
        <w:spacing w:after="80" w:line="290"/>
      </w:pPr>
      <w:r>
        <w:rPr>
          <w:rFonts w:ascii="Nunito Sans" w:cs="Nunito Sans" w:eastAsia="Nunito Sans" w:hAnsi="Nunito Sans"/>
          <w:b/>
          <w:bCs/>
          <w:color w:val="102E3B"/>
          <w:sz w:val="20"/>
          <w:szCs w:val="20"/>
        </w:rPr>
        <w:t xml:space="preserve">Quién lo firma: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[la dirección / la persona responsable de protección de datos]</w:t>
      </w:r>
      <w:r>
        <w:rPr>
          <w:rFonts w:ascii="Nunito Sans" w:cs="Nunito Sans" w:eastAsia="Nunito Sans" w:hAnsi="Nunito Sans"/>
          <w:color w:val="102E3B"/>
          <w:sz w:val="20"/>
          <w:szCs w:val="20"/>
        </w:rPr>
        <w:t xml:space="preserve"> lo aprueba. Si el riesgo restante es alto, decide el órgano de gobierno.</w:t>
      </w:r>
    </w:p>
    <w:p>
      <w:pPr>
        <w:pStyle w:val="ListParagraph"/>
        <w:numPr>
          <w:ilvl w:val="0"/>
          <w:numId w:val="3"/>
        </w:numPr>
        <w:spacing w:after="80" w:line="290"/>
      </w:pPr>
      <w:r>
        <w:rPr>
          <w:rFonts w:ascii="Nunito Sans" w:cs="Nunito Sans" w:eastAsia="Nunito Sans" w:hAnsi="Nunito Sans"/>
          <w:b/>
          <w:bCs/>
          <w:color w:val="102E3B"/>
          <w:sz w:val="20"/>
          <w:szCs w:val="20"/>
        </w:rPr>
        <w:t xml:space="preserve">Dónde se conserva:</w:t>
      </w:r>
      <w:r>
        <w:rPr>
          <w:rFonts w:ascii="Nunito Sans" w:cs="Nunito Sans" w:eastAsia="Nunito Sans" w:hAnsi="Nunito Sans"/>
          <w:color w:val="102E3B"/>
          <w:sz w:val="20"/>
          <w:szCs w:val="20"/>
        </w:rPr>
        <w:t xml:space="preserve"> con el expediente del proyecto y nuestro registro de actividades de tratamiento, durante toda la actividad más </w:t>
      </w:r>
      <w:r>
        <w:rPr>
          <w:rFonts w:ascii="Nunito Sans" w:cs="Nunito Sans" w:eastAsia="Nunito Sans" w:hAnsi="Nunito Sans"/>
          <w:color w:val="102E3B"/>
          <w:sz w:val="20"/>
          <w:szCs w:val="20"/>
          <w:highlight w:val="yellow"/>
        </w:rPr>
        <w:t xml:space="preserve">[3 años]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Revisión:</w:t>
      </w:r>
      <w:r>
        <w:rPr>
          <w:rFonts w:ascii="Nunito Sans" w:cs="Nunito Sans" w:eastAsia="Nunito Sans" w:hAnsi="Nunito Sans"/>
          <w:color w:val="102E3B"/>
          <w:sz w:val="20"/>
          <w:szCs w:val="20"/>
        </w:rPr>
        <w:t xml:space="preserve"> en la fecha fijada en la Parte 8, y siempre que cambie la actividad.</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La evaluación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de la actividad o del proyecto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del proyecto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inicio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Versión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Parte 1. Describir el tratamiento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qué consiste la actividad y cuál es su finalidad?</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quién es la información que usaremos y, aproximadamente, de cuántas personas?</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información recopilaremos? Señale cualquier información sensible.</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la recopilaremos y de quién?</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¿Dónde se almacenará y en qué sistemas o herramientas?</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 tendrá acceso, dentro y fuera de </w:t>
            </w:r>
            <w:r>
              <w:rPr>
                <w:rFonts w:ascii="Nunito Sans" w:cs="Nunito Sans" w:eastAsia="Nunito Sans" w:hAnsi="Nunito Sans"/>
                <w:color w:val="102E3B"/>
                <w:sz w:val="18"/>
                <w:szCs w:val="18"/>
                <w:highlight w:val="yellow"/>
              </w:rPr>
              <w:t xml:space="preserve">[Nombre de la organización]</w:t>
            </w:r>
            <w:r>
              <w:rPr>
                <w:rFonts w:ascii="Nunito Sans" w:cs="Nunito Sans" w:eastAsia="Nunito Sans" w:hAnsi="Nunito Sans"/>
                <w:color w:val="102E3B"/>
                <w:sz w:val="18"/>
                <w:szCs w:val="18"/>
              </w:rPr>
              <w:t xml:space="preserv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compartiremos, y con quién?</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transferirá a otro país? ¿A cuál y con qué garantías?</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¿Cuánto tiempo la conservaremos y cómo la eliminaremos?</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Parte 2. Necesidad y proporcionalidad</w:t>
      </w:r>
    </w:p>
    <w:p>
      <w:pPr>
        <w:spacing w:after="120" w:before="0" w:line="300"/>
      </w:pPr>
      <w:r>
        <w:rPr>
          <w:rFonts w:ascii="Nunito Sans" w:cs="Nunito Sans" w:eastAsia="Nunito Sans" w:hAnsi="Nunito Sans"/>
          <w:color w:val="102E3B"/>
          <w:sz w:val="20"/>
          <w:szCs w:val="20"/>
        </w:rPr>
        <w:t xml:space="preserve">Responda brevemente a cada pregunta.</w:t>
      </w:r>
    </w:p>
    <w:p>
      <w:pPr>
        <w:pStyle w:val="ListParagraph"/>
        <w:numPr>
          <w:ilvl w:val="0"/>
          <w:numId w:val="4"/>
        </w:numPr>
        <w:spacing w:after="80" w:line="290"/>
      </w:pPr>
      <w:r>
        <w:rPr>
          <w:rFonts w:ascii="Nunito Sans" w:cs="Nunito Sans" w:eastAsia="Nunito Sans" w:hAnsi="Nunito Sans"/>
          <w:color w:val="102E3B"/>
          <w:sz w:val="20"/>
          <w:szCs w:val="20"/>
        </w:rPr>
        <w:t xml:space="preserve">¿Cuál es nuestra base jurídica para cada uso, por ejemplo el consentimiento, un contrato, una obligación legal o el interés legítimo? Si nos basamos en el consentimiento, ¿pueden las personas negarse sin perder los servicios?</w:t>
      </w:r>
    </w:p>
    <w:p>
      <w:pPr>
        <w:pStyle w:val="ListParagraph"/>
        <w:numPr>
          <w:ilvl w:val="0"/>
          <w:numId w:val="4"/>
        </w:numPr>
        <w:spacing w:after="80" w:line="290"/>
      </w:pPr>
      <w:r>
        <w:rPr>
          <w:rFonts w:ascii="Nunito Sans" w:cs="Nunito Sans" w:eastAsia="Nunito Sans" w:hAnsi="Nunito Sans"/>
          <w:color w:val="102E3B"/>
          <w:sz w:val="20"/>
          <w:szCs w:val="20"/>
        </w:rPr>
        <w:t xml:space="preserve">¿Podríamos lograr la finalidad con menos información, o con datos anónimos o agregados, es decir, totales que no identifican a nadie?</w:t>
      </w:r>
    </w:p>
    <w:p>
      <w:pPr>
        <w:pStyle w:val="ListParagraph"/>
        <w:numPr>
          <w:ilvl w:val="0"/>
          <w:numId w:val="4"/>
        </w:numPr>
        <w:spacing w:after="80" w:line="290"/>
      </w:pPr>
      <w:r>
        <w:rPr>
          <w:rFonts w:ascii="Nunito Sans" w:cs="Nunito Sans" w:eastAsia="Nunito Sans" w:hAnsi="Nunito Sans"/>
          <w:color w:val="102E3B"/>
          <w:sz w:val="20"/>
          <w:szCs w:val="20"/>
        </w:rPr>
        <w:t xml:space="preserve">¿Cómo informaremos a las personas sobre el tratamiento, en su idioma y en un formato que entiendan?</w:t>
      </w:r>
    </w:p>
    <w:p>
      <w:pPr>
        <w:pStyle w:val="ListParagraph"/>
        <w:numPr>
          <w:ilvl w:val="0"/>
          <w:numId w:val="4"/>
        </w:numPr>
        <w:spacing w:after="80" w:line="290"/>
      </w:pPr>
      <w:r>
        <w:rPr>
          <w:rFonts w:ascii="Nunito Sans" w:cs="Nunito Sans" w:eastAsia="Nunito Sans" w:hAnsi="Nunito Sans"/>
          <w:color w:val="102E3B"/>
          <w:sz w:val="20"/>
          <w:szCs w:val="20"/>
        </w:rPr>
        <w:t xml:space="preserve">¿Cómo ejercerán las personas sus derechos, como el acceso y la supresión?</w:t>
      </w:r>
    </w:p>
    <w:p>
      <w:pPr>
        <w:pStyle w:val="ListParagraph"/>
        <w:numPr>
          <w:ilvl w:val="0"/>
          <w:numId w:val="4"/>
        </w:numPr>
        <w:spacing w:after="80" w:line="290"/>
      </w:pPr>
      <w:r>
        <w:rPr>
          <w:rFonts w:ascii="Nunito Sans" w:cs="Nunito Sans" w:eastAsia="Nunito Sans" w:hAnsi="Nunito Sans"/>
          <w:color w:val="102E3B"/>
          <w:sz w:val="20"/>
          <w:szCs w:val="20"/>
        </w:rPr>
        <w:t xml:space="preserve">¿Cómo mantendremos la información exacta?</w:t>
      </w:r>
    </w:p>
    <w:p>
      <w:pPr>
        <w:pStyle w:val="ListParagraph"/>
        <w:numPr>
          <w:ilvl w:val="0"/>
          <w:numId w:val="4"/>
        </w:numPr>
        <w:spacing w:after="80" w:line="290"/>
      </w:pPr>
      <w:r>
        <w:rPr>
          <w:rFonts w:ascii="Nunito Sans" w:cs="Nunito Sans" w:eastAsia="Nunito Sans" w:hAnsi="Nunito Sans"/>
          <w:color w:val="102E3B"/>
          <w:sz w:val="20"/>
          <w:szCs w:val="20"/>
        </w:rPr>
        <w:t xml:space="preserve">¿Tienen nuestros proveedores de servicios y socios acuerdos por escrito que protejan los datos?</w:t>
      </w:r>
    </w:p>
    <w:p>
      <w:pPr>
        <w:pStyle w:val="ListParagraph"/>
        <w:numPr>
          <w:ilvl w:val="0"/>
          <w:numId w:val="4"/>
        </w:numPr>
        <w:spacing w:after="80" w:line="290"/>
      </w:pPr>
      <w:r>
        <w:rPr>
          <w:rFonts w:ascii="Nunito Sans" w:cs="Nunito Sans" w:eastAsia="Nunito Sans" w:hAnsi="Nunito Sans"/>
          <w:color w:val="102E3B"/>
          <w:sz w:val="20"/>
          <w:szCs w:val="20"/>
        </w:rPr>
        <w:t xml:space="preserve">¿Cuánto tiempo necesitamos realmente los datos, y coincide con nuestro Calendario de Conservación de Registros?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BASE JURÍDICA Y CONSENTIMIENTO</w:t>
            </w:r>
          </w:p>
          <w:p>
            <w:pPr>
              <w:spacing w:after="120" w:before="0" w:line="300"/>
            </w:pPr>
            <w:r>
              <w:rPr>
                <w:rFonts w:ascii="Nunito Sans" w:cs="Nunito Sans" w:eastAsia="Nunito Sans" w:hAnsi="Nunito Sans"/>
                <w:color w:val="102E3B"/>
                <w:sz w:val="19"/>
                <w:szCs w:val="19"/>
              </w:rPr>
              <w:t xml:space="preserve">En muchas de las comunidades a las que servimos, las personas pueden sentir que no pueden negar su consentimiento porque dependen de nuestro apoyo. En ese caso, el consentimiento no se da libremente, y debes considerar otra base jurídica, con información clara y una forma real de negarse. Indica las bases jurídicas que prevé tu ley local, porque varían: por ejemplo, la DPDP Act 2023 de la India se basa principalmente en el consentimiento y en una breve lista de "usos legítimos", en lugar de las seis bases del RGPD.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Parte 3. Consultar a las personas afectadas</w:t>
      </w:r>
    </w:p>
    <w:p>
      <w:pPr>
        <w:spacing w:after="120" w:before="0" w:line="300"/>
      </w:pPr>
      <w:r>
        <w:rPr>
          <w:rFonts w:ascii="Nunito Sans" w:cs="Nunito Sans" w:eastAsia="Nunito Sans" w:hAnsi="Nunito Sans"/>
          <w:color w:val="102E3B"/>
          <w:sz w:val="20"/>
          <w:szCs w:val="20"/>
        </w:rPr>
        <w:t xml:space="preserve">Cuando sea práctico, pregunte su opinión a las personas cuya información se va a utilizar, o a personas en una situación similar. Una breve conversación con un grupo comunitario, representantes de participantes o el personal puede revelar riesgos que nosotros no veríamos.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quién consultamos y cómo?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inquietudes o ideas plantearon?</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cambiamos como resultado?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 no consultamos, ¿por qué no?</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CONSULTAR DE FORMA SEGURA</w:t>
            </w:r>
          </w:p>
          <w:p>
            <w:pPr>
              <w:spacing w:after="120" w:before="0" w:line="300"/>
            </w:pPr>
            <w:r>
              <w:rPr>
                <w:rFonts w:ascii="Nunito Sans" w:cs="Nunito Sans" w:eastAsia="Nunito Sans" w:hAnsi="Nunito Sans"/>
                <w:color w:val="102E3B"/>
                <w:sz w:val="19"/>
                <w:szCs w:val="19"/>
              </w:rPr>
              <w:t xml:space="preserve">Consulta de una forma que no genere riesgos por sí misma. En el caso de personas supervivientes de violencia o de personas en contextos de conflicto, pregunta a socios con experiencia o a personal que trabaje de cerca con ellas, en lugar de a las propias personas. Para un sistema del personal, consulta al personal o a sus representantes. Anota brevemente lo que se dijo.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Parte 4. Identificar los riesgos</w:t>
      </w:r>
    </w:p>
    <w:p>
      <w:pPr>
        <w:spacing w:after="120" w:before="0" w:line="300"/>
      </w:pPr>
      <w:r>
        <w:rPr>
          <w:rFonts w:ascii="Nunito Sans" w:cs="Nunito Sans" w:eastAsia="Nunito Sans" w:hAnsi="Nunito Sans"/>
          <w:color w:val="102E3B"/>
          <w:sz w:val="20"/>
          <w:szCs w:val="20"/>
        </w:rPr>
        <w:t xml:space="preserve">Enumere los riesgos para las personas, no para la organización. Tenga en cuenta los daños físicos, la discriminación, la suplantación de identidad, las pérdidas económicas, la pérdida de confidencialidad, la angustia y la pérdida de acceso a servicios. Después, califique cada riesgo.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3142"/>
        <w:gridCol w:w="3144"/>
      </w:tblGrid>
      <w:tr>
        <w:trPr>
          <w:cantSplit/>
          <w:tblHeader/>
        </w:trPr>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PROBABILIDAD</w:t>
            </w:r>
          </w:p>
        </w:tc>
        <w:tc>
          <w:tcPr>
            <w:tcW w:type="dxa" w:w="3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GRAVEDAD</w:t>
            </w:r>
          </w:p>
        </w:tc>
        <w:tc>
          <w:tcPr>
            <w:tcW w:type="dxa" w:w="314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GLOBAL</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Remota:</w:t>
            </w:r>
            <w:r>
              <w:rPr>
                <w:rFonts w:ascii="Nunito Sans" w:cs="Nunito Sans" w:eastAsia="Nunito Sans" w:hAnsi="Nunito Sans"/>
                <w:color w:val="102E3B"/>
                <w:sz w:val="18"/>
                <w:szCs w:val="18"/>
              </w:rPr>
              <w:t xml:space="preserve"> es improbable que ocurra</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Mínima:</w:t>
            </w:r>
            <w:r>
              <w:rPr>
                <w:rFonts w:ascii="Nunito Sans" w:cs="Nunito Sans" w:eastAsia="Nunito Sans" w:hAnsi="Nunito Sans"/>
                <w:color w:val="102E3B"/>
                <w:sz w:val="18"/>
                <w:szCs w:val="18"/>
              </w:rPr>
              <w:t xml:space="preserve"> molestia a corto plazo</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Posible:</w:t>
            </w:r>
            <w:r>
              <w:rPr>
                <w:rFonts w:ascii="Nunito Sans" w:cs="Nunito Sans" w:eastAsia="Nunito Sans" w:hAnsi="Nunito Sans"/>
                <w:color w:val="102E3B"/>
                <w:sz w:val="18"/>
                <w:szCs w:val="18"/>
              </w:rPr>
              <w:t xml:space="preserve"> podría ocurrir</w:t>
            </w:r>
          </w:p>
        </w:tc>
        <w:tc>
          <w:tcPr>
            <w:tcW w:type="dxa" w:w="3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Significativa:</w:t>
            </w:r>
            <w:r>
              <w:rPr>
                <w:rFonts w:ascii="Nunito Sans" w:cs="Nunito Sans" w:eastAsia="Nunito Sans" w:hAnsi="Nunito Sans"/>
                <w:color w:val="102E3B"/>
                <w:sz w:val="18"/>
                <w:szCs w:val="18"/>
              </w:rPr>
              <w:t xml:space="preserve"> daño grave pero reversible</w:t>
            </w:r>
          </w:p>
        </w:tc>
        <w:tc>
          <w:tcPr>
            <w:tcW w:type="dxa" w:w="314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Probable:</w:t>
            </w:r>
            <w:r>
              <w:rPr>
                <w:rFonts w:ascii="Nunito Sans" w:cs="Nunito Sans" w:eastAsia="Nunito Sans" w:hAnsi="Nunito Sans"/>
                <w:color w:val="102E3B"/>
                <w:sz w:val="18"/>
                <w:szCs w:val="18"/>
              </w:rPr>
              <w:t xml:space="preserve"> es probable que ocurra</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Severa:</w:t>
            </w:r>
            <w:r>
              <w:rPr>
                <w:rFonts w:ascii="Nunito Sans" w:cs="Nunito Sans" w:eastAsia="Nunito Sans" w:hAnsi="Nunito Sans"/>
                <w:color w:val="102E3B"/>
                <w:sz w:val="18"/>
                <w:szCs w:val="18"/>
              </w:rPr>
              <w:t xml:space="preserve"> daño duradero o irreversible, o peligro para la seguridad</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r>
    </w:tbl>
    <w:p>
      <w:pPr>
        <w:spacing w:after="120"/>
      </w:pPr>
    </w:p>
    <w:p>
      <w:pPr>
        <w:spacing w:after="120" w:before="0" w:line="300"/>
      </w:pPr>
      <w:r>
        <w:rPr>
          <w:rFonts w:ascii="Nunito Sans" w:cs="Nunito Sans" w:eastAsia="Nunito Sans" w:hAnsi="Nunito Sans"/>
          <w:color w:val="102E3B"/>
          <w:sz w:val="20"/>
          <w:szCs w:val="20"/>
        </w:rPr>
        <w:t xml:space="preserve">El riesgo global es alto si una de las calificaciones está en el nivel superior y la otra al menos en el intermedio, y bajo si ambas están en el nivel más bajo. En los demás casos, es medio. Use su criterio cuando esto no encaje.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1"/>
        <w:gridCol w:w="1714"/>
        <w:gridCol w:w="1714"/>
        <w:gridCol w:w="1715"/>
      </w:tblGrid>
      <w:tr>
        <w:trPr>
          <w:cantSplit/>
          <w:tblHeader/>
        </w:trPr>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RIESGO PARA LAS PERSONAS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PROBABILIDAD</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GRAVEDAD</w:t>
            </w:r>
          </w:p>
        </w:tc>
        <w:tc>
          <w:tcPr>
            <w:tcW w:type="dxa" w:w="1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GLOBAL</w:t>
            </w:r>
          </w:p>
        </w:tc>
      </w:tr>
      <w:tr>
        <w:trPr>
          <w:cantSplit/>
          <w:tblHeader w:val="off"/>
        </w:trPr>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el proveedor de transcripción con IA conserva las grabaciones de entrevistas con jóvenes y las usa para entrenar sus modelos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Posible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Significativa</w:t>
            </w: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r>
      <w:tr>
        <w:trPr>
          <w:cantSplit/>
          <w:tblHeader w:val="off"/>
        </w:trPr>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una lista de participantes compartida con un socio se reenvía a las autoridades locales, exponiendo a las personas a ser detenidas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Remota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Severa</w:t>
            </w:r>
          </w:p>
        </w:tc>
        <w:tc>
          <w:tcPr>
            <w:tcW w:type="dxa" w:w="1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r>
      <w:tr>
        <w:trPr>
          <w:cantSplit/>
          <w:tblHeader w:val="off"/>
        </w:trPr>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el personal de campo usa teléfonos personales, que se pierden o se comparten con familiares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Probable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Significativa</w:t>
            </w: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r>
      <w:tr>
        <w:trPr>
          <w:cantSplit/>
          <w:tblHeader w:val="off"/>
        </w:trPr>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Parte 5. Medidas para reducir los riesgos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3238"/>
        <w:gridCol w:w="1523"/>
        <w:gridCol w:w="190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RIESGO</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MEDIDA</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transcripción con IA</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Elegir un proveedor que por contrato no entrene con nuestros datos; eliminar el audio en un plazo de </w:t>
            </w:r>
            <w:r>
              <w:rPr>
                <w:rFonts w:ascii="Nunito Sans" w:cs="Nunito Sans" w:eastAsia="Nunito Sans" w:hAnsi="Nunito Sans"/>
                <w:color w:val="102E3B"/>
                <w:sz w:val="18"/>
                <w:szCs w:val="18"/>
                <w:highlight w:val="yellow"/>
              </w:rPr>
              <w:t xml:space="preserve">[30 días]</w:t>
            </w:r>
            <w:r>
              <w:rPr>
                <w:rFonts w:ascii="Nunito Sans" w:cs="Nunito Sans" w:eastAsia="Nunito Sans" w:hAnsi="Nunito Sans"/>
                <w:color w:val="102E3B"/>
                <w:sz w:val="18"/>
                <w:szCs w:val="18"/>
              </w:rPr>
              <w:t xml:space="preserve">; quitar los nombres antes de subirlo</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lista del socio</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Compartir solo cifras agregadas; firmar un Acuerdo de Intercambio de Datos que limite la comunicación a terceros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teléfonos personales</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Entregar teléfonos de trabajo con PIN y borrado remoto; ningún dato de participantes en dispositivos personales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NUEVAS TECNOLOGÍAS E IA</w:t>
            </w:r>
          </w:p>
          <w:p>
            <w:pPr>
              <w:spacing w:after="120" w:before="0" w:line="300"/>
            </w:pPr>
            <w:r>
              <w:rPr>
                <w:rFonts w:ascii="Nunito Sans" w:cs="Nunito Sans" w:eastAsia="Nunito Sans" w:hAnsi="Nunito Sans"/>
                <w:color w:val="102E3B"/>
                <w:sz w:val="19"/>
                <w:szCs w:val="19"/>
              </w:rPr>
              <w:t xml:space="preserve">En el caso de las herramientas de IA, comprueba: dónde se tratan los datos, si el proveedor los conserva o entrena con ellos, si los resultados podrían ser erróneos o estar sesgados en contra de algunos grupos, y si una persona revisa cada decisión que afecta a alguien. Si no puedes obtener respuestas claras de un proveedor, no introduzcas información personal ni sensible en la herramienta.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Parte 6. Riesgo residual y decisión</w:t>
      </w:r>
    </w:p>
    <w:p>
      <w:pPr>
        <w:spacing w:after="120" w:before="0" w:line="300"/>
      </w:pPr>
      <w:r>
        <w:rPr>
          <w:rFonts w:ascii="Nunito Sans" w:cs="Nunito Sans" w:eastAsia="Nunito Sans" w:hAnsi="Nunito Sans"/>
          <w:color w:val="102E3B"/>
          <w:sz w:val="20"/>
          <w:szCs w:val="20"/>
        </w:rPr>
        <w:t xml:space="preserve">El riesgo residual es el riesgo que queda después de aplicar las medidas de la Parte 5.</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Riesgo residual global (bajo / medio / alto)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Seguir adelante  [ ] Seguir adelante con condiciones  [ ] No seguir adelante</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Condiciones, si las hay</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 el riesgo residual sigue siendo alto: fecha en que se consultó a la autoridad de control y su respuesta</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spacing w:after="120" w:before="0" w:line="300"/>
      </w:pPr>
      <w:r>
        <w:rPr>
          <w:rFonts w:ascii="Nunito Sans" w:cs="Nunito Sans" w:eastAsia="Nunito Sans" w:hAnsi="Nunito Sans"/>
          <w:color w:val="102E3B"/>
          <w:sz w:val="20"/>
          <w:szCs w:val="20"/>
        </w:rPr>
        <w:t xml:space="preserve">Si el riesgo residual sigue siendo alto, no empezamos hasta haberlo reducido o haber consultado a la autoridad de control. En el RGPD, esto se denomina consulta previa.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CONSULTA PREVIA</w:t>
            </w:r>
          </w:p>
          <w:p>
            <w:pPr>
              <w:spacing w:after="120" w:before="0" w:line="300"/>
            </w:pPr>
            <w:r>
              <w:rPr>
                <w:rFonts w:ascii="Nunito Sans" w:cs="Nunito Sans" w:eastAsia="Nunito Sans" w:hAnsi="Nunito Sans"/>
                <w:color w:val="102E3B"/>
                <w:sz w:val="19"/>
                <w:szCs w:val="19"/>
              </w:rPr>
              <w:t xml:space="preserve">El RGPD exige una consulta previa a la autoridad de control cuando una EIPD muestra un alto riesgo que no puede reducirse. Varias otras leyes contienen obligaciones similares, pero las normas varían. Consulta tu ley local y la guía de tu autoridad de control sobre cuándo y cómo consultar.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Parte 7. 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 COMENTARIOS Y FECHA</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del proyecto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Asesoramiento de la persona responsable de protección de datos</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Asesoramiento de la persona delegada de protección de datos, si la tenemos</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Aprobado por</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Aprobado por: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Parte 8. Revisión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revisión</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 normalmente dentro de los 12 meses siguientes]</w:t>
            </w: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 también cuando</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Cambien la actividad, los datos, la tecnología, los socios o la ley, o después de una brecha</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 la revisará</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Notas de orientación</w:t>
      </w:r>
    </w:p>
    <w:p>
      <w:pPr>
        <w:pStyle w:val="ListParagraph"/>
        <w:numPr>
          <w:ilvl w:val="0"/>
          <w:numId w:val="3"/>
        </w:numPr>
        <w:spacing w:after="80" w:line="290"/>
      </w:pPr>
      <w:r>
        <w:rPr>
          <w:rFonts w:ascii="Nunito Sans" w:cs="Nunito Sans" w:eastAsia="Nunito Sans" w:hAnsi="Nunito Sans"/>
          <w:b/>
          <w:bCs/>
          <w:color w:val="102E3B"/>
          <w:sz w:val="20"/>
          <w:szCs w:val="20"/>
        </w:rPr>
        <w:t xml:space="preserve">Empiece con poco.</w:t>
      </w:r>
      <w:r>
        <w:rPr>
          <w:rFonts w:ascii="Nunito Sans" w:cs="Nunito Sans" w:eastAsia="Nunito Sans" w:hAnsi="Nunito Sans"/>
          <w:color w:val="102E3B"/>
          <w:sz w:val="20"/>
          <w:szCs w:val="20"/>
        </w:rPr>
        <w:t xml:space="preserve"> Una EIPD de una página hecha antes del lanzamiento es mejor que una larga hecha después de un problema.</w:t>
      </w:r>
    </w:p>
    <w:p>
      <w:pPr>
        <w:pStyle w:val="ListParagraph"/>
        <w:numPr>
          <w:ilvl w:val="0"/>
          <w:numId w:val="3"/>
        </w:numPr>
        <w:spacing w:after="80" w:line="290"/>
      </w:pPr>
      <w:r>
        <w:rPr>
          <w:rFonts w:ascii="Nunito Sans" w:cs="Nunito Sans" w:eastAsia="Nunito Sans" w:hAnsi="Nunito Sans"/>
          <w:b/>
          <w:bCs/>
          <w:color w:val="102E3B"/>
          <w:sz w:val="20"/>
          <w:szCs w:val="20"/>
        </w:rPr>
        <w:t xml:space="preserve">Escriba para quien la va a leer.</w:t>
      </w:r>
      <w:r>
        <w:rPr>
          <w:rFonts w:ascii="Nunito Sans" w:cs="Nunito Sans" w:eastAsia="Nunito Sans" w:hAnsi="Nunito Sans"/>
          <w:color w:val="102E3B"/>
          <w:sz w:val="20"/>
          <w:szCs w:val="20"/>
        </w:rPr>
        <w:t xml:space="preserve"> Un financiador o una autoridad de control debe entender qué hace usted y por qué es seguro.</w:t>
      </w:r>
    </w:p>
    <w:p>
      <w:pPr>
        <w:pStyle w:val="ListParagraph"/>
        <w:numPr>
          <w:ilvl w:val="0"/>
          <w:numId w:val="3"/>
        </w:numPr>
        <w:spacing w:after="80" w:line="290"/>
      </w:pPr>
      <w:r>
        <w:rPr>
          <w:rFonts w:ascii="Nunito Sans" w:cs="Nunito Sans" w:eastAsia="Nunito Sans" w:hAnsi="Nunito Sans"/>
          <w:b/>
          <w:bCs/>
          <w:color w:val="102E3B"/>
          <w:sz w:val="20"/>
          <w:szCs w:val="20"/>
        </w:rPr>
        <w:t xml:space="preserve">Sea honesto sobre el riesgo.</w:t>
      </w:r>
      <w:r>
        <w:rPr>
          <w:rFonts w:ascii="Nunito Sans" w:cs="Nunito Sans" w:eastAsia="Nunito Sans" w:hAnsi="Nunito Sans"/>
          <w:color w:val="102E3B"/>
          <w:sz w:val="20"/>
          <w:szCs w:val="20"/>
        </w:rPr>
        <w:t xml:space="preserve"> Una EIPD que no muestra ningún riesgo no es creíble.</w:t>
      </w:r>
    </w:p>
    <w:p>
      <w:pPr>
        <w:pStyle w:val="ListParagraph"/>
        <w:numPr>
          <w:ilvl w:val="0"/>
          <w:numId w:val="3"/>
        </w:numPr>
        <w:spacing w:after="80" w:line="290"/>
      </w:pPr>
      <w:r>
        <w:rPr>
          <w:rFonts w:ascii="Nunito Sans" w:cs="Nunito Sans" w:eastAsia="Nunito Sans" w:hAnsi="Nunito Sans"/>
          <w:b/>
          <w:bCs/>
          <w:color w:val="102E3B"/>
          <w:sz w:val="20"/>
          <w:szCs w:val="20"/>
        </w:rPr>
        <w:t xml:space="preserve">Vincúlela con el resto de su sistema.</w:t>
      </w:r>
      <w:r>
        <w:rPr>
          <w:rFonts w:ascii="Nunito Sans" w:cs="Nunito Sans" w:eastAsia="Nunito Sans" w:hAnsi="Nunito Sans"/>
          <w:color w:val="102E3B"/>
          <w:sz w:val="20"/>
          <w:szCs w:val="20"/>
        </w:rPr>
        <w:t xml:space="preserve"> Añada los riesgos altos al Registro de Riesgos, actualice el Aviso de Privacidad y use un Acuerdo de Intercambio de Datos con los socios.</w:t>
      </w:r>
    </w:p>
    <w:p>
      <w:pPr>
        <w:pStyle w:val="ListParagraph"/>
        <w:numPr>
          <w:ilvl w:val="0"/>
          <w:numId w:val="3"/>
        </w:numPr>
        <w:spacing w:after="80" w:line="290"/>
      </w:pPr>
      <w:r>
        <w:rPr>
          <w:rFonts w:ascii="Nunito Sans" w:cs="Nunito Sans" w:eastAsia="Nunito Sans" w:hAnsi="Nunito Sans"/>
          <w:b/>
          <w:bCs/>
          <w:color w:val="102E3B"/>
          <w:sz w:val="20"/>
          <w:szCs w:val="20"/>
        </w:rPr>
        <w:t xml:space="preserve">Manténgala viva.</w:t>
      </w:r>
      <w:r>
        <w:rPr>
          <w:rFonts w:ascii="Nunito Sans" w:cs="Nunito Sans" w:eastAsia="Nunito Sans" w:hAnsi="Nunito Sans"/>
          <w:color w:val="102E3B"/>
          <w:sz w:val="20"/>
          <w:szCs w:val="20"/>
        </w:rPr>
        <w:t xml:space="preserve"> Revísela cuando cambien las cosas y deje constancia de lo que cambió.</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Evaluación de Impacto en la Protección de Datos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0A015942-FEDA-2B4D-02AF-54B668B7DDDD}"/>
  </w:font>
  <w:font w:name="DM Serif Display">
    <w:family w:val="auto"/>
    <w:pitch w:val="variable"/>
    <w:sig w:usb0="E0002AFF" w:usb1="C000247B" w:usb2="00000009" w:usb3="00000000" w:csb0="000001FF" w:csb1="00000000"/>
    <w:embedRegular r:id="rId2" w:fontKey="{AABFE7C2-8A9D-ACB5-20ED-55B905AC2B6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Evaluación de Impacto en la Protección de Datos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EVALUACIÓN DE IMPACTO EN LA PROTECCIÓN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Impacto en la Protección de Datos</dc:title>
  <dc:creator>Method into Impact</dc:creator>
  <dc:description>Un formulario breve, paso a paso, que [[Nombre de la organización]] utiliza para detectar y reducir los riesgos para la privacidad antes de iniciar un nuevo proyecto, sistema o intercambio de datos.</dc:description>
  <cp:lastModifiedBy>Un-named</cp:lastModifiedBy>
  <cp:revision>1</cp:revision>
  <dcterms:created xsi:type="dcterms:W3CDTF">2026-10-29T06:09:23.490Z</dcterms:created>
  <dcterms:modified xsi:type="dcterms:W3CDTF">2026-10-29T06:09:23.490Z</dcterms:modified>
</cp:coreProperties>
</file>

<file path=docProps/custom.xml><?xml version="1.0" encoding="utf-8"?>
<Properties xmlns="http://schemas.openxmlformats.org/officeDocument/2006/custom-properties" xmlns:vt="http://schemas.openxmlformats.org/officeDocument/2006/docPropsVTypes"/>
</file>