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ACUERDO · PROTECCIÓN DE DATOS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Acuerdo de Intercambio de Datos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 acuerdo para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y otra organización que comparten datos personales, y que deciden cada una por su cuenta cómo los usan. Establece qué se comparte, por qué, cómo se protege y qué hace cada parte cuando algo sale mal.</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Cuando compartes información sobre personas con otra organización, como una organización socia de derivación, una institución de investigación o un cofinanciador, ambas organizaciones son responsables de ella. Un acuerdo de intercambio de datos demuestra que el intercambio es necesario, lícito y seguro, y que se respetan los derechos de las personas. Los reguladores, los financiadores y las organizaciones socias lo esperan cada vez más.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Organizaciones socias de derivación y de ejecución; universidades y socios de investigación; financiadores que reciben datos de participantes; organismos públicos; autoridades de protección de datos; tu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2 a 3 horas para adaptarlo, más el tiempo para completar el Anexo 1 con la otra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Protección de Datos · Aviso de Privacidad · Evaluación de Impacto en la Protección de Datos · Procedimiento de Solicitudes de Derechos sobre los Datos · Procedimiento de Respuesta ante Brechas de Datos · Política de TI y Seguridad de la Información · Calendario de Conservación de Registros · Formulario de Consentimiento para Compartir Información · Contrato de Servicios · Memorando de Entendimiento de Alianza</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ACUERDO</w:t>
            </w:r>
          </w:p>
          <w:p>
            <w:pPr>
              <w:spacing w:after="120" w:before="0" w:line="300"/>
            </w:pPr>
            <w:r>
              <w:rPr>
                <w:rFonts w:ascii="Nunito Sans" w:cs="Nunito Sans" w:eastAsia="Nunito Sans" w:hAnsi="Nunito Sans"/>
                <w:b/>
                <w:bCs/>
                <w:color w:val="102E3B"/>
                <w:sz w:val="19"/>
                <w:szCs w:val="19"/>
              </w:rPr>
              <w:t xml:space="preserve">Úsalo</w:t>
            </w:r>
            <w:r>
              <w:rPr>
                <w:rFonts w:ascii="Nunito Sans" w:cs="Nunito Sans" w:eastAsia="Nunito Sans" w:hAnsi="Nunito Sans"/>
                <w:color w:val="102E3B"/>
                <w:sz w:val="19"/>
                <w:szCs w:val="19"/>
              </w:rPr>
              <w:t xml:space="preserve"> cuando dos organizaciones comparten datos personales y cada una decide por su cuenta por qué y cómo los usa (cada una es un "responsable del tratamiento" independiente). Ejemplos: derivar a personas usuarias a otro servicio, compartir datos de participantes con una universidad para una investigación, compartir listas de personas beneficiarias con una organización socia que coejecuta un proyecto, o comunicar datos individuales a un financiador.</w:t>
            </w:r>
          </w:p>
          <w:p>
            <w:pPr>
              <w:spacing w:after="120" w:before="0" w:line="300"/>
            </w:pPr>
            <w:r>
              <w:rPr>
                <w:rFonts w:ascii="Nunito Sans" w:cs="Nunito Sans" w:eastAsia="Nunito Sans" w:hAnsi="Nunito Sans"/>
                <w:b/>
                <w:bCs/>
                <w:color w:val="102E3B"/>
                <w:sz w:val="19"/>
                <w:szCs w:val="19"/>
              </w:rPr>
              <w:t xml:space="preserve">Usa en su lugar un acuerdo de encargo del tratamiento</w:t>
            </w:r>
            <w:r>
              <w:rPr>
                <w:rFonts w:ascii="Nunito Sans" w:cs="Nunito Sans" w:eastAsia="Nunito Sans" w:hAnsi="Nunito Sans"/>
                <w:color w:val="102E3B"/>
                <w:sz w:val="19"/>
                <w:szCs w:val="19"/>
              </w:rPr>
              <w:t xml:space="preserve"> cuando la otra organización solo maneja los datos en tu nombre y siguiendo tus instrucciones, como un servicio de alojamiento de bases de datos, una plataforma de encuestas, un proveedor de nómina o un servicio de transcripción. El Contrato de Servicios incluye cláusulas de encargo del tratamiento (Anexo 3).</w:t>
            </w:r>
          </w:p>
          <w:p>
            <w:pPr>
              <w:spacing w:after="120" w:before="0" w:line="300"/>
            </w:pPr>
            <w:r>
              <w:rPr>
                <w:rFonts w:ascii="Nunito Sans" w:cs="Nunito Sans" w:eastAsia="Nunito Sans" w:hAnsi="Nunito Sans"/>
                <w:b/>
                <w:bCs/>
                <w:color w:val="102E3B"/>
                <w:sz w:val="19"/>
                <w:szCs w:val="19"/>
              </w:rPr>
              <w:t xml:space="preserve">Usa un acuerdo de corresponsabilidad</w:t>
            </w:r>
            <w:r>
              <w:rPr>
                <w:rFonts w:ascii="Nunito Sans" w:cs="Nunito Sans" w:eastAsia="Nunito Sans" w:hAnsi="Nunito Sans"/>
                <w:color w:val="102E3B"/>
                <w:sz w:val="19"/>
                <w:szCs w:val="19"/>
              </w:rPr>
              <w:t xml:space="preserve"> cuando ambas organizaciones deciden juntas los fines y los medios, por ejemplo en un proyecto de investigación conjunto con una base de datos compartida. Conforme al Reglamento General de Protección de Datos (RGPD) (artículo 26), los corresponsables del tratamiento deben fijar sus respectivas responsabilidades en un acuerdo y poner sus aspectos esenciales a disposición de las personas afectadas. Puedes adaptar este acuerdo para ello, pero busca asesoramiento.</w:t>
            </w:r>
          </w:p>
          <w:p>
            <w:pPr>
              <w:spacing w:after="120" w:before="0" w:line="300"/>
            </w:pPr>
            <w:r>
              <w:rPr>
                <w:rFonts w:ascii="Nunito Sans" w:cs="Nunito Sans" w:eastAsia="Nunito Sans" w:hAnsi="Nunito Sans"/>
                <w:b/>
                <w:bCs/>
                <w:color w:val="102E3B"/>
                <w:sz w:val="19"/>
                <w:szCs w:val="19"/>
              </w:rPr>
              <w:t xml:space="preserve">Pregunta primero:</w:t>
            </w:r>
            <w:r>
              <w:rPr>
                <w:rFonts w:ascii="Nunito Sans" w:cs="Nunito Sans" w:eastAsia="Nunito Sans" w:hAnsi="Nunito Sans"/>
                <w:color w:val="102E3B"/>
                <w:sz w:val="19"/>
                <w:szCs w:val="19"/>
              </w:rPr>
              <w:t xml:space="preserve"> ¿es realmente necesario compartir? ¿Podrías compartir datos anonimizados o agregados? Para datos sensibles, datos sobre niños, niñas y adolescentes, o intercambios a gran escala, completa una Evaluación de Impacto en la Protección de Datos antes de firmar.</w:t>
            </w:r>
          </w:p>
          <w:p>
            <w:pPr>
              <w:spacing w:after="120" w:before="0" w:line="300"/>
            </w:pPr>
            <w:r>
              <w:rPr>
                <w:rFonts w:ascii="Nunito Sans" w:cs="Nunito Sans" w:eastAsia="Nunito Sans" w:hAnsi="Nunito Sans"/>
                <w:b/>
                <w:bCs/>
                <w:color w:val="102E3B"/>
                <w:sz w:val="19"/>
                <w:szCs w:val="19"/>
              </w:rPr>
              <w:t xml:space="preserve">Ley local:</w:t>
            </w:r>
            <w:r>
              <w:rPr>
                <w:rFonts w:ascii="Nunito Sans" w:cs="Nunito Sans" w:eastAsia="Nunito Sans" w:hAnsi="Nunito Sans"/>
                <w:color w:val="102E3B"/>
                <w:sz w:val="19"/>
                <w:szCs w:val="19"/>
              </w:rPr>
              <w:t xml:space="preserve"> esta plantilla usa los principios del RGPD como referencia ampliamente reconocida. Aplica tu propia ley, por ejemplo la Kenya Data Protection Act 2019, la Nigeria Data Protection Act 2023, la Protection of Personal Information Act (POPIA) de Sudáfrica, la LGPD de Brasil, la Digital Personal Data Protection Act 2023 de la India, la Ley 27 de 2022 de Indonesia, la Ley 25.326 de Argentina o la Ley 29733 del Perú. Algunos países exigen además la inscripción ante el regulador antes de tratar o compartir datos.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PARTE A</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PARTE B</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legal completo]</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legal completo]</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Forma jurídica y registro: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 ej., ONG registrada]</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número </w:t>
            </w:r>
            <w:r>
              <w:rPr>
                <w:rFonts w:ascii="Nunito Sans" w:cs="Nunito Sans" w:eastAsia="Nunito Sans" w:hAnsi="Nunito Sans"/>
                <w:color w:val="102E3B"/>
                <w:sz w:val="18"/>
                <w:szCs w:val="18"/>
                <w:highlight w:val="yellow"/>
              </w:rPr>
              <w:t xml:space="preserve">[número]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Forma jurídica y registro: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 ej., universidad / fundación]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número </w:t>
            </w:r>
            <w:r>
              <w:rPr>
                <w:rFonts w:ascii="Nunito Sans" w:cs="Nunito Sans" w:eastAsia="Nunito Sans" w:hAnsi="Nunito Sans"/>
                <w:color w:val="102E3B"/>
                <w:sz w:val="18"/>
                <w:szCs w:val="18"/>
                <w:highlight w:val="yellow"/>
              </w:rPr>
              <w:t xml:space="preserve">[número]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Domicilio: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[Domicilio social]</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Domicilio: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[Domicilio social]</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de protección de datos: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 correo electrónico, teléfono]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de protección de datos: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 correo electrónico, teléfono]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Inscripción ante el regulador (si procede):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[Número]</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Inscripción ante el regulador (si procede):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[Número]</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Firma en su 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Firma en su 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w:t>
            </w:r>
          </w:p>
        </w:tc>
      </w:tr>
    </w:tbl>
    <w:p>
      <w:pPr>
        <w:spacing w:after="120"/>
      </w:pPr>
    </w:p>
    <w:p>
      <w:pPr>
        <w:spacing w:after="120" w:before="0" w:line="300"/>
      </w:pPr>
      <w:r>
        <w:rPr>
          <w:rFonts w:ascii="Nunito Sans" w:cs="Nunito Sans" w:eastAsia="Nunito Sans" w:hAnsi="Nunito Sans"/>
          <w:color w:val="102E3B"/>
          <w:sz w:val="20"/>
          <w:szCs w:val="20"/>
        </w:rPr>
        <w:t xml:space="preserve">La parte que comparte los datos es la </w:t>
      </w:r>
      <w:r>
        <w:rPr>
          <w:rFonts w:ascii="Nunito Sans" w:cs="Nunito Sans" w:eastAsia="Nunito Sans" w:hAnsi="Nunito Sans"/>
          <w:b/>
          <w:bCs/>
          <w:color w:val="102E3B"/>
          <w:sz w:val="20"/>
          <w:szCs w:val="20"/>
        </w:rPr>
        <w:t xml:space="preserve">Parte Cedente</w:t>
      </w:r>
      <w:r>
        <w:rPr>
          <w:rFonts w:ascii="Nunito Sans" w:cs="Nunito Sans" w:eastAsia="Nunito Sans" w:hAnsi="Nunito Sans"/>
          <w:color w:val="102E3B"/>
          <w:sz w:val="20"/>
          <w:szCs w:val="20"/>
        </w:rPr>
        <w:t xml:space="preserve"> y la parte que los recibe es la </w:t>
      </w:r>
      <w:r>
        <w:rPr>
          <w:rFonts w:ascii="Nunito Sans" w:cs="Nunito Sans" w:eastAsia="Nunito Sans" w:hAnsi="Nunito Sans"/>
          <w:b/>
          <w:bCs/>
          <w:color w:val="102E3B"/>
          <w:sz w:val="20"/>
          <w:szCs w:val="20"/>
        </w:rPr>
        <w:t xml:space="preserve">Parte Destinataria</w:t>
      </w:r>
      <w:r>
        <w:rPr>
          <w:rFonts w:ascii="Nunito Sans" w:cs="Nunito Sans" w:eastAsia="Nunito Sans" w:hAnsi="Nunito Sans"/>
          <w:color w:val="102E3B"/>
          <w:sz w:val="20"/>
          <w:szCs w:val="20"/>
        </w:rPr>
        <w:t xml:space="preserve">. Cuando los datos circulan en ambos sentidos, cada parte es ambas cosas.</w:t>
      </w:r>
    </w:p>
    <w:p>
      <w:pPr>
        <w:pStyle w:val="Heading1"/>
        <w:keepNext/>
        <w:spacing w:after="160" w:before="360"/>
      </w:pPr>
      <w:r>
        <w:rPr>
          <w:rFonts w:ascii="DM Serif Display" w:cs="DM Serif Display" w:eastAsia="DM Serif Display" w:hAnsi="DM Serif Display"/>
          <w:color w:val="123C48"/>
          <w:sz w:val="40"/>
          <w:szCs w:val="40"/>
        </w:rPr>
        <w:t xml:space="preserve">Antecedentes</w:t>
      </w:r>
    </w:p>
    <w:p>
      <w:pPr>
        <w:pStyle w:val="ListParagraph"/>
        <w:numPr>
          <w:ilvl w:val="0"/>
          <w:numId w:val="3"/>
        </w:numPr>
        <w:spacing w:after="80" w:line="290"/>
      </w:pPr>
      <w:r>
        <w:rPr>
          <w:rFonts w:ascii="Nunito Sans" w:cs="Nunito Sans" w:eastAsia="Nunito Sans" w:hAnsi="Nunito Sans"/>
          <w:color w:val="102E3B"/>
          <w:sz w:val="20"/>
          <w:szCs w:val="20"/>
        </w:rPr>
        <w:t xml:space="preserve">Las partes colaboran en </w:t>
      </w:r>
      <w:r>
        <w:rPr>
          <w:rFonts w:ascii="Nunito Sans" w:cs="Nunito Sans" w:eastAsia="Nunito Sans" w:hAnsi="Nunito Sans"/>
          <w:color w:val="102E3B"/>
          <w:sz w:val="20"/>
          <w:szCs w:val="20"/>
          <w:highlight w:val="yellow"/>
        </w:rPr>
        <w:t xml:space="preserve">[p. ej., una ruta de derivación para sobrevivientes de violencia de género en X / un estudio sobre los resultados de las personas participantes que egresan del programa]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Para ese trabajo, necesitan compartir los datos personales descritos en el Anexo 1. Acuerdan compartirlos únicamente en la medida en que lo permita este acuerdo.</w:t>
      </w:r>
    </w:p>
    <w:p>
      <w:pPr>
        <w:pStyle w:val="Heading1"/>
        <w:keepNext/>
        <w:spacing w:after="160" w:before="360"/>
      </w:pPr>
      <w:r>
        <w:rPr>
          <w:rFonts w:ascii="DM Serif Display" w:cs="DM Serif Display" w:eastAsia="DM Serif Display" w:hAnsi="DM Serif Display"/>
          <w:color w:val="123C48"/>
          <w:sz w:val="40"/>
          <w:szCs w:val="40"/>
        </w:rPr>
        <w:t xml:space="preserve">Condiciones acordadas</w:t>
      </w:r>
    </w:p>
    <w:p>
      <w:pPr>
        <w:pStyle w:val="Heading2"/>
        <w:keepNext/>
        <w:spacing w:after="120" w:before="280"/>
      </w:pPr>
      <w:r>
        <w:rPr>
          <w:rFonts w:ascii="DM Serif Display" w:cs="DM Serif Display" w:eastAsia="DM Serif Display" w:hAnsi="DM Serif Display"/>
          <w:color w:val="123C48"/>
          <w:sz w:val="28"/>
          <w:szCs w:val="28"/>
        </w:rPr>
        <w:t xml:space="preserve">1. Definiciones</w:t>
      </w:r>
    </w:p>
    <w:p>
      <w:pPr>
        <w:pStyle w:val="ListParagraph"/>
        <w:numPr>
          <w:ilvl w:val="0"/>
          <w:numId w:val="4"/>
        </w:numPr>
        <w:spacing w:after="80" w:line="290"/>
      </w:pPr>
      <w:r>
        <w:rPr>
          <w:rFonts w:ascii="Nunito Sans" w:cs="Nunito Sans" w:eastAsia="Nunito Sans" w:hAnsi="Nunito Sans"/>
          <w:color w:val="102E3B"/>
          <w:sz w:val="20"/>
          <w:szCs w:val="20"/>
        </w:rPr>
        <w:t xml:space="preserve">En este acuerdo:</w:t>
      </w:r>
    </w:p>
    <w:p>
      <w:pPr>
        <w:pStyle w:val="ListParagraph"/>
        <w:numPr>
          <w:ilvl w:val="1"/>
          <w:numId w:val="4"/>
        </w:numPr>
        <w:spacing w:after="80" w:line="290"/>
      </w:pPr>
      <w:r>
        <w:rPr>
          <w:rFonts w:ascii="Nunito Sans" w:cs="Nunito Sans" w:eastAsia="Nunito Sans" w:hAnsi="Nunito Sans"/>
          <w:b/>
          <w:bCs/>
          <w:color w:val="102E3B"/>
          <w:sz w:val="20"/>
          <w:szCs w:val="20"/>
        </w:rPr>
        <w:t xml:space="preserve">Día Hábil</w:t>
      </w:r>
      <w:r>
        <w:rPr>
          <w:rFonts w:ascii="Nunito Sans" w:cs="Nunito Sans" w:eastAsia="Nunito Sans" w:hAnsi="Nunito Sans"/>
          <w:color w:val="102E3B"/>
          <w:sz w:val="20"/>
          <w:szCs w:val="20"/>
        </w:rPr>
        <w:t xml:space="preserve"> significa un día que no sea fin de semana ni festivo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Responsable del Tratamiento</w:t>
      </w:r>
      <w:r>
        <w:rPr>
          <w:rFonts w:ascii="Nunito Sans" w:cs="Nunito Sans" w:eastAsia="Nunito Sans" w:hAnsi="Nunito Sans"/>
          <w:color w:val="102E3B"/>
          <w:sz w:val="20"/>
          <w:szCs w:val="20"/>
        </w:rPr>
        <w:t xml:space="preserve"> significa una organización que decide por qué y cómo se usan los datos personales. </w:t>
      </w:r>
      <w:r>
        <w:rPr>
          <w:rFonts w:ascii="Nunito Sans" w:cs="Nunito Sans" w:eastAsia="Nunito Sans" w:hAnsi="Nunito Sans"/>
          <w:b/>
          <w:bCs/>
          <w:color w:val="102E3B"/>
          <w:sz w:val="20"/>
          <w:szCs w:val="20"/>
        </w:rPr>
        <w:t xml:space="preserve">Encargado del Tratamiento</w:t>
      </w:r>
      <w:r>
        <w:rPr>
          <w:rFonts w:ascii="Nunito Sans" w:cs="Nunito Sans" w:eastAsia="Nunito Sans" w:hAnsi="Nunito Sans"/>
          <w:color w:val="102E3B"/>
          <w:sz w:val="20"/>
          <w:szCs w:val="20"/>
        </w:rPr>
        <w:t xml:space="preserve"> significa una organización que usa datos personales únicamente por cuenta y siguiendo las instrucciones de un Responsable del Tratamiento.</w:t>
      </w:r>
    </w:p>
    <w:p>
      <w:pPr>
        <w:pStyle w:val="ListParagraph"/>
        <w:numPr>
          <w:ilvl w:val="1"/>
          <w:numId w:val="4"/>
        </w:numPr>
        <w:spacing w:after="80" w:line="290"/>
      </w:pPr>
      <w:r>
        <w:rPr>
          <w:rFonts w:ascii="Nunito Sans" w:cs="Nunito Sans" w:eastAsia="Nunito Sans" w:hAnsi="Nunito Sans"/>
          <w:b/>
          <w:bCs/>
          <w:color w:val="102E3B"/>
          <w:sz w:val="20"/>
          <w:szCs w:val="20"/>
        </w:rPr>
        <w:t xml:space="preserve">Legislación de Protección de Datos</w:t>
      </w:r>
      <w:r>
        <w:rPr>
          <w:rFonts w:ascii="Nunito Sans" w:cs="Nunito Sans" w:eastAsia="Nunito Sans" w:hAnsi="Nunito Sans"/>
          <w:color w:val="102E3B"/>
          <w:sz w:val="20"/>
          <w:szCs w:val="20"/>
        </w:rPr>
        <w:t xml:space="preserve"> significa todas las leyes sobre datos personales aplicables a cualquiera de las partes, incluida </w:t>
      </w:r>
      <w:r>
        <w:rPr>
          <w:rFonts w:ascii="Nunito Sans" w:cs="Nunito Sans" w:eastAsia="Nunito Sans" w:hAnsi="Nunito Sans"/>
          <w:color w:val="102E3B"/>
          <w:sz w:val="20"/>
          <w:szCs w:val="20"/>
          <w:highlight w:val="yellow"/>
        </w:rPr>
        <w:t xml:space="preserve">[nombre de la(s) ley(es)]</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Titular de los Datos</w:t>
      </w:r>
      <w:r>
        <w:rPr>
          <w:rFonts w:ascii="Nunito Sans" w:cs="Nunito Sans" w:eastAsia="Nunito Sans" w:hAnsi="Nunito Sans"/>
          <w:color w:val="102E3B"/>
          <w:sz w:val="20"/>
          <w:szCs w:val="20"/>
        </w:rPr>
        <w:t xml:space="preserve"> significa la persona viva a la que se refieren los Datos Compartidos.</w:t>
      </w:r>
    </w:p>
    <w:p>
      <w:pPr>
        <w:pStyle w:val="ListParagraph"/>
        <w:numPr>
          <w:ilvl w:val="1"/>
          <w:numId w:val="4"/>
        </w:numPr>
        <w:spacing w:after="80" w:line="290"/>
      </w:pPr>
      <w:r>
        <w:rPr>
          <w:rFonts w:ascii="Nunito Sans" w:cs="Nunito Sans" w:eastAsia="Nunito Sans" w:hAnsi="Nunito Sans"/>
          <w:b/>
          <w:bCs/>
          <w:color w:val="102E3B"/>
          <w:sz w:val="20"/>
          <w:szCs w:val="20"/>
        </w:rPr>
        <w:t xml:space="preserve">Datos Personales</w:t>
      </w:r>
      <w:r>
        <w:rPr>
          <w:rFonts w:ascii="Nunito Sans" w:cs="Nunito Sans" w:eastAsia="Nunito Sans" w:hAnsi="Nunito Sans"/>
          <w:color w:val="102E3B"/>
          <w:sz w:val="20"/>
          <w:szCs w:val="20"/>
        </w:rPr>
        <w:t xml:space="preserve"> significa la información sobre una persona viva identificada o identificable.</w:t>
      </w:r>
    </w:p>
    <w:p>
      <w:pPr>
        <w:pStyle w:val="ListParagraph"/>
        <w:numPr>
          <w:ilvl w:val="1"/>
          <w:numId w:val="4"/>
        </w:numPr>
        <w:spacing w:after="80" w:line="290"/>
      </w:pPr>
      <w:r>
        <w:rPr>
          <w:rFonts w:ascii="Nunito Sans" w:cs="Nunito Sans" w:eastAsia="Nunito Sans" w:hAnsi="Nunito Sans"/>
          <w:b/>
          <w:bCs/>
          <w:color w:val="102E3B"/>
          <w:sz w:val="20"/>
          <w:szCs w:val="20"/>
        </w:rPr>
        <w:t xml:space="preserve">Brecha de Datos Personales</w:t>
      </w:r>
      <w:r>
        <w:rPr>
          <w:rFonts w:ascii="Nunito Sans" w:cs="Nunito Sans" w:eastAsia="Nunito Sans" w:hAnsi="Nunito Sans"/>
          <w:color w:val="102E3B"/>
          <w:sz w:val="20"/>
          <w:szCs w:val="20"/>
        </w:rPr>
        <w:t xml:space="preserve"> significa una violación de la seguridad que provoque la pérdida, destrucción, alteración o comunicación accidental o ilícita de Datos Compartidos, o el acceso no autorizado a ellos.</w:t>
      </w:r>
    </w:p>
    <w:p>
      <w:pPr>
        <w:pStyle w:val="ListParagraph"/>
        <w:numPr>
          <w:ilvl w:val="1"/>
          <w:numId w:val="4"/>
        </w:numPr>
        <w:spacing w:after="80" w:line="290"/>
      </w:pPr>
      <w:r>
        <w:rPr>
          <w:rFonts w:ascii="Nunito Sans" w:cs="Nunito Sans" w:eastAsia="Nunito Sans" w:hAnsi="Nunito Sans"/>
          <w:b/>
          <w:bCs/>
          <w:color w:val="102E3B"/>
          <w:sz w:val="20"/>
          <w:szCs w:val="20"/>
        </w:rPr>
        <w:t xml:space="preserve">Finalidad</w:t>
      </w:r>
      <w:r>
        <w:rPr>
          <w:rFonts w:ascii="Nunito Sans" w:cs="Nunito Sans" w:eastAsia="Nunito Sans" w:hAnsi="Nunito Sans"/>
          <w:color w:val="102E3B"/>
          <w:sz w:val="20"/>
          <w:szCs w:val="20"/>
        </w:rPr>
        <w:t xml:space="preserve"> significa la finalidad descrita en el Anexo 1.</w:t>
      </w:r>
    </w:p>
    <w:p>
      <w:pPr>
        <w:pStyle w:val="ListParagraph"/>
        <w:numPr>
          <w:ilvl w:val="1"/>
          <w:numId w:val="4"/>
        </w:numPr>
        <w:spacing w:after="80" w:line="290"/>
      </w:pPr>
      <w:r>
        <w:rPr>
          <w:rFonts w:ascii="Nunito Sans" w:cs="Nunito Sans" w:eastAsia="Nunito Sans" w:hAnsi="Nunito Sans"/>
          <w:b/>
          <w:bCs/>
          <w:color w:val="102E3B"/>
          <w:sz w:val="20"/>
          <w:szCs w:val="20"/>
        </w:rPr>
        <w:t xml:space="preserve">Datos Compartidos</w:t>
      </w:r>
      <w:r>
        <w:rPr>
          <w:rFonts w:ascii="Nunito Sans" w:cs="Nunito Sans" w:eastAsia="Nunito Sans" w:hAnsi="Nunito Sans"/>
          <w:color w:val="102E3B"/>
          <w:sz w:val="20"/>
          <w:szCs w:val="20"/>
        </w:rPr>
        <w:t xml:space="preserve"> significa los Datos Personales descritos en el Anexo 1 que una parte comparte con la otra en virtud de este acuerdo.</w:t>
      </w:r>
    </w:p>
    <w:p>
      <w:pPr>
        <w:pStyle w:val="ListParagraph"/>
        <w:numPr>
          <w:ilvl w:val="1"/>
          <w:numId w:val="4"/>
        </w:numPr>
        <w:spacing w:after="80" w:line="290"/>
      </w:pPr>
      <w:r>
        <w:rPr>
          <w:rFonts w:ascii="Nunito Sans" w:cs="Nunito Sans" w:eastAsia="Nunito Sans" w:hAnsi="Nunito Sans"/>
          <w:b/>
          <w:bCs/>
          <w:color w:val="102E3B"/>
          <w:sz w:val="20"/>
          <w:szCs w:val="20"/>
        </w:rPr>
        <w:t xml:space="preserve">Datos de Categorías Especiales</w:t>
      </w:r>
      <w:r>
        <w:rPr>
          <w:rFonts w:ascii="Nunito Sans" w:cs="Nunito Sans" w:eastAsia="Nunito Sans" w:hAnsi="Nunito Sans"/>
          <w:color w:val="102E3B"/>
          <w:sz w:val="20"/>
          <w:szCs w:val="20"/>
        </w:rPr>
        <w:t xml:space="preserve"> significa los datos que revelen el origen racial o étnico, las opiniones políticas, las convicciones religiosas o filosóficas o la afiliación sindical; los datos genéticos o biométricos usados para identificar a una persona; y los datos relativos a la salud, a la vida sexual o a la orientación sexual. En este acuerdo incluye también los datos relativos a infracciones penales </w:t>
      </w:r>
      <w:r>
        <w:rPr>
          <w:rFonts w:ascii="Nunito Sans" w:cs="Nunito Sans" w:eastAsia="Nunito Sans" w:hAnsi="Nunito Sans"/>
          <w:color w:val="102E3B"/>
          <w:sz w:val="20"/>
          <w:szCs w:val="20"/>
          <w:highlight w:val="yellow"/>
        </w:rPr>
        <w:t xml:space="preserve">[y otros datos considerados sensibles por la Legislación de Protección de Datos]</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"Cláusula 5.2" significa el apartado 2 de la cláusula 5. Los anexos forman parte de este acuerdo.</w:t>
      </w:r>
    </w:p>
    <w:p>
      <w:pPr>
        <w:pStyle w:val="Heading2"/>
        <w:keepNext/>
        <w:spacing w:after="120" w:before="280"/>
      </w:pPr>
      <w:r>
        <w:rPr>
          <w:rFonts w:ascii="DM Serif Display" w:cs="DM Serif Display" w:eastAsia="DM Serif Display" w:hAnsi="DM Serif Display"/>
          <w:color w:val="123C48"/>
          <w:sz w:val="28"/>
          <w:szCs w:val="28"/>
        </w:rPr>
        <w:t xml:space="preserve">2. Finalidad y funciones</w:t>
      </w:r>
    </w:p>
    <w:p>
      <w:pPr>
        <w:pStyle w:val="ListParagraph"/>
        <w:numPr>
          <w:ilvl w:val="0"/>
          <w:numId w:val="5"/>
        </w:numPr>
        <w:spacing w:after="80" w:line="290"/>
      </w:pPr>
      <w:r>
        <w:rPr>
          <w:rFonts w:ascii="Nunito Sans" w:cs="Nunito Sans" w:eastAsia="Nunito Sans" w:hAnsi="Nunito Sans"/>
          <w:color w:val="102E3B"/>
          <w:sz w:val="20"/>
          <w:szCs w:val="20"/>
        </w:rPr>
        <w:t xml:space="preserve">Las partes compartirán los Datos Compartidos únicamente para la Finalidad.</w:t>
      </w:r>
    </w:p>
    <w:p>
      <w:pPr>
        <w:pStyle w:val="ListParagraph"/>
        <w:numPr>
          <w:ilvl w:val="0"/>
          <w:numId w:val="5"/>
        </w:numPr>
        <w:spacing w:after="80" w:line="290"/>
      </w:pPr>
      <w:r>
        <w:rPr>
          <w:rFonts w:ascii="Nunito Sans" w:cs="Nunito Sans" w:eastAsia="Nunito Sans" w:hAnsi="Nunito Sans"/>
          <w:color w:val="102E3B"/>
          <w:sz w:val="20"/>
          <w:szCs w:val="20"/>
        </w:rPr>
        <w:t xml:space="preserve">Cada parte es un Responsable del Tratamiento independiente de los Datos Compartidos que conserva. Cada una es responsable de su propio cumplimiento de la Legislación de Protección de Datos. Las partes no son corresponsables del tratamiento, y ninguna es Encargado del Tratamiento de la otra.</w:t>
      </w:r>
    </w:p>
    <w:p>
      <w:pPr>
        <w:pStyle w:val="ListParagraph"/>
        <w:numPr>
          <w:ilvl w:val="0"/>
          <w:numId w:val="5"/>
        </w:numPr>
        <w:spacing w:after="80" w:line="290"/>
      </w:pPr>
      <w:r>
        <w:rPr>
          <w:rFonts w:ascii="Nunito Sans" w:cs="Nunito Sans" w:eastAsia="Nunito Sans" w:hAnsi="Nunito Sans"/>
          <w:color w:val="102E3B"/>
          <w:sz w:val="20"/>
          <w:szCs w:val="20"/>
        </w:rPr>
        <w:t xml:space="preserve">Cada parte designará en la tabla de Partes un contacto de protección de datos, que será responsable de este acuerdo y de trabajar con la otra parte.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COMPROBAR LAS FUNCIONES</w:t>
            </w:r>
          </w:p>
          <w:p>
            <w:pPr>
              <w:spacing w:after="120" w:before="0" w:line="300"/>
            </w:pPr>
            <w:r>
              <w:rPr>
                <w:rFonts w:ascii="Nunito Sans" w:cs="Nunito Sans" w:eastAsia="Nunito Sans" w:hAnsi="Nunito Sans"/>
                <w:color w:val="102E3B"/>
                <w:sz w:val="19"/>
                <w:szCs w:val="19"/>
              </w:rPr>
              <w:t xml:space="preserve">Contrasta las funciones con los hechos, no con la etiqueta. Si una parte le dice a la otra exactamente qué hacer con los datos y la otra no tiene voz, esta última probablemente es un encargado del tratamiento, y necesitas cláusulas de encargo. Si ambas organizaciones diseñan juntas la recogida de datos y deciden juntas sus usos, puede que sean corresponsables. Una parte puede ser responsable del tratamiento para unos datos y encargada para otros. Si tienes dudas, documenta tu razonamiento y busca asesoramiento: los reguladores examinan lo que ocurre realmente.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Base jurídica y transparencia</w:t>
      </w:r>
    </w:p>
    <w:p>
      <w:pPr>
        <w:pStyle w:val="ListParagraph"/>
        <w:numPr>
          <w:ilvl w:val="0"/>
          <w:numId w:val="6"/>
        </w:numPr>
        <w:spacing w:after="80" w:line="290"/>
      </w:pPr>
      <w:r>
        <w:rPr>
          <w:rFonts w:ascii="Nunito Sans" w:cs="Nunito Sans" w:eastAsia="Nunito Sans" w:hAnsi="Nunito Sans"/>
          <w:color w:val="102E3B"/>
          <w:sz w:val="20"/>
          <w:szCs w:val="20"/>
        </w:rPr>
        <w:t xml:space="preserve">Cada parte contará con una base jurídica conforme a la Legislación de Protección de Datos para su propio uso de los Datos Compartidos, y con una condición adicional para cualquier Dato de Categorías Especiales. El Anexo 1 recoge la base en la que se apoya cada parte.</w:t>
      </w:r>
    </w:p>
    <w:p>
      <w:pPr>
        <w:pStyle w:val="ListParagraph"/>
        <w:numPr>
          <w:ilvl w:val="0"/>
          <w:numId w:val="6"/>
        </w:numPr>
        <w:spacing w:after="80" w:line="290"/>
      </w:pPr>
      <w:r>
        <w:rPr>
          <w:rFonts w:ascii="Nunito Sans" w:cs="Nunito Sans" w:eastAsia="Nunito Sans" w:hAnsi="Nunito Sans"/>
          <w:color w:val="102E3B"/>
          <w:sz w:val="20"/>
          <w:szCs w:val="20"/>
        </w:rPr>
        <w:t xml:space="preserve">Antes de compartir, la Parte Cedente se asegurará de que se ha informado a los Titulares de los Datos, en un lenguaje claro que entiendan, de que sus datos se compartirán con la Parte Destinataria y por qué, por ejemplo mediante su Aviso de Privacidad o un formulario de consentimiento.</w:t>
      </w:r>
    </w:p>
    <w:p>
      <w:pPr>
        <w:pStyle w:val="ListParagraph"/>
        <w:numPr>
          <w:ilvl w:val="0"/>
          <w:numId w:val="6"/>
        </w:numPr>
        <w:spacing w:after="80" w:line="290"/>
      </w:pPr>
      <w:r>
        <w:rPr>
          <w:rFonts w:ascii="Nunito Sans" w:cs="Nunito Sans" w:eastAsia="Nunito Sans" w:hAnsi="Nunito Sans"/>
          <w:color w:val="102E3B"/>
          <w:sz w:val="20"/>
          <w:szCs w:val="20"/>
        </w:rPr>
        <w:t xml:space="preserve">La Parte Destinataria facilitará a los Titulares de los Datos la información sobre su propio uso de los datos que exija la Legislación de Protección de Datos, salvo que se aplique una excepción.</w:t>
      </w:r>
    </w:p>
    <w:p>
      <w:pPr>
        <w:pStyle w:val="ListParagraph"/>
        <w:numPr>
          <w:ilvl w:val="0"/>
          <w:numId w:val="6"/>
        </w:numPr>
        <w:spacing w:after="80" w:line="290"/>
      </w:pPr>
      <w:r>
        <w:rPr>
          <w:rFonts w:ascii="Nunito Sans" w:cs="Nunito Sans" w:eastAsia="Nunito Sans" w:hAnsi="Nunito Sans"/>
          <w:color w:val="102E3B"/>
          <w:sz w:val="20"/>
          <w:szCs w:val="20"/>
        </w:rPr>
        <w:t xml:space="preserve">Cuando una parte se apoye en el consentimiento, conservará un registro de este. Si un Titular de los Datos retira su consentimiento, la parte que reciba la retirada informará a la otra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 y ambas dejarán de usar los datos sobre esa base.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ELEGIR UNA BASE JURÍDICA</w:t>
            </w:r>
          </w:p>
          <w:p>
            <w:pPr>
              <w:spacing w:after="120" w:before="0" w:line="300"/>
            </w:pPr>
            <w:r>
              <w:rPr>
                <w:rFonts w:ascii="Nunito Sans" w:cs="Nunito Sans" w:eastAsia="Nunito Sans" w:hAnsi="Nunito Sans"/>
                <w:color w:val="102E3B"/>
                <w:sz w:val="19"/>
                <w:szCs w:val="19"/>
              </w:rPr>
              <w:t xml:space="preserve">Las bases habituales son el consentimiento, una obligación legal, la ejecución de un contrato con la persona, la protección de los intereses vitales de alguien (en emergencias), una misión de interés público y el interés legítimo. El consentimiento no siempre es la mejor base: debe darse libremente, y las personas que dependen de tus servicios pueden no sentirse libres para negarse. Cuando uses el consentimiento, usa el Formulario de Consentimiento para Compartir Información. Para los Datos de Categorías Especiales, la Legislación de Protección de Datos fija condiciones adicionales, como el consentimiento explícito.</w:t>
            </w:r>
          </w:p>
          <w:p>
            <w:pPr>
              <w:spacing w:after="120" w:before="0" w:line="300"/>
            </w:pPr>
            <w:r>
              <w:rPr>
                <w:rFonts w:ascii="Nunito Sans" w:cs="Nunito Sans" w:eastAsia="Nunito Sans" w:hAnsi="Nunito Sans"/>
                <w:b/>
                <w:bCs/>
                <w:color w:val="102E3B"/>
                <w:sz w:val="19"/>
                <w:szCs w:val="19"/>
              </w:rPr>
              <w:t xml:space="preserve">Niños, niñas y adolescentes:</w:t>
            </w:r>
            <w:r>
              <w:rPr>
                <w:rFonts w:ascii="Nunito Sans" w:cs="Nunito Sans" w:eastAsia="Nunito Sans" w:hAnsi="Nunito Sans"/>
                <w:color w:val="102E3B"/>
                <w:sz w:val="19"/>
                <w:szCs w:val="19"/>
              </w:rPr>
              <w:t xml:space="preserve"> compartir sus datos exige un cuidado especial. Comprueba la edad a partir de la cual un niño, niña o adolescente puede consentir según tu ley, e implica a su madre, padre o tutor legal cuando se exija, salvo que eso le ponga en riesgo. </w:t>
            </w:r>
            <w:r>
              <w:rPr>
                <w:rFonts w:ascii="Nunito Sans" w:cs="Nunito Sans" w:eastAsia="Nunito Sans" w:hAnsi="Nunito Sans"/>
                <w:b/>
                <w:bCs/>
                <w:color w:val="102E3B"/>
                <w:sz w:val="19"/>
                <w:szCs w:val="19"/>
              </w:rPr>
              <w:t xml:space="preserve">Notas por país:</w:t>
            </w:r>
            <w:r>
              <w:rPr>
                <w:rFonts w:ascii="Nunito Sans" w:cs="Nunito Sans" w:eastAsia="Nunito Sans" w:hAnsi="Nunito Sans"/>
                <w:color w:val="102E3B"/>
                <w:sz w:val="19"/>
                <w:szCs w:val="19"/>
              </w:rPr>
              <w:t xml:space="preserve"> las bases jurídicas y las condiciones para los datos sensibles difieren entre leyes, por ejemplo entre el RGPD, la Data Protection Act 2019 de Kenia y la DPDP Act 2023 de la India. Revisa tu ley local.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Minimización y exactitud de los datos</w:t>
      </w:r>
    </w:p>
    <w:p>
      <w:pPr>
        <w:pStyle w:val="ListParagraph"/>
        <w:numPr>
          <w:ilvl w:val="0"/>
          <w:numId w:val="7"/>
        </w:numPr>
        <w:spacing w:after="80" w:line="290"/>
      </w:pPr>
      <w:r>
        <w:rPr>
          <w:rFonts w:ascii="Nunito Sans" w:cs="Nunito Sans" w:eastAsia="Nunito Sans" w:hAnsi="Nunito Sans"/>
          <w:color w:val="102E3B"/>
          <w:sz w:val="20"/>
          <w:szCs w:val="20"/>
        </w:rPr>
        <w:t xml:space="preserve">La Parte Cedente compartirá únicamente los Datos Compartidos enumerados en el Anexo 1, y solo lo que la Parte Destinataria necesite para la Finalidad.</w:t>
      </w:r>
    </w:p>
    <w:p>
      <w:pPr>
        <w:pStyle w:val="ListParagraph"/>
        <w:numPr>
          <w:ilvl w:val="0"/>
          <w:numId w:val="7"/>
        </w:numPr>
        <w:spacing w:after="80" w:line="290"/>
      </w:pPr>
      <w:r>
        <w:rPr>
          <w:rFonts w:ascii="Nunito Sans" w:cs="Nunito Sans" w:eastAsia="Nunito Sans" w:hAnsi="Nunito Sans"/>
          <w:color w:val="102E3B"/>
          <w:sz w:val="20"/>
          <w:szCs w:val="20"/>
        </w:rPr>
        <w:t xml:space="preserve">Cuando la Finalidad lo permita, las partes compartirán datos seudonimizados, en los que los nombres y los identificadores directos se sustituyen por un código, y guardarán la clave por separado.</w:t>
      </w:r>
    </w:p>
    <w:p>
      <w:pPr>
        <w:pStyle w:val="ListParagraph"/>
        <w:numPr>
          <w:ilvl w:val="0"/>
          <w:numId w:val="7"/>
        </w:numPr>
        <w:spacing w:after="80" w:line="290"/>
      </w:pPr>
      <w:r>
        <w:rPr>
          <w:rFonts w:ascii="Nunito Sans" w:cs="Nunito Sans" w:eastAsia="Nunito Sans" w:hAnsi="Nunito Sans"/>
          <w:color w:val="102E3B"/>
          <w:sz w:val="20"/>
          <w:szCs w:val="20"/>
        </w:rPr>
        <w:t xml:space="preserve">Cada parte tomará medidas razonables para mantener los Datos Compartidos exactos y actualizados. Si una parte descubre que unos Datos Compartidos son inexactos, informará a la otra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w:t>
      </w:r>
    </w:p>
    <w:p>
      <w:pPr>
        <w:pStyle w:val="Heading2"/>
        <w:keepNext/>
        <w:spacing w:after="120" w:before="280"/>
      </w:pPr>
      <w:r>
        <w:rPr>
          <w:rFonts w:ascii="DM Serif Display" w:cs="DM Serif Display" w:eastAsia="DM Serif Display" w:hAnsi="DM Serif Display"/>
          <w:color w:val="123C48"/>
          <w:sz w:val="28"/>
          <w:szCs w:val="28"/>
        </w:rPr>
        <w:t xml:space="preserve">5. Uso de los Datos Compartidos</w:t>
      </w:r>
    </w:p>
    <w:p>
      <w:pPr>
        <w:pStyle w:val="ListParagraph"/>
        <w:numPr>
          <w:ilvl w:val="0"/>
          <w:numId w:val="8"/>
        </w:numPr>
        <w:spacing w:after="80" w:line="290"/>
      </w:pPr>
      <w:r>
        <w:rPr>
          <w:rFonts w:ascii="Nunito Sans" w:cs="Nunito Sans" w:eastAsia="Nunito Sans" w:hAnsi="Nunito Sans"/>
          <w:color w:val="102E3B"/>
          <w:sz w:val="20"/>
          <w:szCs w:val="20"/>
        </w:rPr>
        <w:t xml:space="preserve">La Parte Destinataria usará los Datos Compartidos únicamente para la Finalidad, o para otra finalidad que permita la Legislación de Protección de Datos y que la Parte Cedente haya aceptado por escrito.</w:t>
      </w:r>
    </w:p>
    <w:p>
      <w:pPr>
        <w:pStyle w:val="ListParagraph"/>
        <w:numPr>
          <w:ilvl w:val="0"/>
          <w:numId w:val="8"/>
        </w:numPr>
        <w:spacing w:after="80" w:line="290"/>
      </w:pPr>
      <w:r>
        <w:rPr>
          <w:rFonts w:ascii="Nunito Sans" w:cs="Nunito Sans" w:eastAsia="Nunito Sans" w:hAnsi="Nunito Sans"/>
          <w:color w:val="102E3B"/>
          <w:sz w:val="20"/>
          <w:szCs w:val="20"/>
        </w:rPr>
        <w:t xml:space="preserve">La Parte Destinataria no usará los Datos Compartidos para recaudación de fondos, marketing o ventas, y no los venderá ni los alquilará a nadie.</w:t>
      </w:r>
    </w:p>
    <w:p>
      <w:pPr>
        <w:pStyle w:val="ListParagraph"/>
        <w:numPr>
          <w:ilvl w:val="0"/>
          <w:numId w:val="8"/>
        </w:numPr>
        <w:spacing w:after="80" w:line="290"/>
      </w:pPr>
      <w:r>
        <w:rPr>
          <w:rFonts w:ascii="Nunito Sans" w:cs="Nunito Sans" w:eastAsia="Nunito Sans" w:hAnsi="Nunito Sans"/>
          <w:color w:val="102E3B"/>
          <w:sz w:val="20"/>
          <w:szCs w:val="20"/>
        </w:rPr>
        <w:t xml:space="preserve">La Parte Destinataria no intentará reidentificar a ninguna persona a partir de datos anonimizados o seudonimizados, salvo que la Finalidad lo exija y la Parte Cedente lo acepte por escrito.</w:t>
      </w:r>
    </w:p>
    <w:p>
      <w:pPr>
        <w:pStyle w:val="ListParagraph"/>
        <w:numPr>
          <w:ilvl w:val="0"/>
          <w:numId w:val="8"/>
        </w:numPr>
        <w:spacing w:after="80" w:line="290"/>
      </w:pPr>
      <w:r>
        <w:rPr>
          <w:rFonts w:ascii="Nunito Sans" w:cs="Nunito Sans" w:eastAsia="Nunito Sans" w:hAnsi="Nunito Sans"/>
          <w:color w:val="102E3B"/>
          <w:sz w:val="20"/>
          <w:szCs w:val="20"/>
        </w:rPr>
        <w:t xml:space="preserve">La Parte Destinataria no tomará decisiones que afecten de forma significativa a los Titulares de los Datos basadas únicamente en un tratamiento automatizado, incluido el realizado con herramientas de inteligencia artificial (IA).</w:t>
      </w:r>
    </w:p>
    <w:p>
      <w:pPr>
        <w:pStyle w:val="Heading2"/>
        <w:keepNext/>
        <w:spacing w:after="120" w:before="280"/>
      </w:pPr>
      <w:r>
        <w:rPr>
          <w:rFonts w:ascii="DM Serif Display" w:cs="DM Serif Display" w:eastAsia="DM Serif Display" w:hAnsi="DM Serif Display"/>
          <w:color w:val="123C48"/>
          <w:sz w:val="28"/>
          <w:szCs w:val="28"/>
        </w:rPr>
        <w:t xml:space="preserve">6. Seguridad</w:t>
      </w:r>
    </w:p>
    <w:p>
      <w:pPr>
        <w:pStyle w:val="ListParagraph"/>
        <w:numPr>
          <w:ilvl w:val="0"/>
          <w:numId w:val="9"/>
        </w:numPr>
        <w:spacing w:after="80" w:line="290"/>
      </w:pPr>
      <w:r>
        <w:rPr>
          <w:rFonts w:ascii="Nunito Sans" w:cs="Nunito Sans" w:eastAsia="Nunito Sans" w:hAnsi="Nunito Sans"/>
          <w:color w:val="102E3B"/>
          <w:sz w:val="20"/>
          <w:szCs w:val="20"/>
        </w:rPr>
        <w:t xml:space="preserve">Cada parte protegerá los Datos Compartidos con medidas de seguridad técnicas y organizativas adecuadas, como mínimo las del Anexo 2.</w:t>
      </w:r>
    </w:p>
    <w:p>
      <w:pPr>
        <w:pStyle w:val="ListParagraph"/>
        <w:numPr>
          <w:ilvl w:val="0"/>
          <w:numId w:val="9"/>
        </w:numPr>
        <w:spacing w:after="80" w:line="290"/>
      </w:pPr>
      <w:r>
        <w:rPr>
          <w:rFonts w:ascii="Nunito Sans" w:cs="Nunito Sans" w:eastAsia="Nunito Sans" w:hAnsi="Nunito Sans"/>
          <w:color w:val="102E3B"/>
          <w:sz w:val="20"/>
          <w:szCs w:val="20"/>
        </w:rPr>
        <w:t xml:space="preserve">Las partes transferirán los Datos Compartidos únicamente por el método seguro establecido en el Anexo 1. No enviarán Datos de Categorías Especiales ni datos sobre niños, niñas y adolescentes por correo electrónico sin cifrar ni por aplicaciones de mensajería.</w:t>
      </w:r>
    </w:p>
    <w:p>
      <w:pPr>
        <w:pStyle w:val="ListParagraph"/>
        <w:numPr>
          <w:ilvl w:val="0"/>
          <w:numId w:val="9"/>
        </w:numPr>
        <w:spacing w:after="80" w:line="290"/>
      </w:pPr>
      <w:r>
        <w:rPr>
          <w:rFonts w:ascii="Nunito Sans" w:cs="Nunito Sans" w:eastAsia="Nunito Sans" w:hAnsi="Nunito Sans"/>
          <w:color w:val="102E3B"/>
          <w:sz w:val="20"/>
          <w:szCs w:val="20"/>
        </w:rPr>
        <w:t xml:space="preserve">Cada parte limitará el acceso a los Datos Compartidos al personal, al voluntariado y a los Encargados del Tratamiento que los necesiten para la Finalidad, tengan formación en protección de datos y estén sujetos a un deber de confidencialidad.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SEGURIDAD ADAPTADA A TU TAMAÑO</w:t>
            </w:r>
          </w:p>
          <w:p>
            <w:pPr>
              <w:spacing w:after="120" w:before="0" w:line="300"/>
            </w:pPr>
            <w:r>
              <w:rPr>
                <w:rFonts w:ascii="Nunito Sans" w:cs="Nunito Sans" w:eastAsia="Nunito Sans" w:hAnsi="Nunito Sans"/>
                <w:color w:val="102E3B"/>
                <w:sz w:val="19"/>
                <w:szCs w:val="19"/>
              </w:rPr>
              <w:t xml:space="preserve">Las organizaciones pequeñas pueden cumplir buenos estándares con herramientas sencillas: gestores de contraseñas, autenticación multifactor, equipos portátiles y teléfonos cifrados, carpetas compartidas con acceso nominativo, y la regla de que ningún dato de participantes se guarda en dispositivos o cuentas personales. Acuerda con la otra organización, en el Anexo 1, exactamente cómo circulan los datos entre ambas, por ejemplo "una hoja de cálculo cifrada subida a una carpeta compartida, con la contraseña enviada por separado por teléfono". Comprueba si tu ley o tu regulador fijan requisitos de seguridad específicos.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Comunicación posterior a terceros</w:t>
      </w:r>
    </w:p>
    <w:p>
      <w:pPr>
        <w:pStyle w:val="ListParagraph"/>
        <w:numPr>
          <w:ilvl w:val="0"/>
          <w:numId w:val="10"/>
        </w:numPr>
        <w:spacing w:after="80" w:line="290"/>
      </w:pPr>
      <w:r>
        <w:rPr>
          <w:rFonts w:ascii="Nunito Sans" w:cs="Nunito Sans" w:eastAsia="Nunito Sans" w:hAnsi="Nunito Sans"/>
          <w:color w:val="102E3B"/>
          <w:sz w:val="20"/>
          <w:szCs w:val="20"/>
        </w:rPr>
        <w:t xml:space="preserve">La Parte Destinataria no compartirá los Datos Compartidos con nadie más, salvo:</w:t>
      </w:r>
    </w:p>
    <w:p>
      <w:pPr>
        <w:pStyle w:val="ListParagraph"/>
        <w:numPr>
          <w:ilvl w:val="1"/>
          <w:numId w:val="10"/>
        </w:numPr>
        <w:spacing w:after="80" w:line="290"/>
      </w:pPr>
      <w:r>
        <w:rPr>
          <w:rFonts w:ascii="Nunito Sans" w:cs="Nunito Sans" w:eastAsia="Nunito Sans" w:hAnsi="Nunito Sans"/>
          <w:color w:val="102E3B"/>
          <w:sz w:val="20"/>
          <w:szCs w:val="20"/>
        </w:rPr>
        <w:t xml:space="preserve">con sus Encargados del Tratamiento, mediante un contrato por escrito que cumpla la Legislación de Protección de Datos y dé a los datos al menos la misma protección que este acuerdo;</w:t>
      </w:r>
    </w:p>
    <w:p>
      <w:pPr>
        <w:pStyle w:val="ListParagraph"/>
        <w:numPr>
          <w:ilvl w:val="1"/>
          <w:numId w:val="10"/>
        </w:numPr>
        <w:spacing w:after="80" w:line="290"/>
      </w:pPr>
      <w:r>
        <w:rPr>
          <w:rFonts w:ascii="Nunito Sans" w:cs="Nunito Sans" w:eastAsia="Nunito Sans" w:hAnsi="Nunito Sans"/>
          <w:color w:val="102E3B"/>
          <w:sz w:val="20"/>
          <w:szCs w:val="20"/>
        </w:rPr>
        <w:t xml:space="preserve">cuando lo exijan la ley, un tribunal o un regulador, informando antes a la Parte Cedente cuando la ley lo permita;</w:t>
      </w:r>
    </w:p>
    <w:p>
      <w:pPr>
        <w:pStyle w:val="ListParagraph"/>
        <w:numPr>
          <w:ilvl w:val="1"/>
          <w:numId w:val="10"/>
        </w:numPr>
        <w:spacing w:after="80" w:line="290"/>
      </w:pPr>
      <w:r>
        <w:rPr>
          <w:rFonts w:ascii="Nunito Sans" w:cs="Nunito Sans" w:eastAsia="Nunito Sans" w:hAnsi="Nunito Sans"/>
          <w:color w:val="102E3B"/>
          <w:sz w:val="20"/>
          <w:szCs w:val="20"/>
        </w:rPr>
        <w:t xml:space="preserve">cuando sea necesario para proteger la vida de alguien o prevenir un daño grave, informando a la Parte Cedente lo antes posible después; o</w:t>
      </w:r>
    </w:p>
    <w:p>
      <w:pPr>
        <w:pStyle w:val="ListParagraph"/>
        <w:numPr>
          <w:ilvl w:val="1"/>
          <w:numId w:val="10"/>
        </w:numPr>
        <w:spacing w:after="80" w:line="290"/>
      </w:pPr>
      <w:r>
        <w:rPr>
          <w:rFonts w:ascii="Nunito Sans" w:cs="Nunito Sans" w:eastAsia="Nunito Sans" w:hAnsi="Nunito Sans"/>
          <w:color w:val="102E3B"/>
          <w:sz w:val="20"/>
          <w:szCs w:val="20"/>
        </w:rPr>
        <w:t xml:space="preserve">con el consentimiento previo por escrito de la Parte Cedente.</w:t>
      </w:r>
    </w:p>
    <w:p>
      <w:pPr>
        <w:pStyle w:val="ListParagraph"/>
        <w:numPr>
          <w:ilvl w:val="0"/>
          <w:numId w:val="10"/>
        </w:numPr>
        <w:spacing w:after="80" w:line="290"/>
      </w:pPr>
      <w:r>
        <w:rPr>
          <w:rFonts w:ascii="Nunito Sans" w:cs="Nunito Sans" w:eastAsia="Nunito Sans" w:hAnsi="Nunito Sans"/>
          <w:color w:val="102E3B"/>
          <w:sz w:val="20"/>
          <w:szCs w:val="20"/>
        </w:rPr>
        <w:t xml:space="preserve">La Parte Destinataria sigue siendo responsable del tratamiento que sus Encargados del Tratamiento hagan de los Datos Compartidos.</w:t>
      </w:r>
    </w:p>
    <w:p>
      <w:pPr>
        <w:pStyle w:val="Heading2"/>
        <w:keepNext/>
        <w:spacing w:after="120" w:before="280"/>
      </w:pPr>
      <w:r>
        <w:rPr>
          <w:rFonts w:ascii="DM Serif Display" w:cs="DM Serif Display" w:eastAsia="DM Serif Display" w:hAnsi="DM Serif Display"/>
          <w:color w:val="123C48"/>
          <w:sz w:val="28"/>
          <w:szCs w:val="28"/>
        </w:rPr>
        <w:t xml:space="preserve">8. Transferencias internacionales</w:t>
      </w:r>
    </w:p>
    <w:p>
      <w:pPr>
        <w:pStyle w:val="ListParagraph"/>
        <w:numPr>
          <w:ilvl w:val="0"/>
          <w:numId w:val="11"/>
        </w:numPr>
        <w:spacing w:after="80" w:line="290"/>
      </w:pPr>
      <w:r>
        <w:rPr>
          <w:rFonts w:ascii="Nunito Sans" w:cs="Nunito Sans" w:eastAsia="Nunito Sans" w:hAnsi="Nunito Sans"/>
          <w:color w:val="102E3B"/>
          <w:sz w:val="20"/>
          <w:szCs w:val="20"/>
        </w:rPr>
        <w:t xml:space="preserve">Ninguna de las partes transferirá Datos Compartidos fuera de </w:t>
      </w:r>
      <w:r>
        <w:rPr>
          <w:rFonts w:ascii="Nunito Sans" w:cs="Nunito Sans" w:eastAsia="Nunito Sans" w:hAnsi="Nunito Sans"/>
          <w:color w:val="102E3B"/>
          <w:sz w:val="20"/>
          <w:szCs w:val="20"/>
          <w:highlight w:val="yellow"/>
        </w:rPr>
        <w:t xml:space="preserve">[país o región]</w:t>
      </w:r>
      <w:r>
        <w:rPr>
          <w:rFonts w:ascii="Nunito Sans" w:cs="Nunito Sans" w:eastAsia="Nunito Sans" w:hAnsi="Nunito Sans"/>
          <w:color w:val="102E3B"/>
          <w:sz w:val="20"/>
          <w:szCs w:val="20"/>
        </w:rPr>
        <w:t xml:space="preserve">, incluso almacenándolos en un servicio en la nube situado en otro lugar, salvo que la Legislación de Protección de Datos permita la transferencia y existan las garantías que exige.</w:t>
      </w:r>
    </w:p>
    <w:p>
      <w:pPr>
        <w:pStyle w:val="ListParagraph"/>
        <w:numPr>
          <w:ilvl w:val="0"/>
          <w:numId w:val="11"/>
        </w:numPr>
        <w:spacing w:after="80" w:line="290"/>
      </w:pPr>
      <w:r>
        <w:rPr>
          <w:rFonts w:ascii="Nunito Sans" w:cs="Nunito Sans" w:eastAsia="Nunito Sans" w:hAnsi="Nunito Sans"/>
          <w:color w:val="102E3B"/>
          <w:sz w:val="20"/>
          <w:szCs w:val="20"/>
        </w:rPr>
        <w:t xml:space="preserve">El Anexo 1 enumera los países en los que cada parte almacenará los Datos Compartidos o accederá a ellos, y la garantía usada para cada transferencia.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TRANSFERENCIAS INTERNACIONALES</w:t>
            </w:r>
          </w:p>
          <w:p>
            <w:pPr>
              <w:spacing w:after="120" w:before="0" w:line="300"/>
            </w:pPr>
            <w:r>
              <w:rPr>
                <w:rFonts w:ascii="Nunito Sans" w:cs="Nunito Sans" w:eastAsia="Nunito Sans" w:hAnsi="Nunito Sans"/>
                <w:color w:val="102E3B"/>
                <w:sz w:val="19"/>
                <w:szCs w:val="19"/>
              </w:rPr>
              <w:t xml:space="preserve">Muchas leyes de protección de datos restringen el envío de datos personales al extranjero, y usar un servicio en la nube situado en otro país suele contar como transferencia. Las garantías habituales son: una decisión del regulador de que el otro país ofrece una protección adecuada; cláusulas contractuales tipo (las cláusulas de la UE de 2021, o el International Data Transfer Agreement o el Addendum del Reino Unido); o, en casos limitados, el consentimiento explícito de la persona.</w:t>
            </w:r>
          </w:p>
          <w:p>
            <w:pPr>
              <w:spacing w:after="120" w:before="0" w:line="300"/>
            </w:pPr>
            <w:r>
              <w:rPr>
                <w:rFonts w:ascii="Nunito Sans" w:cs="Nunito Sans" w:eastAsia="Nunito Sans" w:hAnsi="Nunito Sans"/>
                <w:b/>
                <w:bCs/>
                <w:color w:val="102E3B"/>
                <w:sz w:val="19"/>
                <w:szCs w:val="19"/>
              </w:rPr>
              <w:t xml:space="preserve">Notas por país:</w:t>
            </w:r>
            <w:r>
              <w:rPr>
                <w:rFonts w:ascii="Nunito Sans" w:cs="Nunito Sans" w:eastAsia="Nunito Sans" w:hAnsi="Nunito Sans"/>
                <w:color w:val="102E3B"/>
                <w:sz w:val="19"/>
                <w:szCs w:val="19"/>
              </w:rPr>
              <w:t xml:space="preserve"> la POPIA de Sudáfrica (sección 72), la Data Protection Act 2019 de Kenia y la Data Protection Act 2023 de Nigeria fijan condiciones para las transferencias al extranjero, y la Ley 25.326 de Argentina restringe las transferencias a países sin una protección adecuada. Algunos países exigen que ciertos datos se conserven dentro del país. Revisa tu ley local y comprueba dónde almacenan los datos tus proveedores de software.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Derechos de los Titulares de los Datos</w:t>
      </w:r>
    </w:p>
    <w:p>
      <w:pPr>
        <w:pStyle w:val="ListParagraph"/>
        <w:numPr>
          <w:ilvl w:val="0"/>
          <w:numId w:val="12"/>
        </w:numPr>
        <w:spacing w:after="80" w:line="290"/>
      </w:pPr>
      <w:r>
        <w:rPr>
          <w:rFonts w:ascii="Nunito Sans" w:cs="Nunito Sans" w:eastAsia="Nunito Sans" w:hAnsi="Nunito Sans"/>
          <w:color w:val="102E3B"/>
          <w:sz w:val="20"/>
          <w:szCs w:val="20"/>
        </w:rPr>
        <w:t xml:space="preserve">Cada parte es responsable de responder a las solicitudes de los Titulares de los Datos sobre los Datos Compartidos que conserva, como las solicitudes de acceso, rectificación, supresión u oposición, en el plazo que fije la Legislación de Protección de Datos.</w:t>
      </w:r>
    </w:p>
    <w:p>
      <w:pPr>
        <w:pStyle w:val="ListParagraph"/>
        <w:numPr>
          <w:ilvl w:val="0"/>
          <w:numId w:val="12"/>
        </w:numPr>
        <w:spacing w:after="80" w:line="290"/>
      </w:pPr>
      <w:r>
        <w:rPr>
          <w:rFonts w:ascii="Nunito Sans" w:cs="Nunito Sans" w:eastAsia="Nunito Sans" w:hAnsi="Nunito Sans"/>
          <w:color w:val="102E3B"/>
          <w:sz w:val="20"/>
          <w:szCs w:val="20"/>
        </w:rPr>
        <w:t xml:space="preserve">Si una parte recibe una solicitud relativa a datos que conserva la otra, la remitirá al contacto de protección de datos de la otra parte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 e informará al Titular de los Datos de que lo ha hecho cuando proceda.</w:t>
      </w:r>
    </w:p>
    <w:p>
      <w:pPr>
        <w:pStyle w:val="ListParagraph"/>
        <w:numPr>
          <w:ilvl w:val="0"/>
          <w:numId w:val="12"/>
        </w:numPr>
        <w:spacing w:after="80" w:line="290"/>
      </w:pPr>
      <w:r>
        <w:rPr>
          <w:rFonts w:ascii="Nunito Sans" w:cs="Nunito Sans" w:eastAsia="Nunito Sans" w:hAnsi="Nunito Sans"/>
          <w:color w:val="102E3B"/>
          <w:sz w:val="20"/>
          <w:szCs w:val="20"/>
        </w:rPr>
        <w:t xml:space="preserve">Cada parte prestará a la otra una ayuda razonable para responder a las solicitudes, incluido informarle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 de cualquier rectificación o supresión que afecte a los Datos Compartidos que conserva.</w:t>
      </w:r>
    </w:p>
    <w:p>
      <w:pPr>
        <w:pStyle w:val="Heading2"/>
        <w:keepNext/>
        <w:spacing w:after="120" w:before="280"/>
      </w:pPr>
      <w:r>
        <w:rPr>
          <w:rFonts w:ascii="DM Serif Display" w:cs="DM Serif Display" w:eastAsia="DM Serif Display" w:hAnsi="DM Serif Display"/>
          <w:color w:val="123C48"/>
          <w:sz w:val="28"/>
          <w:szCs w:val="28"/>
        </w:rPr>
        <w:t xml:space="preserve">10. Brechas de Datos Personales</w:t>
      </w:r>
    </w:p>
    <w:p>
      <w:pPr>
        <w:pStyle w:val="ListParagraph"/>
        <w:numPr>
          <w:ilvl w:val="0"/>
          <w:numId w:val="13"/>
        </w:numPr>
        <w:spacing w:after="80" w:line="290"/>
      </w:pPr>
      <w:r>
        <w:rPr>
          <w:rFonts w:ascii="Nunito Sans" w:cs="Nunito Sans" w:eastAsia="Nunito Sans" w:hAnsi="Nunito Sans"/>
          <w:color w:val="102E3B"/>
          <w:sz w:val="20"/>
          <w:szCs w:val="20"/>
        </w:rPr>
        <w:t xml:space="preserve">Si una parte tiene conocimiento de una Brecha de Datos Personales que afecte a Datos Compartidos:</w:t>
      </w:r>
    </w:p>
    <w:p>
      <w:pPr>
        <w:pStyle w:val="ListParagraph"/>
        <w:numPr>
          <w:ilvl w:val="1"/>
          <w:numId w:val="13"/>
        </w:numPr>
        <w:spacing w:after="80" w:line="290"/>
      </w:pPr>
      <w:r>
        <w:rPr>
          <w:rFonts w:ascii="Nunito Sans" w:cs="Nunito Sans" w:eastAsia="Nunito Sans" w:hAnsi="Nunito Sans"/>
          <w:color w:val="102E3B"/>
          <w:sz w:val="20"/>
          <w:szCs w:val="20"/>
        </w:rPr>
        <w:t xml:space="preserve">tomará medidas inmediatas para contener la brecha y limitar el daño;</w:t>
      </w:r>
    </w:p>
    <w:p>
      <w:pPr>
        <w:pStyle w:val="ListParagraph"/>
        <w:numPr>
          <w:ilvl w:val="1"/>
          <w:numId w:val="13"/>
        </w:numPr>
        <w:spacing w:after="80" w:line="290"/>
      </w:pPr>
      <w:r>
        <w:rPr>
          <w:rFonts w:ascii="Nunito Sans" w:cs="Nunito Sans" w:eastAsia="Nunito Sans" w:hAnsi="Nunito Sans"/>
          <w:color w:val="102E3B"/>
          <w:sz w:val="20"/>
          <w:szCs w:val="20"/>
        </w:rPr>
        <w:t xml:space="preserve">informará al contacto de protección de datos de la otra parte sin dilación indebida y, en todo caso, en un plazo de </w:t>
      </w:r>
      <w:r>
        <w:rPr>
          <w:rFonts w:ascii="Nunito Sans" w:cs="Nunito Sans" w:eastAsia="Nunito Sans" w:hAnsi="Nunito Sans"/>
          <w:color w:val="102E3B"/>
          <w:sz w:val="20"/>
          <w:szCs w:val="20"/>
          <w:highlight w:val="yellow"/>
        </w:rPr>
        <w:t xml:space="preserve">[24 horas / 48 horas]</w:t>
      </w:r>
      <w:r>
        <w:rPr>
          <w:rFonts w:ascii="Nunito Sans" w:cs="Nunito Sans" w:eastAsia="Nunito Sans" w:hAnsi="Nunito Sans"/>
          <w:color w:val="102E3B"/>
          <w:sz w:val="20"/>
          <w:szCs w:val="20"/>
        </w:rPr>
        <w:t xml:space="preserve">, con lo que sepa sobre lo ocurrido, los datos y las personas afectadas, las consecuencias probables y las medidas tomadas; y</w:t>
      </w:r>
    </w:p>
    <w:p>
      <w:pPr>
        <w:pStyle w:val="ListParagraph"/>
        <w:numPr>
          <w:ilvl w:val="1"/>
          <w:numId w:val="13"/>
        </w:numPr>
        <w:spacing w:after="80" w:line="290"/>
      </w:pPr>
      <w:r>
        <w:rPr>
          <w:rFonts w:ascii="Nunito Sans" w:cs="Nunito Sans" w:eastAsia="Nunito Sans" w:hAnsi="Nunito Sans"/>
          <w:color w:val="102E3B"/>
          <w:sz w:val="20"/>
          <w:szCs w:val="20"/>
        </w:rPr>
        <w:t xml:space="preserve">mantendrá informada a la otra parte a medida que sepa más.</w:t>
      </w:r>
    </w:p>
    <w:p>
      <w:pPr>
        <w:pStyle w:val="ListParagraph"/>
        <w:numPr>
          <w:ilvl w:val="0"/>
          <w:numId w:val="13"/>
        </w:numPr>
        <w:spacing w:after="80" w:line="290"/>
      </w:pPr>
      <w:r>
        <w:rPr>
          <w:rFonts w:ascii="Nunito Sans" w:cs="Nunito Sans" w:eastAsia="Nunito Sans" w:hAnsi="Nunito Sans"/>
          <w:color w:val="102E3B"/>
          <w:sz w:val="20"/>
          <w:szCs w:val="20"/>
        </w:rPr>
        <w:t xml:space="preserve">Cada parte decide, respecto de los datos de los que es responsable, si notifica al regulador y a los Titulares de los Datos, en los plazos que exija la Legislación de Protección de Datos. Las partes coordinarán cualquier notificación que afecte a ambas, y no nombrarán públicamente a la otra parte sin su acuerdo, salvo que la ley lo exija.</w:t>
      </w:r>
    </w:p>
    <w:p>
      <w:pPr>
        <w:pStyle w:val="ListParagraph"/>
        <w:numPr>
          <w:ilvl w:val="0"/>
          <w:numId w:val="13"/>
        </w:numPr>
        <w:spacing w:after="80" w:line="290"/>
      </w:pPr>
      <w:r>
        <w:rPr>
          <w:rFonts w:ascii="Nunito Sans" w:cs="Nunito Sans" w:eastAsia="Nunito Sans" w:hAnsi="Nunito Sans"/>
          <w:color w:val="102E3B"/>
          <w:sz w:val="20"/>
          <w:szCs w:val="20"/>
        </w:rPr>
        <w:t xml:space="preserve">Cada parte llevará un registro de toda Brecha de Datos Personales que afecte a Datos Compartidos, y las partes revisarán juntas lo ocurrido y cómo evitar que se repita.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PLAZOS DE NOTIFICACIÓN DE BRECHAS</w:t>
            </w:r>
          </w:p>
          <w:p>
            <w:pPr>
              <w:spacing w:after="120" w:before="0" w:line="300"/>
            </w:pPr>
            <w:r>
              <w:rPr>
                <w:rFonts w:ascii="Nunito Sans" w:cs="Nunito Sans" w:eastAsia="Nunito Sans" w:hAnsi="Nunito Sans"/>
                <w:color w:val="102E3B"/>
                <w:sz w:val="19"/>
                <w:szCs w:val="19"/>
              </w:rPr>
              <w:t xml:space="preserve">Acuerda con la otra organización un plazo interno breve para que cada parte pueda cumplir su propio plazo legal. Conforme al RGPD (artículo 33), el responsable del tratamiento debe notificar al regulador en un plazo de 72 horas desde que tenga conocimiento de una brecha, cuando sea posible, salvo que sea improbable que la brecha suponga un riesgo para las personas. La Data Protection Act 2019 de Kenia y la Data Protection Act 2023 de Nigeria también fijan 72 horas para notificar al regulador. La POPIA de Sudáfrica exige notificar al Information Regulator y a las personas afectadas tan pronto como sea razonablemente posible. Otras leyes difieren: revisa tu ley local y sigue tu Procedimiento de Respuesta ante Brechas de Datos.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Conservación y supresión</w:t>
      </w:r>
    </w:p>
    <w:p>
      <w:pPr>
        <w:pStyle w:val="ListParagraph"/>
        <w:numPr>
          <w:ilvl w:val="0"/>
          <w:numId w:val="14"/>
        </w:numPr>
        <w:spacing w:after="80" w:line="290"/>
      </w:pPr>
      <w:r>
        <w:rPr>
          <w:rFonts w:ascii="Nunito Sans" w:cs="Nunito Sans" w:eastAsia="Nunito Sans" w:hAnsi="Nunito Sans"/>
          <w:color w:val="102E3B"/>
          <w:sz w:val="20"/>
          <w:szCs w:val="20"/>
        </w:rPr>
        <w:t xml:space="preserve">Cada parte conservará los Datos Compartidos solo durante el tiempo que exija la Finalidad, y no más allá del plazo de conservación del Anexo 1, salvo que la ley le exija conservarlos más tiempo.</w:t>
      </w:r>
    </w:p>
    <w:p>
      <w:pPr>
        <w:pStyle w:val="ListParagraph"/>
        <w:numPr>
          <w:ilvl w:val="0"/>
          <w:numId w:val="14"/>
        </w:numPr>
        <w:spacing w:after="80" w:line="290"/>
      </w:pPr>
      <w:r>
        <w:rPr>
          <w:rFonts w:ascii="Nunito Sans" w:cs="Nunito Sans" w:eastAsia="Nunito Sans" w:hAnsi="Nunito Sans"/>
          <w:color w:val="102E3B"/>
          <w:sz w:val="20"/>
          <w:szCs w:val="20"/>
        </w:rPr>
        <w:t xml:space="preserve">Al término del plazo de conservación, o cuando termine este acuerdo, la Parte Destinataria suprimirá de forma segura los Datos Compartidos, o los devolverá si la Parte Cedente lo solicita, y lo confirmará por escrito en un plazo de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Días Hábiles. Los datos de las copias de seguridad se suprimirán en el ciclo normal de copias y no se usarán mientras tanto.</w:t>
      </w:r>
    </w:p>
    <w:p>
      <w:pPr>
        <w:pStyle w:val="ListParagraph"/>
        <w:numPr>
          <w:ilvl w:val="0"/>
          <w:numId w:val="14"/>
        </w:numPr>
        <w:spacing w:after="80" w:line="290"/>
      </w:pPr>
      <w:r>
        <w:rPr>
          <w:rFonts w:ascii="Nunito Sans" w:cs="Nunito Sans" w:eastAsia="Nunito Sans" w:hAnsi="Nunito Sans"/>
          <w:color w:val="102E3B"/>
          <w:sz w:val="20"/>
          <w:szCs w:val="20"/>
        </w:rPr>
        <w:t xml:space="preserve">La Parte Destinataria podrá conservar datos anonimizados, que ya no identifiquen a nadie, para </w:t>
      </w:r>
      <w:r>
        <w:rPr>
          <w:rFonts w:ascii="Nunito Sans" w:cs="Nunito Sans" w:eastAsia="Nunito Sans" w:hAnsi="Nunito Sans"/>
          <w:color w:val="102E3B"/>
          <w:sz w:val="20"/>
          <w:szCs w:val="20"/>
          <w:highlight w:val="yellow"/>
        </w:rPr>
        <w:t xml:space="preserve">[la elaboración de informes y la investigación]</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12. Revisión y auditoría</w:t>
      </w:r>
    </w:p>
    <w:p>
      <w:pPr>
        <w:pStyle w:val="ListParagraph"/>
        <w:numPr>
          <w:ilvl w:val="0"/>
          <w:numId w:val="15"/>
        </w:numPr>
        <w:spacing w:after="80" w:line="290"/>
      </w:pPr>
      <w:r>
        <w:rPr>
          <w:rFonts w:ascii="Nunito Sans" w:cs="Nunito Sans" w:eastAsia="Nunito Sans" w:hAnsi="Nunito Sans"/>
          <w:color w:val="102E3B"/>
          <w:sz w:val="20"/>
          <w:szCs w:val="20"/>
        </w:rPr>
        <w:t xml:space="preserve">Las partes revisarán este acuerdo y el intercambio al menos una vez al año, y después de cualquier Brecha de Datos Personales, cambio en la ley o cambio en la Finalidad.</w:t>
      </w:r>
    </w:p>
    <w:p>
      <w:pPr>
        <w:pStyle w:val="ListParagraph"/>
        <w:numPr>
          <w:ilvl w:val="0"/>
          <w:numId w:val="15"/>
        </w:numPr>
        <w:spacing w:after="80" w:line="290"/>
      </w:pPr>
      <w:r>
        <w:rPr>
          <w:rFonts w:ascii="Nunito Sans" w:cs="Nunito Sans" w:eastAsia="Nunito Sans" w:hAnsi="Nunito Sans"/>
          <w:color w:val="102E3B"/>
          <w:sz w:val="20"/>
          <w:szCs w:val="20"/>
        </w:rPr>
        <w:t xml:space="preserve">Cada parte responderá a las preguntas razonables de la otra sobre cómo protege los Datos Compartidos, y completará una breve autoevaluación cuando se le solicite, no más de una vez al año salvo que se haya producido una brecha.</w:t>
      </w:r>
    </w:p>
    <w:p>
      <w:pPr>
        <w:pStyle w:val="ListParagraph"/>
        <w:numPr>
          <w:ilvl w:val="0"/>
          <w:numId w:val="15"/>
        </w:numPr>
        <w:spacing w:after="80" w:line="290"/>
      </w:pPr>
      <w:r>
        <w:rPr>
          <w:rFonts w:ascii="Nunito Sans" w:cs="Nunito Sans" w:eastAsia="Nunito Sans" w:hAnsi="Nunito Sans"/>
          <w:color w:val="102E3B"/>
          <w:sz w:val="20"/>
          <w:szCs w:val="20"/>
        </w:rPr>
        <w:t xml:space="preserve">Cuando exista una inquietud grave, una parte podrá auditar el tratamiento que la otra hace de los Datos Compartidos, directamente o mediante una persona auditora independiente, con un preaviso de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Días Hábiles, a su propio costo y con la mínima interrupción.</w:t>
      </w:r>
    </w:p>
    <w:p>
      <w:pPr>
        <w:pStyle w:val="Heading2"/>
        <w:keepNext/>
        <w:spacing w:after="120" w:before="280"/>
      </w:pPr>
      <w:r>
        <w:rPr>
          <w:rFonts w:ascii="DM Serif Display" w:cs="DM Serif Display" w:eastAsia="DM Serif Display" w:hAnsi="DM Serif Display"/>
          <w:color w:val="123C48"/>
          <w:sz w:val="28"/>
          <w:szCs w:val="28"/>
        </w:rPr>
        <w:t xml:space="preserve">13. Reguladores y reclamaciones</w:t>
      </w:r>
    </w:p>
    <w:p>
      <w:pPr>
        <w:pStyle w:val="ListParagraph"/>
        <w:numPr>
          <w:ilvl w:val="0"/>
          <w:numId w:val="16"/>
        </w:numPr>
        <w:spacing w:after="80" w:line="290"/>
      </w:pPr>
      <w:r>
        <w:rPr>
          <w:rFonts w:ascii="Nunito Sans" w:cs="Nunito Sans" w:eastAsia="Nunito Sans" w:hAnsi="Nunito Sans"/>
          <w:color w:val="102E3B"/>
          <w:sz w:val="20"/>
          <w:szCs w:val="20"/>
        </w:rPr>
        <w:t xml:space="preserve">Cada parte informará a la otra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 si un regulador se pone en contacto con ella, o si un Titular de los Datos presenta una reclamación, en relación con los Datos Compartidos, salvo que la ley lo prohíba.</w:t>
      </w:r>
    </w:p>
    <w:p>
      <w:pPr>
        <w:pStyle w:val="ListParagraph"/>
        <w:numPr>
          <w:ilvl w:val="0"/>
          <w:numId w:val="16"/>
        </w:numPr>
        <w:spacing w:after="80" w:line="290"/>
      </w:pPr>
      <w:r>
        <w:rPr>
          <w:rFonts w:ascii="Nunito Sans" w:cs="Nunito Sans" w:eastAsia="Nunito Sans" w:hAnsi="Nunito Sans"/>
          <w:color w:val="102E3B"/>
          <w:sz w:val="20"/>
          <w:szCs w:val="20"/>
        </w:rPr>
        <w:t xml:space="preserve">Las partes cooperarán en la respuesta y en cualquier investigación.</w:t>
      </w:r>
    </w:p>
    <w:p>
      <w:pPr>
        <w:pStyle w:val="Heading2"/>
        <w:keepNext/>
        <w:spacing w:after="120" w:before="280"/>
      </w:pPr>
      <w:r>
        <w:rPr>
          <w:rFonts w:ascii="DM Serif Display" w:cs="DM Serif Display" w:eastAsia="DM Serif Display" w:hAnsi="DM Serif Display"/>
          <w:color w:val="123C48"/>
          <w:sz w:val="28"/>
          <w:szCs w:val="28"/>
        </w:rPr>
        <w:t xml:space="preserve">14. Responsabilidad</w:t>
      </w:r>
    </w:p>
    <w:p>
      <w:pPr>
        <w:pStyle w:val="ListParagraph"/>
        <w:numPr>
          <w:ilvl w:val="0"/>
          <w:numId w:val="17"/>
        </w:numPr>
        <w:spacing w:after="80" w:line="290"/>
      </w:pPr>
      <w:r>
        <w:rPr>
          <w:rFonts w:ascii="Nunito Sans" w:cs="Nunito Sans" w:eastAsia="Nunito Sans" w:hAnsi="Nunito Sans"/>
          <w:color w:val="102E3B"/>
          <w:sz w:val="20"/>
          <w:szCs w:val="20"/>
        </w:rPr>
        <w:t xml:space="preserve">Cada parte es responsable de su propio uso de los Datos Compartidos y de su propio cumplimiento de la Legislación de Protección de Datos.</w:t>
      </w:r>
    </w:p>
    <w:p>
      <w:pPr>
        <w:pStyle w:val="ListParagraph"/>
        <w:numPr>
          <w:ilvl w:val="0"/>
          <w:numId w:val="17"/>
        </w:numPr>
        <w:spacing w:after="80" w:line="290"/>
      </w:pPr>
      <w:r>
        <w:rPr>
          <w:rFonts w:ascii="Nunito Sans" w:cs="Nunito Sans" w:eastAsia="Nunito Sans" w:hAnsi="Nunito Sans"/>
          <w:color w:val="102E3B"/>
          <w:sz w:val="20"/>
          <w:szCs w:val="20"/>
        </w:rPr>
        <w:t xml:space="preserve">Cada parte indemnizará a la otra por las pérdidas causadas por su incumplimiento de este acuerdo, incluidos los costos razonables de responder a una Brecha de Datos Personales que haya causado.</w:t>
      </w:r>
    </w:p>
    <w:p>
      <w:pPr>
        <w:pStyle w:val="ListParagraph"/>
        <w:numPr>
          <w:ilvl w:val="0"/>
          <w:numId w:val="17"/>
        </w:numPr>
        <w:spacing w:after="80" w:line="290"/>
      </w:pPr>
      <w:r>
        <w:rPr>
          <w:rFonts w:ascii="Nunito Sans" w:cs="Nunito Sans" w:eastAsia="Nunito Sans" w:hAnsi="Nunito Sans"/>
          <w:color w:val="102E3B"/>
          <w:sz w:val="20"/>
          <w:szCs w:val="20"/>
        </w:rPr>
        <w:t xml:space="preserve">Ninguna de las partes es responsable ante la otra por pérdidas indirectas o consecuentes. </w:t>
      </w:r>
      <w:r>
        <w:rPr>
          <w:rFonts w:ascii="Nunito Sans" w:cs="Nunito Sans" w:eastAsia="Nunito Sans" w:hAnsi="Nunito Sans"/>
          <w:color w:val="102E3B"/>
          <w:sz w:val="20"/>
          <w:szCs w:val="20"/>
          <w:highlight w:val="yellow"/>
        </w:rPr>
        <w:t xml:space="preserve">[La responsabilidad total de cada parte en virtud de este acuerdo se limita a importe y moneda, salvo en caso de fraude, incumplimiento deliberado y cualquier responsabilidad que la ley no permita limitar.]</w:t>
      </w:r>
    </w:p>
    <w:p>
      <w:pPr>
        <w:pStyle w:val="ListParagraph"/>
        <w:numPr>
          <w:ilvl w:val="0"/>
          <w:numId w:val="17"/>
        </w:numPr>
        <w:spacing w:after="80" w:line="290"/>
      </w:pPr>
      <w:r>
        <w:rPr>
          <w:rFonts w:ascii="Nunito Sans" w:cs="Nunito Sans" w:eastAsia="Nunito Sans" w:hAnsi="Nunito Sans"/>
          <w:color w:val="102E3B"/>
          <w:sz w:val="20"/>
          <w:szCs w:val="20"/>
        </w:rPr>
        <w:t xml:space="preserve">Nada de lo dispuesto en este acuerdo limita los derechos de un Titular de los Datos frente a cualquiera de las partes.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RESPONSABILIDAD</w:t>
            </w:r>
          </w:p>
          <w:p>
            <w:pPr>
              <w:spacing w:after="120" w:before="0" w:line="300"/>
            </w:pPr>
            <w:r>
              <w:rPr>
                <w:rFonts w:ascii="Nunito Sans" w:cs="Nunito Sans" w:eastAsia="Nunito Sans" w:hAnsi="Nunito Sans"/>
                <w:color w:val="102E3B"/>
                <w:sz w:val="19"/>
                <w:szCs w:val="19"/>
              </w:rPr>
              <w:t xml:space="preserve">Entre dos organizaciones pequeñas sin ánimo de lucro, suele bastar una responsabilidad mutua sencilla. Si la otra parte es mucho más grande, o los datos son muy sensibles, considera un límite que refleje tus recursos y revisa tu seguro. Las multas que impone un regulador suelen recaer sobre la parte que infringió la ley y puede que no sean recuperables de la otra: revisa tu ley local. No aceptes indemnizaciones amplias por los incumplimientos propios de la otra parte.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15. Duración y terminación</w:t>
      </w:r>
    </w:p>
    <w:p>
      <w:pPr>
        <w:pStyle w:val="ListParagraph"/>
        <w:numPr>
          <w:ilvl w:val="0"/>
          <w:numId w:val="18"/>
        </w:numPr>
        <w:spacing w:after="80" w:line="290"/>
      </w:pPr>
      <w:r>
        <w:rPr>
          <w:rFonts w:ascii="Nunito Sans" w:cs="Nunito Sans" w:eastAsia="Nunito Sans" w:hAnsi="Nunito Sans"/>
          <w:color w:val="102E3B"/>
          <w:sz w:val="20"/>
          <w:szCs w:val="20"/>
        </w:rPr>
        <w:t xml:space="preserve">Este acuerdo entra en vigor </w:t>
      </w:r>
      <w:r>
        <w:rPr>
          <w:rFonts w:ascii="Nunito Sans" w:cs="Nunito Sans" w:eastAsia="Nunito Sans" w:hAnsi="Nunito Sans"/>
          <w:color w:val="102E3B"/>
          <w:sz w:val="20"/>
          <w:szCs w:val="20"/>
          <w:highlight w:val="yellow"/>
        </w:rPr>
        <w:t xml:space="preserve">[en la fecha de la última firma que figura a continuación]</w:t>
      </w:r>
      <w:r>
        <w:rPr>
          <w:rFonts w:ascii="Nunito Sans" w:cs="Nunito Sans" w:eastAsia="Nunito Sans" w:hAnsi="Nunito Sans"/>
          <w:color w:val="102E3B"/>
          <w:sz w:val="20"/>
          <w:szCs w:val="20"/>
        </w:rPr>
        <w:t xml:space="preserve"> y dura hasta </w:t>
      </w:r>
      <w:r>
        <w:rPr>
          <w:rFonts w:ascii="Nunito Sans" w:cs="Nunito Sans" w:eastAsia="Nunito Sans" w:hAnsi="Nunito Sans"/>
          <w:color w:val="102E3B"/>
          <w:sz w:val="20"/>
          <w:szCs w:val="20"/>
          <w:highlight w:val="yellow"/>
        </w:rPr>
        <w:t xml:space="preserve">[fecha / que se cumpla la Finalidad]</w:t>
      </w:r>
      <w:r>
        <w:rPr>
          <w:rFonts w:ascii="Nunito Sans" w:cs="Nunito Sans" w:eastAsia="Nunito Sans" w:hAnsi="Nunito Sans"/>
          <w:color w:val="102E3B"/>
          <w:sz w:val="20"/>
          <w:szCs w:val="20"/>
        </w:rPr>
        <w:t xml:space="preserve">, salvo que termine antes conforme a esta cláusula.</w:t>
      </w:r>
    </w:p>
    <w:p>
      <w:pPr>
        <w:pStyle w:val="ListParagraph"/>
        <w:numPr>
          <w:ilvl w:val="0"/>
          <w:numId w:val="18"/>
        </w:numPr>
        <w:spacing w:after="80" w:line="290"/>
      </w:pPr>
      <w:r>
        <w:rPr>
          <w:rFonts w:ascii="Nunito Sans" w:cs="Nunito Sans" w:eastAsia="Nunito Sans" w:hAnsi="Nunito Sans"/>
          <w:color w:val="102E3B"/>
          <w:sz w:val="20"/>
          <w:szCs w:val="20"/>
        </w:rPr>
        <w:t xml:space="preserve">Cualquiera de las partes podrá dar por terminado este acuerdo con un preaviso por escrito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w:t>
      </w:r>
    </w:p>
    <w:p>
      <w:pPr>
        <w:pStyle w:val="ListParagraph"/>
        <w:numPr>
          <w:ilvl w:val="0"/>
          <w:numId w:val="18"/>
        </w:numPr>
        <w:spacing w:after="80" w:line="290"/>
      </w:pPr>
      <w:r>
        <w:rPr>
          <w:rFonts w:ascii="Nunito Sans" w:cs="Nunito Sans" w:eastAsia="Nunito Sans" w:hAnsi="Nunito Sans"/>
          <w:color w:val="102E3B"/>
          <w:sz w:val="20"/>
          <w:szCs w:val="20"/>
        </w:rPr>
        <w:t xml:space="preserve">Cualquiera de las partes podrá suspender de inmediato el intercambio, o dar por terminado este acuerdo mediante notificación por escrito, si la otra parte comete un incumplimiento grave de este acuerdo o de la Legislación de Protección de Datos, o si una Brecha de Datos Personales demuestra que los Datos Compartidos no están seguros en manos de la otra parte.</w:t>
      </w:r>
    </w:p>
    <w:p>
      <w:pPr>
        <w:pStyle w:val="ListParagraph"/>
        <w:numPr>
          <w:ilvl w:val="0"/>
          <w:numId w:val="18"/>
        </w:numPr>
        <w:spacing w:after="80" w:line="290"/>
      </w:pPr>
      <w:r>
        <w:rPr>
          <w:rFonts w:ascii="Nunito Sans" w:cs="Nunito Sans" w:eastAsia="Nunito Sans" w:hAnsi="Nunito Sans"/>
          <w:color w:val="102E3B"/>
          <w:sz w:val="20"/>
          <w:szCs w:val="20"/>
        </w:rPr>
        <w:t xml:space="preserve">Cuando este acuerdo termine, se aplica la cláusula 11.2. Las cláusulas 6, 7, 9, 10, 11, 13 y 14 siguen vigentes mientras cualquiera de las partes conserve Datos Compartidos.</w:t>
      </w:r>
    </w:p>
    <w:p>
      <w:pPr>
        <w:pStyle w:val="Heading2"/>
        <w:keepNext/>
        <w:spacing w:after="120" w:before="280"/>
      </w:pPr>
      <w:r>
        <w:rPr>
          <w:rFonts w:ascii="DM Serif Display" w:cs="DM Serif Display" w:eastAsia="DM Serif Display" w:hAnsi="DM Serif Display"/>
          <w:color w:val="123C48"/>
          <w:sz w:val="28"/>
          <w:szCs w:val="28"/>
        </w:rPr>
        <w:t xml:space="preserve">16. Ley aplicable, controversias y disposiciones generales</w:t>
      </w:r>
    </w:p>
    <w:p>
      <w:pPr>
        <w:pStyle w:val="ListParagraph"/>
        <w:numPr>
          <w:ilvl w:val="0"/>
          <w:numId w:val="19"/>
        </w:numPr>
        <w:spacing w:after="80" w:line="290"/>
      </w:pPr>
      <w:r>
        <w:rPr>
          <w:rFonts w:ascii="Nunito Sans" w:cs="Nunito Sans" w:eastAsia="Nunito Sans" w:hAnsi="Nunito Sans"/>
          <w:color w:val="102E3B"/>
          <w:sz w:val="20"/>
          <w:szCs w:val="20"/>
        </w:rPr>
        <w:t xml:space="preserve">Este acuerdo se rige por la ley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w:t>
      </w:r>
    </w:p>
    <w:p>
      <w:pPr>
        <w:pStyle w:val="ListParagraph"/>
        <w:numPr>
          <w:ilvl w:val="0"/>
          <w:numId w:val="19"/>
        </w:numPr>
        <w:spacing w:after="80" w:line="290"/>
      </w:pPr>
      <w:r>
        <w:rPr>
          <w:rFonts w:ascii="Nunito Sans" w:cs="Nunito Sans" w:eastAsia="Nunito Sans" w:hAnsi="Nunito Sans"/>
          <w:color w:val="102E3B"/>
          <w:sz w:val="20"/>
          <w:szCs w:val="20"/>
        </w:rPr>
        <w:t xml:space="preserve">Los contactos de protección de datos de las partes intentarán resolver cualquier controversia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y, después, las personas que dirigen ambas organizaciones en un plazo adicional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Si no lo logran, resolverán </w:t>
      </w:r>
      <w:r>
        <w:rPr>
          <w:rFonts w:ascii="Nunito Sans" w:cs="Nunito Sans" w:eastAsia="Nunito Sans" w:hAnsi="Nunito Sans"/>
          <w:color w:val="102E3B"/>
          <w:sz w:val="20"/>
          <w:szCs w:val="20"/>
          <w:highlight w:val="yellow"/>
        </w:rPr>
        <w:t xml:space="preserve">[los tribunales del país / una mediación seguida, en su caso, de los tribunales del país]</w:t>
      </w:r>
      <w:r>
        <w:rPr>
          <w:rFonts w:ascii="Nunito Sans" w:cs="Nunito Sans" w:eastAsia="Nunito Sans" w:hAnsi="Nunito Sans"/>
          <w:color w:val="102E3B"/>
          <w:sz w:val="20"/>
          <w:szCs w:val="20"/>
        </w:rPr>
        <w:t xml:space="preserve">.</w:t>
      </w:r>
    </w:p>
    <w:p>
      <w:pPr>
        <w:pStyle w:val="ListParagraph"/>
        <w:numPr>
          <w:ilvl w:val="0"/>
          <w:numId w:val="19"/>
        </w:numPr>
        <w:spacing w:after="80" w:line="290"/>
      </w:pPr>
      <w:r>
        <w:rPr>
          <w:rFonts w:ascii="Nunito Sans" w:cs="Nunito Sans" w:eastAsia="Nunito Sans" w:hAnsi="Nunito Sans"/>
          <w:color w:val="102E3B"/>
          <w:sz w:val="20"/>
          <w:szCs w:val="20"/>
        </w:rPr>
        <w:t xml:space="preserve">Las modificaciones de este acuerdo, incluidas las del Anexo 1, solo son válidas por escrito y firmadas por ambas partes. Ninguna de las partes podrá cederlo sin el consentimiento de la otra.</w:t>
      </w:r>
    </w:p>
    <w:p>
      <w:pPr>
        <w:pStyle w:val="ListParagraph"/>
        <w:numPr>
          <w:ilvl w:val="0"/>
          <w:numId w:val="19"/>
        </w:numPr>
        <w:spacing w:after="80" w:line="290"/>
      </w:pPr>
      <w:r>
        <w:rPr>
          <w:rFonts w:ascii="Nunito Sans" w:cs="Nunito Sans" w:eastAsia="Nunito Sans" w:hAnsi="Nunito Sans"/>
          <w:color w:val="102E3B"/>
          <w:sz w:val="20"/>
          <w:szCs w:val="20"/>
        </w:rPr>
        <w:t xml:space="preserve">Este acuerdo puede firmarse en varios ejemplares y de forma electrónica. Si se traduce, prevalece la versión en </w:t>
      </w:r>
      <w:r>
        <w:rPr>
          <w:rFonts w:ascii="Nunito Sans" w:cs="Nunito Sans" w:eastAsia="Nunito Sans" w:hAnsi="Nunito Sans"/>
          <w:color w:val="102E3B"/>
          <w:sz w:val="20"/>
          <w:szCs w:val="20"/>
          <w:highlight w:val="yellow"/>
        </w:rPr>
        <w:t xml:space="preserve">[español]</w:t>
      </w:r>
      <w:r>
        <w:rPr>
          <w:rFonts w:ascii="Nunito Sans" w:cs="Nunito Sans" w:eastAsia="Nunito Sans" w:hAnsi="Nunito Sans"/>
          <w:color w:val="102E3B"/>
          <w:sz w:val="20"/>
          <w:szCs w:val="20"/>
        </w:rPr>
        <w:t xml:space="preserve">.</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1: Descripción de los Datos Compartidos</w:t>
      </w:r>
    </w:p>
    <w:p>
      <w:pPr>
        <w:spacing w:after="120" w:before="0" w:line="300"/>
      </w:pPr>
      <w:r>
        <w:rPr>
          <w:rFonts w:ascii="Nunito Sans" w:cs="Nunito Sans" w:eastAsia="Nunito Sans" w:hAnsi="Nunito Sans"/>
          <w:color w:val="102E3B"/>
          <w:sz w:val="20"/>
          <w:szCs w:val="20"/>
        </w:rPr>
        <w:t xml:space="preserve">Completa una columna para cada sentido del intercambio. Elimina la segunda columna si los datos circulan en un solo sentido. Los ejemplos son ilustrativos; sustitúyelos.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3428"/>
        <w:gridCol w:w="3430"/>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3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 LA PARTE A A LA PARTE B</w:t>
            </w:r>
          </w:p>
        </w:tc>
        <w:tc>
          <w:tcPr>
            <w:tcW w:type="dxa" w:w="343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 LA PARTE B A LA PARTE A</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Finalidad</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derivar a personas usuarias a asistencia jurídica]</w:t>
            </w:r>
          </w:p>
        </w:tc>
        <w:tc>
          <w:tcPr>
            <w:tcW w:type="dxa" w:w="3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confirmar el resultado de una derivación]</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Titulares de los Datos</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personas usuarias adultas que aceptan una derivación]</w:t>
            </w:r>
          </w:p>
        </w:tc>
        <w:tc>
          <w:tcPr>
            <w:tcW w:type="dxa" w:w="3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las mismas personas usuarias]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Categorías de datos</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nombre, teléfono, distrito, idioma, resumen de la necesidad jurídica]</w:t>
            </w:r>
          </w:p>
        </w:tc>
        <w:tc>
          <w:tcPr>
            <w:tcW w:type="dxa" w:w="3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nombre, estado del caso: aceptado, cerrado]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Datos de Categorías Especiales</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ninguno / información de salud cuando sea pertinente para la necesidad]</w:t>
            </w:r>
          </w:p>
        </w:tc>
        <w:tc>
          <w:tcPr>
            <w:tcW w:type="dxa" w:w="3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ninguno]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Datos de niños, niñas y adolescentes</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[Sí / no; en caso afirmativo, garantías]</w:t>
            </w:r>
          </w:p>
        </w:tc>
        <w:tc>
          <w:tcPr>
            <w:tcW w:type="dxa" w:w="3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[Sí / no]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Base jurídica (y condición para los datos sensibles)</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Parte Cedente: </w:t>
            </w:r>
            <w:r>
              <w:rPr>
                <w:rFonts w:ascii="Nunito Sans" w:cs="Nunito Sans" w:eastAsia="Nunito Sans" w:hAnsi="Nunito Sans"/>
                <w:color w:val="102E3B"/>
                <w:sz w:val="18"/>
                <w:szCs w:val="18"/>
                <w:highlight w:val="yellow"/>
              </w:rPr>
              <w:t xml:space="preserve">[p. ej., consentimiento]</w:t>
            </w:r>
          </w:p>
          <w:p>
            <w:pPr>
              <w:spacing w:after="40" w:line="260"/>
            </w:pPr>
            <w:r>
              <w:rPr>
                <w:rFonts w:ascii="Nunito Sans" w:cs="Nunito Sans" w:eastAsia="Nunito Sans" w:hAnsi="Nunito Sans"/>
                <w:color w:val="102E3B"/>
                <w:sz w:val="18"/>
                <w:szCs w:val="18"/>
              </w:rPr>
              <w:t xml:space="preserve">Parte Destinataria: </w:t>
            </w:r>
            <w:r>
              <w:rPr>
                <w:rFonts w:ascii="Nunito Sans" w:cs="Nunito Sans" w:eastAsia="Nunito Sans" w:hAnsi="Nunito Sans"/>
                <w:color w:val="102E3B"/>
                <w:sz w:val="18"/>
                <w:szCs w:val="18"/>
                <w:highlight w:val="yellow"/>
              </w:rPr>
              <w:t xml:space="preserve">[p. ej., consentimiento]</w:t>
            </w:r>
          </w:p>
        </w:tc>
        <w:tc>
          <w:tcPr>
            <w:tcW w:type="dxa" w:w="3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Parte Cedente: </w:t>
            </w:r>
            <w:r>
              <w:rPr>
                <w:rFonts w:ascii="Nunito Sans" w:cs="Nunito Sans" w:eastAsia="Nunito Sans" w:hAnsi="Nunito Sans"/>
                <w:color w:val="102E3B"/>
                <w:sz w:val="18"/>
                <w:szCs w:val="18"/>
                <w:highlight w:val="yellow"/>
              </w:rPr>
              <w:t xml:space="preserve">[p. ej., interés legítimo]</w:t>
            </w:r>
          </w:p>
          <w:p>
            <w:pPr>
              <w:spacing w:after="40" w:line="260"/>
            </w:pPr>
            <w:r>
              <w:rPr>
                <w:rFonts w:ascii="Nunito Sans" w:cs="Nunito Sans" w:eastAsia="Nunito Sans" w:hAnsi="Nunito Sans"/>
                <w:color w:val="102E3B"/>
                <w:sz w:val="18"/>
                <w:szCs w:val="18"/>
              </w:rPr>
              <w:t xml:space="preserve">Parte Destinataria: </w:t>
            </w:r>
            <w:r>
              <w:rPr>
                <w:rFonts w:ascii="Nunito Sans" w:cs="Nunito Sans" w:eastAsia="Nunito Sans" w:hAnsi="Nunito Sans"/>
                <w:color w:val="102E3B"/>
                <w:sz w:val="18"/>
                <w:szCs w:val="18"/>
                <w:highlight w:val="yellow"/>
              </w:rPr>
              <w:t xml:space="preserve">[p. ej., interés legítimo]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se informa a las personas</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formulario de consentimiento para la derivación, leído en voz alta en el idioma local]</w:t>
            </w:r>
          </w:p>
        </w:tc>
        <w:tc>
          <w:tcPr>
            <w:tcW w:type="dxa" w:w="3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aviso de privacidad de la Parte A]</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Frecuencia y volumen</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unas 20 derivaciones al mes]</w:t>
            </w:r>
          </w:p>
        </w:tc>
        <w:tc>
          <w:tcPr>
            <w:tcW w:type="dxa" w:w="3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actualización mensual]</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Método de transferencia</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archivo cifrado mediante una carpeta compartida]</w:t>
            </w:r>
          </w:p>
        </w:tc>
        <w:tc>
          <w:tcPr>
            <w:tcW w:type="dxa" w:w="3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el mismo]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Usos permitidos a la Parte Destinataria</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evaluar y prestar asistencia jurídica]</w:t>
            </w:r>
          </w:p>
        </w:tc>
        <w:tc>
          <w:tcPr>
            <w:tcW w:type="dxa" w:w="3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seguimiento e informes del programa]</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Dónde se almacenan los datos, y garantías de transferencia</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[País, sistema, garantía]</w:t>
            </w:r>
          </w:p>
        </w:tc>
        <w:tc>
          <w:tcPr>
            <w:tcW w:type="dxa" w:w="3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[País, sistema, garantía]</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Conservación</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2 años después del cierre del caso]</w:t>
            </w:r>
          </w:p>
        </w:tc>
        <w:tc>
          <w:tcPr>
            <w:tcW w:type="dxa" w:w="3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12 meses y después se anonimizan]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2: Medidas mínimas de seguridad</w:t>
      </w:r>
    </w:p>
    <w:p>
      <w:pPr>
        <w:spacing w:after="120" w:before="0" w:line="300"/>
      </w:pPr>
      <w:r>
        <w:rPr>
          <w:rFonts w:ascii="Nunito Sans" w:cs="Nunito Sans" w:eastAsia="Nunito Sans" w:hAnsi="Nunito Sans"/>
          <w:color w:val="102E3B"/>
          <w:sz w:val="20"/>
          <w:szCs w:val="20"/>
        </w:rPr>
        <w:t xml:space="preserve">Cada parte, como mínimo:</w:t>
      </w:r>
    </w:p>
    <w:p>
      <w:pPr>
        <w:pStyle w:val="ListParagraph"/>
        <w:numPr>
          <w:ilvl w:val="0"/>
          <w:numId w:val="20"/>
        </w:numPr>
        <w:spacing w:after="80" w:line="290"/>
      </w:pPr>
      <w:r>
        <w:rPr>
          <w:rFonts w:ascii="Nunito Sans" w:cs="Nunito Sans" w:eastAsia="Nunito Sans" w:hAnsi="Nunito Sans"/>
          <w:color w:val="102E3B"/>
          <w:sz w:val="20"/>
          <w:szCs w:val="20"/>
        </w:rPr>
        <w:t xml:space="preserve">conservará los Datos Compartidos únicamente en sistemas que controle la organización, nunca en correos electrónicos personales, cuentas personales en la nube ni memorias USB sin cifrar;</w:t>
      </w:r>
    </w:p>
    <w:p>
      <w:pPr>
        <w:pStyle w:val="ListParagraph"/>
        <w:numPr>
          <w:ilvl w:val="0"/>
          <w:numId w:val="20"/>
        </w:numPr>
        <w:spacing w:after="80" w:line="290"/>
      </w:pPr>
      <w:r>
        <w:rPr>
          <w:rFonts w:ascii="Nunito Sans" w:cs="Nunito Sans" w:eastAsia="Nunito Sans" w:hAnsi="Nunito Sans"/>
          <w:color w:val="102E3B"/>
          <w:sz w:val="20"/>
          <w:szCs w:val="20"/>
        </w:rPr>
        <w:t xml:space="preserve">protegerá las cuentas con contraseñas robustas y únicas y con autenticación multifactor, y retirará el acceso en un plazo de </w:t>
      </w:r>
      <w:r>
        <w:rPr>
          <w:rFonts w:ascii="Nunito Sans" w:cs="Nunito Sans" w:eastAsia="Nunito Sans" w:hAnsi="Nunito Sans"/>
          <w:color w:val="102E3B"/>
          <w:sz w:val="20"/>
          <w:szCs w:val="20"/>
          <w:highlight w:val="yellow"/>
        </w:rPr>
        <w:t xml:space="preserve">[2]</w:t>
      </w:r>
      <w:r>
        <w:rPr>
          <w:rFonts w:ascii="Nunito Sans" w:cs="Nunito Sans" w:eastAsia="Nunito Sans" w:hAnsi="Nunito Sans"/>
          <w:color w:val="102E3B"/>
          <w:sz w:val="20"/>
          <w:szCs w:val="20"/>
        </w:rPr>
        <w:t xml:space="preserve"> Días Hábiles cuando una persona deje la organización o cambie de función;</w:t>
      </w:r>
    </w:p>
    <w:p>
      <w:pPr>
        <w:pStyle w:val="ListParagraph"/>
        <w:numPr>
          <w:ilvl w:val="0"/>
          <w:numId w:val="20"/>
        </w:numPr>
        <w:spacing w:after="80" w:line="290"/>
      </w:pPr>
      <w:r>
        <w:rPr>
          <w:rFonts w:ascii="Nunito Sans" w:cs="Nunito Sans" w:eastAsia="Nunito Sans" w:hAnsi="Nunito Sans"/>
          <w:color w:val="102E3B"/>
          <w:sz w:val="20"/>
          <w:szCs w:val="20"/>
        </w:rPr>
        <w:t xml:space="preserve">cifrará los equipos portátiles, los teléfonos y cualquier archivo que contenga Datos de Categorías Especiales o datos de niños, niñas y adolescentes;</w:t>
      </w:r>
    </w:p>
    <w:p>
      <w:pPr>
        <w:pStyle w:val="ListParagraph"/>
        <w:numPr>
          <w:ilvl w:val="0"/>
          <w:numId w:val="20"/>
        </w:numPr>
        <w:spacing w:after="80" w:line="290"/>
      </w:pPr>
      <w:r>
        <w:rPr>
          <w:rFonts w:ascii="Nunito Sans" w:cs="Nunito Sans" w:eastAsia="Nunito Sans" w:hAnsi="Nunito Sans"/>
          <w:color w:val="102E3B"/>
          <w:sz w:val="20"/>
          <w:szCs w:val="20"/>
        </w:rPr>
        <w:t xml:space="preserve">guardará los registros en papel en un armario cerrado con llave, y los destruirá con una trituradora cuando ya no sean necesarios;</w:t>
      </w:r>
    </w:p>
    <w:p>
      <w:pPr>
        <w:pStyle w:val="ListParagraph"/>
        <w:numPr>
          <w:ilvl w:val="0"/>
          <w:numId w:val="20"/>
        </w:numPr>
        <w:spacing w:after="80" w:line="290"/>
      </w:pPr>
      <w:r>
        <w:rPr>
          <w:rFonts w:ascii="Nunito Sans" w:cs="Nunito Sans" w:eastAsia="Nunito Sans" w:hAnsi="Nunito Sans"/>
          <w:color w:val="102E3B"/>
          <w:sz w:val="20"/>
          <w:szCs w:val="20"/>
        </w:rPr>
        <w:t xml:space="preserve">formará en protección de datos y confidencialidad a todas las personas con acceso antes de que empiecen, y al menos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mantendrá el software actualizado y usará protección contra programas maliciosos;</w:t>
      </w:r>
    </w:p>
    <w:p>
      <w:pPr>
        <w:pStyle w:val="ListParagraph"/>
        <w:numPr>
          <w:ilvl w:val="0"/>
          <w:numId w:val="20"/>
        </w:numPr>
        <w:spacing w:after="80" w:line="290"/>
      </w:pPr>
      <w:r>
        <w:rPr>
          <w:rFonts w:ascii="Nunito Sans" w:cs="Nunito Sans" w:eastAsia="Nunito Sans" w:hAnsi="Nunito Sans"/>
          <w:color w:val="102E3B"/>
          <w:sz w:val="20"/>
          <w:szCs w:val="20"/>
        </w:rPr>
        <w:t xml:space="preserve">mantendrá copias de seguridad seguras, comprobadas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 y</w:t>
      </w:r>
    </w:p>
    <w:p>
      <w:pPr>
        <w:pStyle w:val="ListParagraph"/>
        <w:numPr>
          <w:ilvl w:val="0"/>
          <w:numId w:val="20"/>
        </w:numPr>
        <w:spacing w:after="80" w:line="290"/>
      </w:pPr>
      <w:r>
        <w:rPr>
          <w:rFonts w:ascii="Nunito Sans" w:cs="Nunito Sans" w:eastAsia="Nunito Sans" w:hAnsi="Nunito Sans"/>
          <w:color w:val="102E3B"/>
          <w:sz w:val="20"/>
          <w:szCs w:val="20"/>
        </w:rPr>
        <w:t xml:space="preserve">llevará un registro de quién ha accedido a Datos de Categorías Especiales o los ha modificado, cuando el sistema lo permita.</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Firmas</w:t>
      </w:r>
    </w:p>
    <w:p>
      <w:pPr>
        <w:spacing w:after="120" w:before="0" w:line="300"/>
      </w:pPr>
      <w:r>
        <w:rPr>
          <w:rFonts w:ascii="Nunito Sans" w:cs="Nunito Sans" w:eastAsia="Nunito Sans" w:hAnsi="Nunito Sans"/>
          <w:color w:val="102E3B"/>
          <w:sz w:val="20"/>
          <w:szCs w:val="20"/>
        </w:rPr>
        <w:t xml:space="preserve">Firmado por los representantes autorizados de las partes en las fechas indicadas a continuación.</w:t>
      </w:r>
    </w:p>
    <w:p>
      <w:pPr>
        <w:keepNext/>
        <w:spacing w:after="80" w:before="120"/>
      </w:pPr>
      <w:r>
        <w:rPr>
          <w:rFonts w:ascii="Nunito Sans" w:cs="Nunito Sans" w:eastAsia="Nunito Sans" w:hAnsi="Nunito Sans"/>
          <w:b/>
          <w:bCs/>
          <w:color w:val="16746E"/>
          <w:spacing w:val="30"/>
          <w:sz w:val="15"/>
          <w:szCs w:val="15"/>
        </w:rPr>
        <w:t xml:space="preserve">POR LA PARTE 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legal de la Parte A]</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POR LA PARTE B</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legal de la Parte B]</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CF538677-7B24-CA86-0A6A-0B6691758870}"/>
  </w:font>
  <w:font w:name="DM Serif Display">
    <w:family w:val="auto"/>
    <w:pitch w:val="variable"/>
    <w:sig w:usb0="E0002AFF" w:usb1="C000247B" w:usb2="00000009" w:usb3="00000000" w:csb0="000001FF" w:csb1="00000000"/>
    <w:embedRegular r:id="rId2" w:fontKey="{E9C6346D-F12D-B495-30C5-5C090874A7F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Acuerdo de Intercambio de Datos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ACUERDO DE INTERCAMBIO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Intercambio de Datos</dc:title>
  <dc:creator>Method into Impact</dc:creator>
  <dc:description>Un acuerdo para [[Nombre de la organización]] y otra organización que comparten datos personales, y que deciden cada una por su cuenta cómo los usan. Establece qué se comparte, por qué, cómo se protege y qué hace cada parte cuando algo sale mal.</dc:description>
  <cp:lastModifiedBy>Un-named</cp:lastModifiedBy>
  <cp:revision>1</cp:revision>
  <dcterms:created xsi:type="dcterms:W3CDTF">2026-10-29T06:09:23.741Z</dcterms:created>
  <dcterms:modified xsi:type="dcterms:W3CDTF">2026-10-29T06:09:23.741Z</dcterms:modified>
</cp:coreProperties>
</file>

<file path=docProps/custom.xml><?xml version="1.0" encoding="utf-8"?>
<Properties xmlns="http://schemas.openxmlformats.org/officeDocument/2006/custom-properties" xmlns:vt="http://schemas.openxmlformats.org/officeDocument/2006/docPropsVTypes"/>
</file>