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PROCEDIMIENTO · PERSONAS Y EMPLEO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Procedimiento Disciplinario y de Reclamaciones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aborda de forma justa las inquietudes sobre la conducta de una persona empleada, y cómo el personal puede plantear un problema sobre su propio trabajo y recibir una respuesta justa y a tiempo.</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Un procedimiento disciplinario y de reclamaciones claro permite abordar los problemas a tiempo, de forma coherente y conforme a la ley, y garantiza que nadie reciba una amonestación ni sea despedido sin conocer la acusación y sin tener una oportunidad justa de responder. Su Código de Conducta, su Política y Procedimiento de Salvaguarda y su Contrato de Trabajo dependen de él. En muchos países, un despido sin un procedimiento justo es ilegal aunque el motivo sea válido.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laborales y tribunales laborales; financiadores y ONG internacionales aliadas en procesos de debida diligencia; personal de nueva incorporación; su órgano de gobierno; auditores que revisan casos de salvaguarda y fraude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3 a 4 horas para adaptarlo, más una revisión jurídica local de las etapas y plazos disciplinarios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4 (personas y cultura);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Contrato de Trabajo · Código de Conducta · Política y Procedimiento de Salvaguarda · Política y Procedimiento contra el Acoso, la Intimidación y el Hostigamiento · Política y Procedimiento de Denuncia de Irregularidades · Política y Procedimiento contra el Fraude, el Soborno y la Corrupción · Nota sobre el Rol de Contacto Independiente · Acuerdo de Voluntariado · Contrato de Prestación de Servicios Independientes · Matriz de Delegación de Autoridad · Calendario de Conservación de Registros · Política de Protección de Datos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Procedimiento Disciplinario y de Reclamaciones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empleado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incluso durante el período de prueba. La persona voluntaria, las personas en prácticas, los miembros del órgano de gobierno y las personas contratistas quedan cubiertos según lo indicado en "A quién se aplica este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[rrhh@tuorganizacion.org]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[Nombre, cargo]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este procedimiento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Principios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Convocatoria a una reunión de investigación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A: Procedimiento disciplinario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B: Convocatoria a una audiencia disciplinaria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B: Procedimiento de reclamaciones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C: Carta de resultado disciplinario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D: Carta de resultado de la apelación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E: Formulario de reclamación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F: Acta de audiencia</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organización emergente dirigida por sus fundadores]</w:t>
            </w:r>
            <w:r>
              <w:rPr>
                <w:rFonts w:ascii="Nunito Sans" w:cs="Nunito Sans" w:eastAsia="Nunito Sans" w:hAnsi="Nunito Sans"/>
                <w:color w:val="102E3B"/>
                <w:sz w:val="19"/>
                <w:szCs w:val="19"/>
              </w:rPr>
              <w:t xml:space="preserve">. Esta es nuestra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este procedimiento. La ampliaremos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personas.</w:t>
            </w:r>
            <w:r>
              <w:rPr>
                <w:rFonts w:ascii="Nunito Sans" w:cs="Nunito Sans" w:eastAsia="Nunito Sans" w:hAnsi="Nunito Sans"/>
                <w:color w:val="102E3B"/>
                <w:sz w:val="19"/>
                <w:szCs w:val="19"/>
              </w:rPr>
              <w:t xml:space="preserve"> Asesora a quienes dirigen equipos, vela por que se siga este procedimiento, organiza las investigaciones y custodia los registros.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toma las decisiones disciplinarias</w:t>
            </w:r>
            <w:r>
              <w:rPr>
                <w:rFonts w:ascii="Nunito Sans" w:cs="Nunito Sans" w:eastAsia="Nunito Sans" w:hAnsi="Nunito Sans"/>
                <w:color w:val="102E3B"/>
                <w:sz w:val="19"/>
                <w:szCs w:val="19"/>
              </w:rPr>
              <w:t xml:space="preserve"> y atiende las reclamaciones formales, salvo que esté involucrada en el asunto.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 por ejemplo la presidencia del órgano de gobierno]</w:t>
            </w:r>
            <w:r>
              <w:rPr>
                <w:rFonts w:ascii="Nunito Sans" w:cs="Nunito Sans" w:eastAsia="Nunito Sans" w:hAnsi="Nunito Sans"/>
                <w:b/>
                <w:bCs/>
                <w:color w:val="102E3B"/>
                <w:sz w:val="19"/>
                <w:szCs w:val="19"/>
              </w:rPr>
              <w:t xml:space="preserve"> resuelve las apelaciones</w:t>
            </w:r>
            <w:r>
              <w:rPr>
                <w:rFonts w:ascii="Nunito Sans" w:cs="Nunito Sans" w:eastAsia="Nunito Sans" w:hAnsi="Nunito Sans"/>
                <w:color w:val="102E3B"/>
                <w:sz w:val="19"/>
                <w:szCs w:val="19"/>
              </w:rPr>
              <w:t xml:space="preserve"> y gestiona cualquier asunto disciplinario o reclamación relativa a la dirección o a la persona fundadora, con el apoyo de nuestro contacto independiente cuando sea necesario.</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este procedimiento</w:t>
            </w:r>
            <w:r>
              <w:rPr>
                <w:rFonts w:ascii="Nunito Sans" w:cs="Nunito Sans" w:eastAsia="Nunito Sans" w:hAnsi="Nunito Sans"/>
                <w:color w:val="102E3B"/>
                <w:sz w:val="19"/>
                <w:szCs w:val="19"/>
              </w:rPr>
              <w:t xml:space="preserve"> al menos una vez al año, después de cualquier despido o reclamación formal, y cuando cambia la legislación laboral.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un equipo de tres a diez personas, normalmente la dirección decide los casos disciplinarios y atiende las reclamaciones, y un miembro del órgano de gobierno resuelve las apelaciones. Nadie debe investigar, decidir y resolver la apelación en el mismo caso. Si no puedes mantener estos roles separados internamente, acuerda de antemano a quién recurrirás: un miembro del órgano de gobierno, tu contacto independiente (consulta la Nota sobre el Rol de Contacto Independiente), una persona asesora externa de recursos humanos o una persona abogada laboralista. Comprueba que tu Matriz de Delegación de Autoridad indique quién puede despedir.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La mayoría de los problemas se resuelven pronto mediante una conversación honesta, apoyo y expectativas claras.</w:t>
            </w:r>
          </w:p>
          <w:p>
            <w:pPr>
              <w:pStyle w:val="ListParagraph"/>
              <w:numPr>
                <w:ilvl w:val="0"/>
                <w:numId w:val="3"/>
              </w:numPr>
              <w:spacing w:after="80" w:line="290"/>
            </w:pPr>
            <w:r>
              <w:rPr>
                <w:rFonts w:ascii="Nunito Sans" w:cs="Nunito Sans" w:eastAsia="Nunito Sans" w:hAnsi="Nunito Sans"/>
                <w:color w:val="102E3B"/>
                <w:sz w:val="19"/>
                <w:szCs w:val="19"/>
              </w:rPr>
              <w:t xml:space="preserve">Antes de cualquier medida formal, se le comunica la acusación por escrito, puede ver las pruebas y tiene una oportunidad justa de responder en una reunión.</w:t>
            </w:r>
          </w:p>
          <w:p>
            <w:pPr>
              <w:pStyle w:val="ListParagraph"/>
              <w:numPr>
                <w:ilvl w:val="0"/>
                <w:numId w:val="3"/>
              </w:numPr>
              <w:spacing w:after="80" w:line="290"/>
            </w:pPr>
            <w:r>
              <w:rPr>
                <w:rFonts w:ascii="Nunito Sans" w:cs="Nunito Sans" w:eastAsia="Nunito Sans" w:hAnsi="Nunito Sans"/>
                <w:color w:val="102E3B"/>
                <w:sz w:val="19"/>
                <w:szCs w:val="19"/>
              </w:rPr>
              <w:t xml:space="preserve">Puede acudir a las reuniones formales acompañado por </w:t>
            </w:r>
            <w:r>
              <w:rPr>
                <w:rFonts w:ascii="Nunito Sans" w:cs="Nunito Sans" w:eastAsia="Nunito Sans" w:hAnsi="Nunito Sans"/>
                <w:color w:val="102E3B"/>
                <w:sz w:val="19"/>
                <w:szCs w:val="19"/>
                <w:highlight w:val="yellow"/>
              </w:rPr>
              <w:t xml:space="preserve">[un compañero o compañera de trabajo o una persona representante sindical]</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Nadie decide un caso en el que esté involucrado. La investigación y la decisión se mantienen separadas siempre que sea posible.</w:t>
            </w:r>
          </w:p>
          <w:p>
            <w:pPr>
              <w:pStyle w:val="ListParagraph"/>
              <w:numPr>
                <w:ilvl w:val="0"/>
                <w:numId w:val="3"/>
              </w:numPr>
              <w:spacing w:after="80" w:line="290"/>
            </w:pPr>
            <w:r>
              <w:rPr>
                <w:rFonts w:ascii="Nunito Sans" w:cs="Nunito Sans" w:eastAsia="Nunito Sans" w:hAnsi="Nunito Sans"/>
                <w:color w:val="102E3B"/>
                <w:sz w:val="19"/>
                <w:szCs w:val="19"/>
              </w:rPr>
              <w:t xml:space="preserve">La suspensión es con sueldo completo, no implica una conclusión de falta y se mantiene lo más breve posible.</w:t>
            </w:r>
          </w:p>
          <w:p>
            <w:pPr>
              <w:pStyle w:val="ListParagraph"/>
              <w:numPr>
                <w:ilvl w:val="0"/>
                <w:numId w:val="3"/>
              </w:numPr>
              <w:spacing w:after="80" w:line="290"/>
            </w:pPr>
            <w:r>
              <w:rPr>
                <w:rFonts w:ascii="Nunito Sans" w:cs="Nunito Sans" w:eastAsia="Nunito Sans" w:hAnsi="Nunito Sans"/>
                <w:color w:val="102E3B"/>
                <w:sz w:val="19"/>
                <w:szCs w:val="19"/>
              </w:rPr>
              <w:t xml:space="preserve">La explotación, el abuso y el acoso sexuales, el fraude y las brechas de datos graves constituyen faltas muy graves.</w:t>
            </w:r>
          </w:p>
          <w:p>
            <w:pPr>
              <w:pStyle w:val="ListParagraph"/>
              <w:numPr>
                <w:ilvl w:val="0"/>
                <w:numId w:val="3"/>
              </w:numPr>
              <w:spacing w:after="80" w:line="290"/>
            </w:pPr>
            <w:r>
              <w:rPr>
                <w:rFonts w:ascii="Nunito Sans" w:cs="Nunito Sans" w:eastAsia="Nunito Sans" w:hAnsi="Nunito Sans"/>
                <w:color w:val="102E3B"/>
                <w:sz w:val="19"/>
                <w:szCs w:val="19"/>
              </w:rPr>
              <w:t xml:space="preserve">Acusamos recibo de una reclamación formal en un plazo de </w:t>
            </w:r>
            <w:r>
              <w:rPr>
                <w:rFonts w:ascii="Nunito Sans" w:cs="Nunito Sans" w:eastAsia="Nunito Sans" w:hAnsi="Nunito Sans"/>
                <w:color w:val="102E3B"/>
                <w:sz w:val="19"/>
                <w:szCs w:val="19"/>
                <w:highlight w:val="yellow"/>
              </w:rPr>
              <w:t xml:space="preserve">[2 días hábiles]</w:t>
            </w:r>
            <w:r>
              <w:rPr>
                <w:rFonts w:ascii="Nunito Sans" w:cs="Nunito Sans" w:eastAsia="Nunito Sans" w:hAnsi="Nunito Sans"/>
                <w:color w:val="102E3B"/>
                <w:sz w:val="19"/>
                <w:szCs w:val="19"/>
              </w:rPr>
              <w:t xml:space="preserve"> y nos reunimos con usted en un plazo de </w:t>
            </w:r>
            <w:r>
              <w:rPr>
                <w:rFonts w:ascii="Nunito Sans" w:cs="Nunito Sans" w:eastAsia="Nunito Sans" w:hAnsi="Nunito Sans"/>
                <w:color w:val="102E3B"/>
                <w:sz w:val="19"/>
                <w:szCs w:val="19"/>
                <w:highlight w:val="yellow"/>
              </w:rPr>
              <w:t xml:space="preserve">[10 días hábiles]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Puede apelar cualquier decisión formal en un plazo de </w:t>
            </w:r>
            <w:r>
              <w:rPr>
                <w:rFonts w:ascii="Nunito Sans" w:cs="Nunito Sans" w:eastAsia="Nunito Sans" w:hAnsi="Nunito Sans"/>
                <w:color w:val="102E3B"/>
                <w:sz w:val="19"/>
                <w:szCs w:val="19"/>
                <w:highlight w:val="yellow"/>
              </w:rPr>
              <w:t xml:space="preserve">[10 días hábiles]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Las reclamaciones sobre la dirección se dirigen a </w:t>
            </w:r>
            <w:r>
              <w:rPr>
                <w:rFonts w:ascii="Nunito Sans" w:cs="Nunito Sans" w:eastAsia="Nunito Sans" w:hAnsi="Nunito Sans"/>
                <w:color w:val="102E3B"/>
                <w:sz w:val="19"/>
                <w:szCs w:val="19"/>
                <w:highlight w:val="yellow"/>
              </w:rPr>
              <w:t xml:space="preserve">[Nombre, cargo]</w:t>
            </w:r>
            <w:r>
              <w:rPr>
                <w:rFonts w:ascii="Nunito Sans" w:cs="Nunito Sans" w:eastAsia="Nunito Sans" w:hAnsi="Nunito Sans"/>
                <w:color w:val="102E3B"/>
                <w:sz w:val="19"/>
                <w:szCs w:val="19"/>
              </w:rPr>
              <w:t xml:space="preserve">. Las denuncias de acoso siguen la Política y Procedimiento contra el Acoso, la Intimidación y el Hostigamiento.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este procedimiento</w:t>
      </w:r>
    </w:p>
    <w:p>
      <w:pPr>
        <w:spacing w:after="120" w:before="0" w:line="300"/>
      </w:pPr>
      <w:r>
        <w:rPr>
          <w:rFonts w:ascii="Nunito Sans" w:cs="Nunito Sans" w:eastAsia="Nunito Sans" w:hAnsi="Nunito Sans"/>
          <w:color w:val="102E3B"/>
          <w:sz w:val="20"/>
          <w:szCs w:val="20"/>
        </w:rPr>
        <w:t xml:space="preserve">Este procedimiento se aplica a todas las personas empleadas por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incluido el personal a tiempo parcial, con contrato de duración determinada y en período de prueba. La Parte A trata las inquietudes sobre la conducta. La Parte B trata las reclamaciones que el personal plantea sobre su propio trabajo.</w:t>
      </w:r>
    </w:p>
    <w:p>
      <w:pPr>
        <w:spacing w:after="120" w:before="0" w:line="300"/>
      </w:pPr>
      <w:r>
        <w:rPr>
          <w:rFonts w:ascii="Nunito Sans" w:cs="Nunito Sans" w:eastAsia="Nunito Sans" w:hAnsi="Nunito Sans"/>
          <w:color w:val="102E3B"/>
          <w:sz w:val="20"/>
          <w:szCs w:val="20"/>
        </w:rPr>
        <w:t xml:space="preserve">No abarca los despidos por causas económicas u organizativas, la finalización de un contrato de duración determinada ni los problemas de salud, que siguen la ley y un proceso justo propio. El bajo rendimiento se aborda primero mediante apoyo (sección 1).</w:t>
      </w:r>
    </w:p>
    <w:p>
      <w:pPr>
        <w:spacing w:after="120" w:before="0" w:line="300"/>
      </w:pPr>
      <w:r>
        <w:rPr>
          <w:rFonts w:ascii="Nunito Sans" w:cs="Nunito Sans" w:eastAsia="Nunito Sans" w:hAnsi="Nunito Sans"/>
          <w:b/>
          <w:bCs/>
          <w:color w:val="102E3B"/>
          <w:sz w:val="20"/>
          <w:szCs w:val="20"/>
        </w:rPr>
        <w:t xml:space="preserve">En algunos casos, otras políticas tienen prioridad.</w:t>
      </w:r>
      <w:r>
        <w:rPr>
          <w:rFonts w:ascii="Nunito Sans" w:cs="Nunito Sans" w:eastAsia="Nunito Sans" w:hAnsi="Nunito Sans"/>
          <w:color w:val="102E3B"/>
          <w:sz w:val="20"/>
          <w:szCs w:val="20"/>
        </w:rPr>
        <w:t xml:space="preserve"> Las denuncias de acoso, hostigamiento o discriminación siguen la Política y Procedimiento contra el Acoso, la Intimidación y el Hostigamiento. Las inquietudes de salvaguarda se notifican conforme a la Política y Procedimiento de Salvaguarda, y la sospecha de fraude conforme a la Política y Procedimiento contra el Fraude, el Soborno y la Corrupción. Otras irregularidades pueden plantearse conforme a la Política y Procedimiento de Denuncia de Irregularidades. Si uno de esos procesos concluye que hubo una falta, cualquier medida disciplinaria sigue la Parte A. Su informe de investigación sirve como la investigación de la sección 5, de modo que no se pide a la persona que planteó la inquietud que vuelva a dar su versión.</w:t>
      </w:r>
    </w:p>
    <w:p>
      <w:pPr>
        <w:spacing w:after="120" w:before="0" w:line="300"/>
      </w:pPr>
      <w:r>
        <w:rPr>
          <w:rFonts w:ascii="Nunito Sans" w:cs="Nunito Sans" w:eastAsia="Nunito Sans" w:hAnsi="Nunito Sans"/>
          <w:b/>
          <w:bCs/>
          <w:color w:val="102E3B"/>
          <w:sz w:val="20"/>
          <w:szCs w:val="20"/>
        </w:rPr>
        <w:t xml:space="preserve">La persona voluntaria, las personas en prácticas, los miembros del órgano de gobierno y las personas contratistas</w:t>
      </w:r>
      <w:r>
        <w:rPr>
          <w:rFonts w:ascii="Nunito Sans" w:cs="Nunito Sans" w:eastAsia="Nunito Sans" w:hAnsi="Nunito Sans"/>
          <w:color w:val="102E3B"/>
          <w:sz w:val="20"/>
          <w:szCs w:val="20"/>
        </w:rPr>
        <w:t xml:space="preserve"> no son objeto de medidas disciplinarias como si fueran personal empleado. Abordamos con justicia las inquietudes sobre ellas conforme a su propio acuerdo: el Acuerdo de Voluntariado, el Contrato de Prestación de Servicios Independientes, el acuerdo de prácticas o, en el caso de los miembros del órgano de gobierno, nuestro documento constitutivo.</w:t>
      </w:r>
    </w:p>
    <w:p>
      <w:pPr>
        <w:spacing w:after="120" w:before="0" w:line="300"/>
      </w:pPr>
      <w:r>
        <w:rPr>
          <w:rFonts w:ascii="Nunito Sans" w:cs="Nunito Sans" w:eastAsia="Nunito Sans" w:hAnsi="Nunito Sans"/>
          <w:b/>
          <w:bCs/>
          <w:color w:val="102E3B"/>
          <w:sz w:val="20"/>
          <w:szCs w:val="20"/>
        </w:rPr>
        <w:t xml:space="preserve">Legislación.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emplea a personas en </w:t>
      </w:r>
      <w:r>
        <w:rPr>
          <w:rFonts w:ascii="Nunito Sans" w:cs="Nunito Sans" w:eastAsia="Nunito Sans" w:hAnsi="Nunito Sans"/>
          <w:color w:val="102E3B"/>
          <w:sz w:val="20"/>
          <w:szCs w:val="20"/>
          <w:highlight w:val="yellow"/>
        </w:rPr>
        <w:t xml:space="preserve">[país / países]</w:t>
      </w:r>
      <w:r>
        <w:rPr>
          <w:rFonts w:ascii="Nunito Sans" w:cs="Nunito Sans" w:eastAsia="Nunito Sans" w:hAnsi="Nunito Sans"/>
          <w:color w:val="102E3B"/>
          <w:sz w:val="20"/>
          <w:szCs w:val="20"/>
        </w:rPr>
        <w:t xml:space="preserve"> y aplica la legislación laboral del lugar donde trabaja cada persona. Cuando este procedimiento ofrezca menos protección que la ley, se aplica la ley. Nada de lo aquí dispuesto limita el derecho de cualquier persona a acudir a una autoridad laboral, un servicio de conciliación o un tribunal.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LEGISLACIÓN Y PAÍSES</w:t>
            </w:r>
          </w:p>
          <w:p>
            <w:pPr>
              <w:spacing w:after="120" w:before="0" w:line="300"/>
            </w:pPr>
            <w:r>
              <w:rPr>
                <w:rFonts w:ascii="Nunito Sans" w:cs="Nunito Sans" w:eastAsia="Nunito Sans" w:hAnsi="Nunito Sans"/>
                <w:color w:val="102E3B"/>
                <w:sz w:val="19"/>
                <w:szCs w:val="19"/>
              </w:rPr>
              <w:t xml:space="preserve">El derecho en materia de despido es estricto y local: pide a una persona abogada laboralista local que revise este procedimiento. Notas por país que debes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sigue el Acas Code of Practice on disciplinary and grievance procedures. Los tribunales pueden ajustar las indemnizaciones hasta un 25 % si no se ha seguido sin motivo razonable. Las personas trabajadoras tienen el derecho legal a estar acompañadas en las audiencias formales disciplinarias y de reclamación por un compañero o compañera de trabajo o por una persona representante sindical (Employment Relations Act 1999, sección 10). Acas sometió a consulta un borrador revisado del Código entre julio y septiembre de 2026, que insiste en la resolución informal en primer lugar y limita la suspensión: comprueba qué versión está en vigor. La Employment Rights Act 2025 reduce a seis meses el período mínimo de antigüedad para reclamar por despido improcedente, para los despidos a partir del 1 de enero de 2027.</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antes de despedir por falta de conducta, bajo rendimiento o incapacidad física, el empleador debe explicar el motivo en un idioma que la persona empleada entienda, permitir la presencia de otra persona empleada o de una persona representante sindical del centro de trabajo de su elección, y escuchar sus alegaciones (Employment Act 2007, sección 41). Los tribunales consideran que omitir estos pasos convierte el despido en injusto.</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un nuevo Code of Good Practice: Dismissal entró en vigor el 4 de septiembre de 2025, en sustitución del Anexo 8 de la Labour Relations Act 1995 y del código independiente sobre despidos por necesidades operativas. En caso de falta de conducta, se debe comunicar a la persona empleada las acusaciones, darle tiempo para preparar su defensa y la posibilidad de responder, e informarle de la decisión. Los empleadores pequeños pueden usar procesos más sencillos. Sigue siendo prudente celebrar una audiencia si el despido puede impugnarse ante la CCMA.</w:t>
            </w:r>
          </w:p>
          <w:p>
            <w:pPr>
              <w:pStyle w:val="ListParagraph"/>
              <w:numPr>
                <w:ilvl w:val="0"/>
                <w:numId w:val="3"/>
              </w:numPr>
              <w:spacing w:after="80" w:line="290"/>
            </w:pPr>
            <w:r>
              <w:rPr>
                <w:rFonts w:ascii="Nunito Sans" w:cs="Nunito Sans" w:eastAsia="Nunito Sans" w:hAnsi="Nunito Sans"/>
                <w:b/>
                <w:bCs/>
                <w:color w:val="102E3B"/>
                <w:sz w:val="19"/>
                <w:szCs w:val="19"/>
              </w:rPr>
              <w:t xml:space="preserve">Filipinas:</w:t>
            </w:r>
            <w:r>
              <w:rPr>
                <w:rFonts w:ascii="Nunito Sans" w:cs="Nunito Sans" w:eastAsia="Nunito Sans" w:hAnsi="Nunito Sans"/>
                <w:color w:val="102E3B"/>
                <w:sz w:val="19"/>
                <w:szCs w:val="19"/>
              </w:rPr>
              <w:t xml:space="preserve"> el despido por causa justa sigue la regla de la doble notificación (twin-notice rule). Una primera notificación escrita indica los motivos y hechos concretos y concede al menos cinco días naturales para responder. La persona empleada tiene amplia oportunidad de ser escuchada, con una persona representante si lo desea. Una segunda notificación escrita comunica la decisión y sus motivos.</w:t>
            </w:r>
          </w:p>
          <w:p>
            <w:pPr>
              <w:pStyle w:val="ListParagraph"/>
              <w:numPr>
                <w:ilvl w:val="0"/>
                <w:numId w:val="3"/>
              </w:numPr>
              <w:spacing w:after="80" w:line="290"/>
            </w:pPr>
            <w:r>
              <w:rPr>
                <w:rFonts w:ascii="Nunito Sans" w:cs="Nunito Sans" w:eastAsia="Nunito Sans" w:hAnsi="Nunito Sans"/>
                <w:b/>
                <w:bCs/>
                <w:color w:val="102E3B"/>
                <w:sz w:val="19"/>
                <w:szCs w:val="19"/>
              </w:rPr>
              <w:t xml:space="preserve">Uganda:</w:t>
            </w:r>
            <w:r>
              <w:rPr>
                <w:rFonts w:ascii="Nunito Sans" w:cs="Nunito Sans" w:eastAsia="Nunito Sans" w:hAnsi="Nunito Sans"/>
                <w:color w:val="102E3B"/>
                <w:sz w:val="19"/>
                <w:szCs w:val="19"/>
              </w:rPr>
              <w:t xml:space="preserve"> la Employment Act 2006 (sección 66) exige que el empleador explique el motivo en un idioma que la persona empleada entienda, permita la presencia de una persona de su elección y escuche sus alegaciones antes de despedir por falta de conducta o bajo rendimiento.</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los cuatro Códigos Laborales entraron en vigor el 21 de noviembre de 2025. Conforme al Industrial Relations Code 2020, los reglamentos internos (standing orders) se aplican a los establecimientos con 300 o más personas trabajadoras, y los que tienen 20 o más necesitan un mecanismo de atención de reclamaciones. Comprueba las normas vigentes en tu estado.</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el despido por causa justa (justa causa) solo es posible por los motivos del artículo 482 de la Consolidação das Leis do Trabalho (CLT), y el empleador debe actuar con prontitud.</w:t>
            </w:r>
          </w:p>
          <w:p>
            <w:pPr>
              <w:pStyle w:val="ListParagraph"/>
              <w:numPr>
                <w:ilvl w:val="0"/>
                <w:numId w:val="3"/>
              </w:numPr>
              <w:spacing w:after="80" w:line="290"/>
            </w:pPr>
            <w:r>
              <w:rPr>
                <w:rFonts w:ascii="Nunito Sans" w:cs="Nunito Sans" w:eastAsia="Nunito Sans" w:hAnsi="Nunito Sans"/>
                <w:b/>
                <w:bCs/>
                <w:color w:val="102E3B"/>
                <w:sz w:val="19"/>
                <w:szCs w:val="19"/>
              </w:rPr>
              <w:t xml:space="preserve">En otros países,</w:t>
            </w:r>
            <w:r>
              <w:rPr>
                <w:rFonts w:ascii="Nunito Sans" w:cs="Nunito Sans" w:eastAsia="Nunito Sans" w:hAnsi="Nunito Sans"/>
                <w:color w:val="102E3B"/>
                <w:sz w:val="19"/>
                <w:szCs w:val="19"/>
              </w:rPr>
              <w:t xml:space="preserve"> por ejemplo Nigeria, Ghana, Indonesia, Perú o Argentina: consulta tu legislación local sobre preaviso antes del despido, audiencias, representación, amonestaciones e indemnizaciones.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PERSONAS VOLUNTARIAS, EN PRÁCTICAS, MIEMBROS DEL ÓRGANO DE GOBIERNO Y CONTRATISTAS</w:t>
            </w:r>
          </w:p>
          <w:p>
            <w:pPr>
              <w:spacing w:after="120" w:before="0" w:line="300"/>
            </w:pPr>
            <w:r>
              <w:rPr>
                <w:rFonts w:ascii="Nunito Sans" w:cs="Nunito Sans" w:eastAsia="Nunito Sans" w:hAnsi="Nunito Sans"/>
                <w:color w:val="102E3B"/>
                <w:sz w:val="19"/>
                <w:szCs w:val="19"/>
              </w:rPr>
              <w:t xml:space="preserve">Mantén a estos grupos fuera del procedimiento disciplinario: las amonestaciones y las audiencias pueden hacer que, a efectos legales, una persona voluntaria o contratista parezca personal empleado. Sus acuerdos deben indicar cómo se plantean las inquietudes y cómo puede suspenderse o terminarse la relación. En algunos países, las personas en prácticas remuneradas pueden considerarse personal empleado: consulta tu legislación local sobre prácticas.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Principios</w:t>
      </w:r>
    </w:p>
    <w:p>
      <w:pPr>
        <w:pStyle w:val="ListParagraph"/>
        <w:numPr>
          <w:ilvl w:val="0"/>
          <w:numId w:val="4"/>
        </w:numPr>
        <w:spacing w:after="80" w:line="290"/>
      </w:pPr>
      <w:r>
        <w:rPr>
          <w:rFonts w:ascii="Nunito Sans" w:cs="Nunito Sans" w:eastAsia="Nunito Sans" w:hAnsi="Nunito Sans"/>
          <w:b/>
          <w:bCs/>
          <w:color w:val="102E3B"/>
          <w:sz w:val="20"/>
          <w:szCs w:val="20"/>
        </w:rPr>
        <w:t xml:space="preserve">Justicia y coherencia.</w:t>
      </w:r>
      <w:r>
        <w:rPr>
          <w:rFonts w:ascii="Nunito Sans" w:cs="Nunito Sans" w:eastAsia="Nunito Sans" w:hAnsi="Nunito Sans"/>
          <w:color w:val="102E3B"/>
          <w:sz w:val="20"/>
          <w:szCs w:val="20"/>
        </w:rPr>
        <w:t xml:space="preserve"> Los casos similares se tratan de forma similar, sin importar quién esté involucrado.</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Proporcionalidad.</w:t>
      </w:r>
      <w:r>
        <w:rPr>
          <w:rFonts w:ascii="Nunito Sans" w:cs="Nunito Sans" w:eastAsia="Nunito Sans" w:hAnsi="Nunito Sans"/>
          <w:color w:val="102E3B"/>
          <w:sz w:val="20"/>
          <w:szCs w:val="20"/>
        </w:rPr>
        <w:t xml:space="preserve"> La respuesta se ajusta a la gravedad de la conducta, al historial de la persona y a cualquier circunstancia atenuante.</w:t>
      </w:r>
    </w:p>
    <w:p>
      <w:pPr>
        <w:pStyle w:val="ListParagraph"/>
        <w:numPr>
          <w:ilvl w:val="0"/>
          <w:numId w:val="4"/>
        </w:numPr>
        <w:spacing w:after="80" w:line="290"/>
      </w:pPr>
      <w:r>
        <w:rPr>
          <w:rFonts w:ascii="Nunito Sans" w:cs="Nunito Sans" w:eastAsia="Nunito Sans" w:hAnsi="Nunito Sans"/>
          <w:b/>
          <w:bCs/>
          <w:color w:val="102E3B"/>
          <w:sz w:val="20"/>
          <w:szCs w:val="20"/>
        </w:rPr>
        <w:t xml:space="preserve">Presunción de inocencia.</w:t>
      </w:r>
      <w:r>
        <w:rPr>
          <w:rFonts w:ascii="Nunito Sans" w:cs="Nunito Sans" w:eastAsia="Nunito Sans" w:hAnsi="Nunito Sans"/>
          <w:color w:val="102E3B"/>
          <w:sz w:val="20"/>
          <w:szCs w:val="20"/>
        </w:rPr>
        <w:t xml:space="preserve"> Nadie es tratado como responsable de una falta hasta que los hechos se establecen según el balance de probabilidades (si es más probable que sí que que no).</w:t>
      </w:r>
    </w:p>
    <w:p>
      <w:pPr>
        <w:pStyle w:val="ListParagraph"/>
        <w:numPr>
          <w:ilvl w:val="0"/>
          <w:numId w:val="4"/>
        </w:numPr>
        <w:spacing w:after="80" w:line="290"/>
      </w:pPr>
      <w:r>
        <w:rPr>
          <w:rFonts w:ascii="Nunito Sans" w:cs="Nunito Sans" w:eastAsia="Nunito Sans" w:hAnsi="Nunito Sans"/>
          <w:b/>
          <w:bCs/>
          <w:color w:val="102E3B"/>
          <w:sz w:val="20"/>
          <w:szCs w:val="20"/>
        </w:rPr>
        <w:t xml:space="preserve">El derecho a conocer y a responder.</w:t>
      </w:r>
      <w:r>
        <w:rPr>
          <w:rFonts w:ascii="Nunito Sans" w:cs="Nunito Sans" w:eastAsia="Nunito Sans" w:hAnsi="Nunito Sans"/>
          <w:color w:val="102E3B"/>
          <w:sz w:val="20"/>
          <w:szCs w:val="20"/>
        </w:rPr>
        <w:t xml:space="preserve"> Se le comunica la acusación por escrito, puede ver las pruebas y tiene una oportunidad real de responder antes de cualquier decisión.</w:t>
      </w:r>
    </w:p>
    <w:p>
      <w:pPr>
        <w:pStyle w:val="ListParagraph"/>
        <w:numPr>
          <w:ilvl w:val="0"/>
          <w:numId w:val="4"/>
        </w:numPr>
        <w:spacing w:after="80" w:line="290"/>
      </w:pPr>
      <w:r>
        <w:rPr>
          <w:rFonts w:ascii="Nunito Sans" w:cs="Nunito Sans" w:eastAsia="Nunito Sans" w:hAnsi="Nunito Sans"/>
          <w:b/>
          <w:bCs/>
          <w:color w:val="102E3B"/>
          <w:sz w:val="20"/>
          <w:szCs w:val="20"/>
        </w:rPr>
        <w:t xml:space="preserve">El derecho a estar acompañado</w:t>
      </w:r>
      <w:r>
        <w:rPr>
          <w:rFonts w:ascii="Nunito Sans" w:cs="Nunito Sans" w:eastAsia="Nunito Sans" w:hAnsi="Nunito Sans"/>
          <w:color w:val="102E3B"/>
          <w:sz w:val="20"/>
          <w:szCs w:val="20"/>
        </w:rPr>
        <w:t xml:space="preserve"> en las reuniones formales, según lo establezca la ley y como buena práctica en todos los casos.</w:t>
      </w:r>
    </w:p>
    <w:p>
      <w:pPr>
        <w:pStyle w:val="ListParagraph"/>
        <w:numPr>
          <w:ilvl w:val="0"/>
          <w:numId w:val="4"/>
        </w:numPr>
        <w:spacing w:after="80" w:line="290"/>
      </w:pPr>
      <w:r>
        <w:rPr>
          <w:rFonts w:ascii="Nunito Sans" w:cs="Nunito Sans" w:eastAsia="Nunito Sans" w:hAnsi="Nunito Sans"/>
          <w:b/>
          <w:bCs/>
          <w:color w:val="102E3B"/>
          <w:sz w:val="20"/>
          <w:szCs w:val="20"/>
        </w:rPr>
        <w:t xml:space="preserve">Ajustes razonables</w:t>
      </w:r>
      <w:r>
        <w:rPr>
          <w:rFonts w:ascii="Nunito Sans" w:cs="Nunito Sans" w:eastAsia="Nunito Sans" w:hAnsi="Nunito Sans"/>
          <w:color w:val="102E3B"/>
          <w:sz w:val="20"/>
          <w:szCs w:val="20"/>
        </w:rPr>
        <w:t xml:space="preserve"> por discapacidad, salud, idioma, responsabilidades de cuidado u observancia religiosa: por ejemplo, interpretación, pausas, o un horario, lugar o formato diferente.</w:t>
      </w:r>
    </w:p>
    <w:p>
      <w:pPr>
        <w:pStyle w:val="ListParagraph"/>
        <w:numPr>
          <w:ilvl w:val="0"/>
          <w:numId w:val="4"/>
        </w:numPr>
        <w:spacing w:after="80" w:line="290"/>
      </w:pPr>
      <w:r>
        <w:rPr>
          <w:rFonts w:ascii="Nunito Sans" w:cs="Nunito Sans" w:eastAsia="Nunito Sans" w:hAnsi="Nunito Sans"/>
          <w:b/>
          <w:bCs/>
          <w:color w:val="102E3B"/>
          <w:sz w:val="20"/>
          <w:szCs w:val="20"/>
        </w:rPr>
        <w:t xml:space="preserve">Independencia.</w:t>
      </w:r>
      <w:r>
        <w:rPr>
          <w:rFonts w:ascii="Nunito Sans" w:cs="Nunito Sans" w:eastAsia="Nunito Sans" w:hAnsi="Nunito Sans"/>
          <w:color w:val="102E3B"/>
          <w:sz w:val="20"/>
          <w:szCs w:val="20"/>
        </w:rPr>
        <w:t xml:space="preserve"> Nadie investiga, decide ni resuelve una apelación en un caso en el que esté involucrado o tenga un conflicto de interés.</w:t>
      </w:r>
    </w:p>
    <w:p>
      <w:pPr>
        <w:pStyle w:val="ListParagraph"/>
        <w:numPr>
          <w:ilvl w:val="0"/>
          <w:numId w:val="4"/>
        </w:numPr>
        <w:spacing w:after="80" w:line="290"/>
      </w:pPr>
      <w:r>
        <w:rPr>
          <w:rFonts w:ascii="Nunito Sans" w:cs="Nunito Sans" w:eastAsia="Nunito Sans" w:hAnsi="Nunito Sans"/>
          <w:b/>
          <w:bCs/>
          <w:color w:val="102E3B"/>
          <w:sz w:val="20"/>
          <w:szCs w:val="20"/>
        </w:rPr>
        <w:t xml:space="preserve">Prontitud, confidencialidad y ausencia de represalias</w:t>
      </w:r>
      <w:r>
        <w:rPr>
          <w:rFonts w:ascii="Nunito Sans" w:cs="Nunito Sans" w:eastAsia="Nunito Sans" w:hAnsi="Nunito Sans"/>
          <w:color w:val="102E3B"/>
          <w:sz w:val="20"/>
          <w:szCs w:val="20"/>
        </w:rPr>
        <w:t xml:space="preserve"> contra cualquier persona que plantee una reclamación, colabore en una investigación o actúe como acompañante.</w:t>
      </w:r>
    </w:p>
    <w:p>
      <w:pPr>
        <w:pStyle w:val="Heading1"/>
        <w:keepNext/>
        <w:spacing w:after="160" w:before="360"/>
      </w:pPr>
      <w:r>
        <w:rPr>
          <w:rFonts w:ascii="DM Serif Display" w:cs="DM Serif Display" w:eastAsia="DM Serif Display" w:hAnsi="DM Serif Display"/>
          <w:color w:val="123C48"/>
          <w:sz w:val="40"/>
          <w:szCs w:val="40"/>
        </w:rPr>
        <w:t xml:space="preserve">Parte A: Procedimiento disciplinario</w:t>
      </w:r>
    </w:p>
    <w:p>
      <w:pPr>
        <w:pStyle w:val="Heading2"/>
        <w:keepNext/>
        <w:spacing w:after="120" w:before="280"/>
      </w:pPr>
      <w:r>
        <w:rPr>
          <w:rFonts w:ascii="DM Serif Display" w:cs="DM Serif Display" w:eastAsia="DM Serif Display" w:hAnsi="DM Serif Display"/>
          <w:color w:val="123C48"/>
          <w:sz w:val="28"/>
          <w:szCs w:val="28"/>
        </w:rPr>
        <w:t xml:space="preserve">1. ¿Rendimiento o conducta?</w:t>
      </w:r>
    </w:p>
    <w:p>
      <w:pPr>
        <w:spacing w:after="120" w:before="0" w:line="300"/>
      </w:pPr>
      <w:r>
        <w:rPr>
          <w:rFonts w:ascii="Nunito Sans" w:cs="Nunito Sans" w:eastAsia="Nunito Sans" w:hAnsi="Nunito Sans"/>
          <w:color w:val="102E3B"/>
          <w:sz w:val="20"/>
          <w:szCs w:val="20"/>
        </w:rPr>
        <w:t xml:space="preserve">El </w:t>
      </w:r>
      <w:r>
        <w:rPr>
          <w:rFonts w:ascii="Nunito Sans" w:cs="Nunito Sans" w:eastAsia="Nunito Sans" w:hAnsi="Nunito Sans"/>
          <w:b/>
          <w:bCs/>
          <w:color w:val="102E3B"/>
          <w:sz w:val="20"/>
          <w:szCs w:val="20"/>
        </w:rPr>
        <w:t xml:space="preserve">rendimiento</w:t>
      </w:r>
      <w:r>
        <w:rPr>
          <w:rFonts w:ascii="Nunito Sans" w:cs="Nunito Sans" w:eastAsia="Nunito Sans" w:hAnsi="Nunito Sans"/>
          <w:color w:val="102E3B"/>
          <w:sz w:val="20"/>
          <w:szCs w:val="20"/>
        </w:rPr>
        <w:t xml:space="preserve"> se refiere a si alguien puede desempeñar el trabajo con el nivel exigido. La </w:t>
      </w:r>
      <w:r>
        <w:rPr>
          <w:rFonts w:ascii="Nunito Sans" w:cs="Nunito Sans" w:eastAsia="Nunito Sans" w:hAnsi="Nunito Sans"/>
          <w:b/>
          <w:bCs/>
          <w:color w:val="102E3B"/>
          <w:sz w:val="20"/>
          <w:szCs w:val="20"/>
        </w:rPr>
        <w:t xml:space="preserve">conducta</w:t>
      </w:r>
      <w:r>
        <w:rPr>
          <w:rFonts w:ascii="Nunito Sans" w:cs="Nunito Sans" w:eastAsia="Nunito Sans" w:hAnsi="Nunito Sans"/>
          <w:color w:val="102E3B"/>
          <w:sz w:val="20"/>
          <w:szCs w:val="20"/>
        </w:rPr>
        <w:t xml:space="preserve"> se refiere a cómo se comporta. Cuando el rendimiento no alcanza el nivel esperado, la persona responsable explica la inquietud con ejemplos, escucha y acuerda un plan de mejora con objetivos, apoyo y una fecha de revisión en un plazo de </w:t>
      </w:r>
      <w:r>
        <w:rPr>
          <w:rFonts w:ascii="Nunito Sans" w:cs="Nunito Sans" w:eastAsia="Nunito Sans" w:hAnsi="Nunito Sans"/>
          <w:color w:val="102E3B"/>
          <w:sz w:val="20"/>
          <w:szCs w:val="20"/>
          <w:highlight w:val="yellow"/>
        </w:rPr>
        <w:t xml:space="preserve">[4 a 8 semanas]</w:t>
      </w:r>
      <w:r>
        <w:rPr>
          <w:rFonts w:ascii="Nunito Sans" w:cs="Nunito Sans" w:eastAsia="Nunito Sans" w:hAnsi="Nunito Sans"/>
          <w:color w:val="102E3B"/>
          <w:sz w:val="20"/>
          <w:szCs w:val="20"/>
        </w:rPr>
        <w:t xml:space="preserve">. Comprobamos si influyen la salud, una discapacidad o la carga de trabajo. Solo si el rendimiento no mejora después de una oportunidad justa utilizamos las etapas formales que se describen a continuación.</w:t>
      </w:r>
    </w:p>
    <w:p>
      <w:pPr>
        <w:pStyle w:val="Heading2"/>
        <w:keepNext/>
        <w:spacing w:after="120" w:before="280"/>
      </w:pPr>
      <w:r>
        <w:rPr>
          <w:rFonts w:ascii="DM Serif Display" w:cs="DM Serif Display" w:eastAsia="DM Serif Display" w:hAnsi="DM Serif Display"/>
          <w:color w:val="123C48"/>
          <w:sz w:val="28"/>
          <w:szCs w:val="28"/>
        </w:rPr>
        <w:t xml:space="preserve">2. Resolución informal</w:t>
      </w:r>
    </w:p>
    <w:p>
      <w:pPr>
        <w:spacing w:after="120" w:before="0" w:line="300"/>
      </w:pPr>
      <w:r>
        <w:rPr>
          <w:rFonts w:ascii="Nunito Sans" w:cs="Nunito Sans" w:eastAsia="Nunito Sans" w:hAnsi="Nunito Sans"/>
          <w:color w:val="102E3B"/>
          <w:sz w:val="20"/>
          <w:szCs w:val="20"/>
        </w:rPr>
        <w:t xml:space="preserve">Las faltas leves, como retrasos ocasionales o el incumplimiento descuidado de una norma, suelen abordarse en una conversación privada. La persona responsable explica qué salió mal y qué se espera, escucha y guarda una breve nota fechada que comparte con la persona empleada. Esto no es una sanción disciplinaria. Si la conducta continúa o es más grave, utilizamos el procedimiento formal.</w:t>
      </w:r>
    </w:p>
    <w:p>
      <w:pPr>
        <w:pStyle w:val="Heading2"/>
        <w:keepNext/>
        <w:spacing w:after="120" w:before="280"/>
      </w:pPr>
      <w:r>
        <w:rPr>
          <w:rFonts w:ascii="DM Serif Display" w:cs="DM Serif Display" w:eastAsia="DM Serif Display" w:hAnsi="DM Serif Display"/>
          <w:color w:val="123C48"/>
          <w:sz w:val="28"/>
          <w:szCs w:val="28"/>
        </w:rPr>
        <w:t xml:space="preserve">3. Falta y falta muy grave</w:t>
      </w:r>
    </w:p>
    <w:p>
      <w:pPr>
        <w:spacing w:after="120" w:before="0" w:line="30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falta</w:t>
      </w:r>
      <w:r>
        <w:rPr>
          <w:rFonts w:ascii="Nunito Sans" w:cs="Nunito Sans" w:eastAsia="Nunito Sans" w:hAnsi="Nunito Sans"/>
          <w:color w:val="102E3B"/>
          <w:sz w:val="20"/>
          <w:szCs w:val="20"/>
        </w:rPr>
        <w:t xml:space="preserve"> es un incumplimiento de nuestro Código de Conducta, de nuestras políticas o de instrucciones razonables que no es lo bastante grave como para justificar el despido la primera vez: por ejemplo, retrasos reiterados, incumplimientos menores de las normas financieras o informáticas, o un comportamiento irrespetuoso.</w:t>
      </w:r>
    </w:p>
    <w:p>
      <w:pPr>
        <w:spacing w:after="120" w:before="0" w:line="30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falta muy grave</w:t>
      </w:r>
      <w:r>
        <w:rPr>
          <w:rFonts w:ascii="Nunito Sans" w:cs="Nunito Sans" w:eastAsia="Nunito Sans" w:hAnsi="Nunito Sans"/>
          <w:color w:val="102E3B"/>
          <w:sz w:val="20"/>
          <w:szCs w:val="20"/>
        </w:rPr>
        <w:t xml:space="preserve"> es una conducta tan seria que puede justificar el despido sin preaviso a la primera, tras un procedimiento justo. Ejemplos:</w:t>
      </w:r>
    </w:p>
    <w:p>
      <w:pPr>
        <w:pStyle w:val="ListParagraph"/>
        <w:numPr>
          <w:ilvl w:val="0"/>
          <w:numId w:val="3"/>
        </w:numPr>
        <w:spacing w:after="80" w:line="290"/>
      </w:pPr>
      <w:r>
        <w:rPr>
          <w:rFonts w:ascii="Nunito Sans" w:cs="Nunito Sans" w:eastAsia="Nunito Sans" w:hAnsi="Nunito Sans"/>
          <w:color w:val="102E3B"/>
          <w:sz w:val="20"/>
          <w:szCs w:val="20"/>
        </w:rPr>
        <w:t xml:space="preserve">la explotación, el abuso o el acoso sexuales de cualquier persona, incluido cualquier incumplimiento de los seis principios fundamentales del IASC recogidos en nuestro 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el abuso, la negligencia o la explotación de un niño, niña o adolescente o de una persona adulta en situación de riesgo, o no notificar una inquietud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el fraude, el robo, el soborno, las solicitudes de reembolso de gastos falsas, o la falsificación de registros, hojas de horas o informes;</w:t>
      </w:r>
    </w:p>
    <w:p>
      <w:pPr>
        <w:pStyle w:val="ListParagraph"/>
        <w:numPr>
          <w:ilvl w:val="0"/>
          <w:numId w:val="3"/>
        </w:numPr>
        <w:spacing w:after="80" w:line="290"/>
      </w:pPr>
      <w:r>
        <w:rPr>
          <w:rFonts w:ascii="Nunito Sans" w:cs="Nunito Sans" w:eastAsia="Nunito Sans" w:hAnsi="Nunito Sans"/>
          <w:color w:val="102E3B"/>
          <w:sz w:val="20"/>
          <w:szCs w:val="20"/>
        </w:rPr>
        <w:t xml:space="preserve">las brechas de datos graves: la divulgación deliberada o imprudente de información personal o confidencial, incluidos los registros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la violencia, las amenazas, o el hostigamiento o acoso graves;</w:t>
      </w:r>
    </w:p>
    <w:p>
      <w:pPr>
        <w:pStyle w:val="ListParagraph"/>
        <w:numPr>
          <w:ilvl w:val="0"/>
          <w:numId w:val="3"/>
        </w:numPr>
        <w:spacing w:after="80" w:line="290"/>
      </w:pPr>
      <w:r>
        <w:rPr>
          <w:rFonts w:ascii="Nunito Sans" w:cs="Nunito Sans" w:eastAsia="Nunito Sans" w:hAnsi="Nunito Sans"/>
          <w:color w:val="102E3B"/>
          <w:sz w:val="20"/>
          <w:szCs w:val="20"/>
        </w:rPr>
        <w:t xml:space="preserve">las represalias contra alguien que planteó una inquietud;</w:t>
      </w:r>
    </w:p>
    <w:p>
      <w:pPr>
        <w:pStyle w:val="ListParagraph"/>
        <w:numPr>
          <w:ilvl w:val="0"/>
          <w:numId w:val="3"/>
        </w:numPr>
        <w:spacing w:after="80" w:line="290"/>
      </w:pPr>
      <w:r>
        <w:rPr>
          <w:rFonts w:ascii="Nunito Sans" w:cs="Nunito Sans" w:eastAsia="Nunito Sans" w:hAnsi="Nunito Sans"/>
          <w:color w:val="102E3B"/>
          <w:sz w:val="20"/>
          <w:szCs w:val="20"/>
        </w:rPr>
        <w:t xml:space="preserve">trabajar bajo los efectos del alcohol o las drogas;</w:t>
      </w:r>
    </w:p>
    <w:p>
      <w:pPr>
        <w:pStyle w:val="ListParagraph"/>
        <w:numPr>
          <w:ilvl w:val="0"/>
          <w:numId w:val="3"/>
        </w:numPr>
        <w:spacing w:after="80" w:line="290"/>
      </w:pPr>
      <w:r>
        <w:rPr>
          <w:rFonts w:ascii="Nunito Sans" w:cs="Nunito Sans" w:eastAsia="Nunito Sans" w:hAnsi="Nunito Sans"/>
          <w:color w:val="102E3B"/>
          <w:sz w:val="20"/>
          <w:szCs w:val="20"/>
        </w:rPr>
        <w:t xml:space="preserve">la negligencia grave que cause daños o pérdidas;</w:t>
      </w:r>
    </w:p>
    <w:p>
      <w:pPr>
        <w:pStyle w:val="ListParagraph"/>
        <w:numPr>
          <w:ilvl w:val="0"/>
          <w:numId w:val="3"/>
        </w:numPr>
        <w:spacing w:after="80" w:line="290"/>
      </w:pPr>
      <w:r>
        <w:rPr>
          <w:rFonts w:ascii="Nunito Sans" w:cs="Nunito Sans" w:eastAsia="Nunito Sans" w:hAnsi="Nunito Sans"/>
          <w:color w:val="102E3B"/>
          <w:sz w:val="20"/>
          <w:szCs w:val="20"/>
        </w:rPr>
        <w:t xml:space="preserve">proporcionar información falsa sobre titulaciones, antecedentes penales o faltas de conducta en una declaración personal durante el proceso de selección.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LISTA DE FALTAS MUY GRAVES</w:t>
            </w:r>
          </w:p>
          <w:p>
            <w:pPr>
              <w:spacing w:after="120" w:before="0" w:line="300"/>
            </w:pPr>
            <w:r>
              <w:rPr>
                <w:rFonts w:ascii="Nunito Sans" w:cs="Nunito Sans" w:eastAsia="Nunito Sans" w:hAnsi="Nunito Sans"/>
                <w:color w:val="102E3B"/>
                <w:sz w:val="19"/>
                <w:szCs w:val="19"/>
              </w:rPr>
              <w:t xml:space="preserve">Compara la lista con las cláusulas 19 y 23 de tu Contrato de Trabajo y con tu Código de Conducta, para que los tres coincidan. Añade riesgos propios de tu trabajo, como el uso indebido de vehículos o el incumplimiento de normas de seguridad. En algunos países solo los motivos previstos en la ley justifican el despido sin preaviso, por ejemplo en Kenia (Employment Act 2007, sección 44) o en Brasil (CLT, artículo 482): utiliza la redacción legal cuando sea diferente.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Suspensión cautelar</w:t>
      </w:r>
    </w:p>
    <w:p>
      <w:pPr>
        <w:spacing w:after="120" w:before="0" w:line="300"/>
      </w:pPr>
      <w:r>
        <w:rPr>
          <w:rFonts w:ascii="Nunito Sans" w:cs="Nunito Sans" w:eastAsia="Nunito Sans" w:hAnsi="Nunito Sans"/>
          <w:color w:val="102E3B"/>
          <w:sz w:val="20"/>
          <w:szCs w:val="20"/>
        </w:rPr>
        <w:t xml:space="preserve">Si una inquietud es grave, podemos suspender a la persona empleada mientras investigamos, por ejemplo cuando existe un riesgo para las personas, las pruebas o el dinero. Antes consideramos alternativas, como cambiar sus funciones o retirar su acceso a fondos o sistemas.</w:t>
      </w:r>
    </w:p>
    <w:p>
      <w:pPr>
        <w:spacing w:after="120" w:before="0" w:line="300"/>
      </w:pPr>
      <w:r>
        <w:rPr>
          <w:rFonts w:ascii="Nunito Sans" w:cs="Nunito Sans" w:eastAsia="Nunito Sans" w:hAnsi="Nunito Sans"/>
          <w:color w:val="102E3B"/>
          <w:sz w:val="20"/>
          <w:szCs w:val="20"/>
        </w:rPr>
        <w:t xml:space="preserve">La suspensión es un acto neutral, no una sanción ni una conclusión, y se aplica con sueldo y prestaciones completos. La confirmamos por escrito en un plazo de </w:t>
      </w:r>
      <w:r>
        <w:rPr>
          <w:rFonts w:ascii="Nunito Sans" w:cs="Nunito Sans" w:eastAsia="Nunito Sans" w:hAnsi="Nunito Sans"/>
          <w:color w:val="102E3B"/>
          <w:sz w:val="20"/>
          <w:szCs w:val="20"/>
          <w:highlight w:val="yellow"/>
        </w:rPr>
        <w:t xml:space="preserve">[1 día hábil]</w:t>
      </w:r>
      <w:r>
        <w:rPr>
          <w:rFonts w:ascii="Nunito Sans" w:cs="Nunito Sans" w:eastAsia="Nunito Sans" w:hAnsi="Nunito Sans"/>
          <w:color w:val="102E3B"/>
          <w:sz w:val="20"/>
          <w:szCs w:val="20"/>
        </w:rPr>
        <w:t xml:space="preserve">, indicando el motivo, la duración prevista, las normas aplicables (como no contactar a testigos) y una persona de contacto para apoyo. La revisamos cada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y la mantenemos breve. Se consulta a la persona responsable de salvaguarda en cualquier caso de salvaguarda.</w:t>
      </w:r>
    </w:p>
    <w:p>
      <w:pPr>
        <w:pStyle w:val="Heading2"/>
        <w:keepNext/>
        <w:spacing w:after="120" w:before="280"/>
      </w:pPr>
      <w:r>
        <w:rPr>
          <w:rFonts w:ascii="DM Serif Display" w:cs="DM Serif Display" w:eastAsia="DM Serif Display" w:hAnsi="DM Serif Display"/>
          <w:color w:val="123C48"/>
          <w:sz w:val="28"/>
          <w:szCs w:val="28"/>
        </w:rPr>
        <w:t xml:space="preserve">5. Investigación</w:t>
      </w:r>
    </w:p>
    <w:p>
      <w:pPr>
        <w:spacing w:after="120" w:before="0" w:line="300"/>
      </w:pPr>
      <w:r>
        <w:rPr>
          <w:rFonts w:ascii="Nunito Sans" w:cs="Nunito Sans" w:eastAsia="Nunito Sans" w:hAnsi="Nunito Sans"/>
          <w:color w:val="102E3B"/>
          <w:sz w:val="20"/>
          <w:szCs w:val="20"/>
        </w:rPr>
        <w:t xml:space="preserve">Antes de cualquier audiencia, establecemos los hechos sin demoras injustificadas. Siempre que sea posible, la persona que investiga no es la que decidirá el caso, no ha tenido ninguna participación en el asunto y no tiene una relación cercana con ninguna de las personas involucradas. La persona que investiga:</w:t>
      </w:r>
    </w:p>
    <w:p>
      <w:pPr>
        <w:pStyle w:val="ListParagraph"/>
        <w:numPr>
          <w:ilvl w:val="0"/>
          <w:numId w:val="5"/>
        </w:numPr>
        <w:spacing w:after="80" w:line="290"/>
      </w:pPr>
      <w:r>
        <w:rPr>
          <w:rFonts w:ascii="Nunito Sans" w:cs="Nunito Sans" w:eastAsia="Nunito Sans" w:hAnsi="Nunito Sans"/>
          <w:color w:val="102E3B"/>
          <w:sz w:val="20"/>
          <w:szCs w:val="20"/>
        </w:rPr>
        <w:t xml:space="preserve">acuerda unos términos de referencia por escrito: las acusaciones, las preguntas que deben responderse y una fecha objetivo, normalmente </w:t>
      </w:r>
      <w:r>
        <w:rPr>
          <w:rFonts w:ascii="Nunito Sans" w:cs="Nunito Sans" w:eastAsia="Nunito Sans" w:hAnsi="Nunito Sans"/>
          <w:color w:val="102E3B"/>
          <w:sz w:val="20"/>
          <w:szCs w:val="20"/>
          <w:highlight w:val="yellow"/>
        </w:rPr>
        <w:t xml:space="preserve">[15 días hábiles]</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color w:val="102E3B"/>
          <w:sz w:val="20"/>
          <w:szCs w:val="20"/>
        </w:rPr>
        <w:t xml:space="preserve">invita a la persona empleada a una reunión de investigación (Anexo A), le explica las acusaciones y le invita a dar su versión y a proponer testigos y pruebas;</w:t>
      </w:r>
    </w:p>
    <w:p>
      <w:pPr>
        <w:pStyle w:val="ListParagraph"/>
        <w:numPr>
          <w:ilvl w:val="0"/>
          <w:numId w:val="5"/>
        </w:numPr>
        <w:spacing w:after="80" w:line="290"/>
      </w:pPr>
      <w:r>
        <w:rPr>
          <w:rFonts w:ascii="Nunito Sans" w:cs="Nunito Sans" w:eastAsia="Nunito Sans" w:hAnsi="Nunito Sans"/>
          <w:color w:val="102E3B"/>
          <w:sz w:val="20"/>
          <w:szCs w:val="20"/>
        </w:rPr>
        <w:t xml:space="preserve">entrevista a los testigos por separado y toma notas, que cada persona puede revisar;</w:t>
      </w:r>
    </w:p>
    <w:p>
      <w:pPr>
        <w:pStyle w:val="ListParagraph"/>
        <w:numPr>
          <w:ilvl w:val="0"/>
          <w:numId w:val="5"/>
        </w:numPr>
        <w:spacing w:after="80" w:line="290"/>
      </w:pPr>
      <w:r>
        <w:rPr>
          <w:rFonts w:ascii="Nunito Sans" w:cs="Nunito Sans" w:eastAsia="Nunito Sans" w:hAnsi="Nunito Sans"/>
          <w:color w:val="102E3B"/>
          <w:sz w:val="20"/>
          <w:szCs w:val="20"/>
        </w:rPr>
        <w:t xml:space="preserve">reúne los documentos, mensajes y registros financieros pertinentes;</w:t>
      </w:r>
    </w:p>
    <w:p>
      <w:pPr>
        <w:pStyle w:val="ListParagraph"/>
        <w:numPr>
          <w:ilvl w:val="0"/>
          <w:numId w:val="5"/>
        </w:numPr>
        <w:spacing w:after="80" w:line="290"/>
      </w:pPr>
      <w:r>
        <w:rPr>
          <w:rFonts w:ascii="Nunito Sans" w:cs="Nunito Sans" w:eastAsia="Nunito Sans" w:hAnsi="Nunito Sans"/>
          <w:color w:val="102E3B"/>
          <w:sz w:val="20"/>
          <w:szCs w:val="20"/>
        </w:rPr>
        <w:t xml:space="preserve">redacta un breve informe de los hechos constatados y de si existen motivos para continuar el procedimiento, sin recomendar una sanción.</w:t>
      </w:r>
    </w:p>
    <w:p>
      <w:pPr>
        <w:spacing w:after="120" w:before="0" w:line="300"/>
      </w:pPr>
      <w:r>
        <w:rPr>
          <w:rFonts w:ascii="Nunito Sans" w:cs="Nunito Sans" w:eastAsia="Nunito Sans" w:hAnsi="Nunito Sans"/>
          <w:color w:val="102E3B"/>
          <w:sz w:val="20"/>
          <w:szCs w:val="20"/>
        </w:rPr>
        <w:t xml:space="preserve">Una reunión de investigación no da lugar a ninguna sanción. Permitimos que la persona acuda acompañada </w:t>
      </w:r>
      <w:r>
        <w:rPr>
          <w:rFonts w:ascii="Nunito Sans" w:cs="Nunito Sans" w:eastAsia="Nunito Sans" w:hAnsi="Nunito Sans"/>
          <w:color w:val="102E3B"/>
          <w:sz w:val="20"/>
          <w:szCs w:val="20"/>
          <w:highlight w:val="yellow"/>
        </w:rPr>
        <w:t xml:space="preserve">[cuando la persona empleada lo solicite / en todos los casos]</w:t>
      </w:r>
      <w:r>
        <w:rPr>
          <w:rFonts w:ascii="Nunito Sans" w:cs="Nunito Sans" w:eastAsia="Nunito Sans" w:hAnsi="Nunito Sans"/>
          <w:color w:val="102E3B"/>
          <w:sz w:val="20"/>
          <w:szCs w:val="20"/>
        </w:rPr>
        <w:t xml:space="preserve">, incluso cuando la ley no lo exija.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INVESTIGA EN UN EQUIPO PEQUEÑO</w:t>
            </w:r>
          </w:p>
          <w:p>
            <w:pPr>
              <w:spacing w:after="120" w:before="0" w:line="300"/>
            </w:pPr>
            <w:r>
              <w:rPr>
                <w:rFonts w:ascii="Nunito Sans" w:cs="Nunito Sans" w:eastAsia="Nunito Sans" w:hAnsi="Nunito Sans"/>
                <w:color w:val="102E3B"/>
                <w:sz w:val="19"/>
                <w:szCs w:val="19"/>
              </w:rPr>
              <w:t xml:space="preserve">En un equipo pequeño, puede que todas las personas estén demasiado cerca del caso. Opciones: un miembro del órgano de gobierno que no esté involucrado; una persona con cargo directivo de una organización afín, sujeta a confidencialidad; una persona consultora externa de recursos humanos; o, en casos graves de salvaguarda, de fraude o que afecten a cargos superiores, una persona investigadora especializada. Prevé un presupuesto para ello y pregunta a tus financiadores si deben aprobar a la persona que investigue.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Convocatoria a una audiencia disciplinaria</w:t>
      </w:r>
    </w:p>
    <w:p>
      <w:pPr>
        <w:spacing w:after="120" w:before="0" w:line="300"/>
      </w:pPr>
      <w:r>
        <w:rPr>
          <w:rFonts w:ascii="Nunito Sans" w:cs="Nunito Sans" w:eastAsia="Nunito Sans" w:hAnsi="Nunito Sans"/>
          <w:color w:val="102E3B"/>
          <w:sz w:val="20"/>
          <w:szCs w:val="20"/>
        </w:rPr>
        <w:t xml:space="preserve">Si existen motivos para continuar, la persona que decide escribe a la persona empleada (Anexo B) al menos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antes de la audiencia. La carta:</w:t>
      </w:r>
    </w:p>
    <w:p>
      <w:pPr>
        <w:pStyle w:val="ListParagraph"/>
        <w:numPr>
          <w:ilvl w:val="0"/>
          <w:numId w:val="3"/>
        </w:numPr>
        <w:spacing w:after="80" w:line="290"/>
      </w:pPr>
      <w:r>
        <w:rPr>
          <w:rFonts w:ascii="Nunito Sans" w:cs="Nunito Sans" w:eastAsia="Nunito Sans" w:hAnsi="Nunito Sans"/>
          <w:color w:val="102E3B"/>
          <w:sz w:val="20"/>
          <w:szCs w:val="20"/>
        </w:rPr>
        <w:t xml:space="preserve">expone cada acusación, con fechas y hechos;</w:t>
      </w:r>
    </w:p>
    <w:p>
      <w:pPr>
        <w:pStyle w:val="ListParagraph"/>
        <w:numPr>
          <w:ilvl w:val="0"/>
          <w:numId w:val="3"/>
        </w:numPr>
        <w:spacing w:after="80" w:line="290"/>
      </w:pPr>
      <w:r>
        <w:rPr>
          <w:rFonts w:ascii="Nunito Sans" w:cs="Nunito Sans" w:eastAsia="Nunito Sans" w:hAnsi="Nunito Sans"/>
          <w:color w:val="102E3B"/>
          <w:sz w:val="20"/>
          <w:szCs w:val="20"/>
        </w:rPr>
        <w:t xml:space="preserve">adjunta el informe de investigación y las pruebas, incluidas las declaraciones de testigos (anonimizadas solo cuando sea necesario para proteger a alguien);</w:t>
      </w:r>
    </w:p>
    <w:p>
      <w:pPr>
        <w:pStyle w:val="ListParagraph"/>
        <w:numPr>
          <w:ilvl w:val="0"/>
          <w:numId w:val="3"/>
        </w:numPr>
        <w:spacing w:after="80" w:line="290"/>
      </w:pPr>
      <w:r>
        <w:rPr>
          <w:rFonts w:ascii="Nunito Sans" w:cs="Nunito Sans" w:eastAsia="Nunito Sans" w:hAnsi="Nunito Sans"/>
          <w:color w:val="102E3B"/>
          <w:sz w:val="20"/>
          <w:szCs w:val="20"/>
        </w:rPr>
        <w:t xml:space="preserve">indica si las acusaciones podrían constituir una falta muy grave y si es posible el despido;</w:t>
      </w:r>
    </w:p>
    <w:p>
      <w:pPr>
        <w:pStyle w:val="ListParagraph"/>
        <w:numPr>
          <w:ilvl w:val="0"/>
          <w:numId w:val="3"/>
        </w:numPr>
        <w:spacing w:after="80" w:line="290"/>
      </w:pPr>
      <w:r>
        <w:rPr>
          <w:rFonts w:ascii="Nunito Sans" w:cs="Nunito Sans" w:eastAsia="Nunito Sans" w:hAnsi="Nunito Sans"/>
          <w:color w:val="102E3B"/>
          <w:sz w:val="20"/>
          <w:szCs w:val="20"/>
        </w:rPr>
        <w:t xml:space="preserve">indica la fecha, la hora, el lugar o el enlace, y quién asistirá;</w:t>
      </w:r>
    </w:p>
    <w:p>
      <w:pPr>
        <w:pStyle w:val="ListParagraph"/>
        <w:numPr>
          <w:ilvl w:val="0"/>
          <w:numId w:val="3"/>
        </w:numPr>
        <w:spacing w:after="80" w:line="290"/>
      </w:pPr>
      <w:r>
        <w:rPr>
          <w:rFonts w:ascii="Nunito Sans" w:cs="Nunito Sans" w:eastAsia="Nunito Sans" w:hAnsi="Nunito Sans"/>
          <w:color w:val="102E3B"/>
          <w:sz w:val="20"/>
          <w:szCs w:val="20"/>
        </w:rPr>
        <w:t xml:space="preserve">explica el derecho a estar acompañado, a presentar pruebas y a solicitar testigos, y ofrece ajustes e interpretación.</w:t>
      </w:r>
    </w:p>
    <w:p>
      <w:pPr>
        <w:pStyle w:val="Heading2"/>
        <w:keepNext/>
        <w:spacing w:after="120" w:before="280"/>
      </w:pPr>
      <w:r>
        <w:rPr>
          <w:rFonts w:ascii="DM Serif Display" w:cs="DM Serif Display" w:eastAsia="DM Serif Display" w:hAnsi="DM Serif Display"/>
          <w:color w:val="123C48"/>
          <w:sz w:val="28"/>
          <w:szCs w:val="28"/>
        </w:rPr>
        <w:t xml:space="preserve">7. El derecho a estar acompañado</w:t>
      </w:r>
    </w:p>
    <w:p>
      <w:pPr>
        <w:spacing w:after="120" w:before="0" w:line="300"/>
      </w:pPr>
      <w:r>
        <w:rPr>
          <w:rFonts w:ascii="Nunito Sans" w:cs="Nunito Sans" w:eastAsia="Nunito Sans" w:hAnsi="Nunito Sans"/>
          <w:color w:val="102E3B"/>
          <w:sz w:val="20"/>
          <w:szCs w:val="20"/>
        </w:rPr>
        <w:t xml:space="preserve">En cualquier audiencia formal disciplinaria o de reclamación, y en las apelaciones, la persona empleada puede llevar a un acompañante: </w:t>
      </w:r>
      <w:r>
        <w:rPr>
          <w:rFonts w:ascii="Nunito Sans" w:cs="Nunito Sans" w:eastAsia="Nunito Sans" w:hAnsi="Nunito Sans"/>
          <w:color w:val="102E3B"/>
          <w:sz w:val="20"/>
          <w:szCs w:val="20"/>
          <w:highlight w:val="yellow"/>
        </w:rPr>
        <w:t xml:space="preserve">[un compañero o compañera de trabajo, una persona representante o delegada sindical, u otra persona que aceptemos como ajuste razonable]</w:t>
      </w:r>
      <w:r>
        <w:rPr>
          <w:rFonts w:ascii="Nunito Sans" w:cs="Nunito Sans" w:eastAsia="Nunito Sans" w:hAnsi="Nunito Sans"/>
          <w:color w:val="102E3B"/>
          <w:sz w:val="20"/>
          <w:szCs w:val="20"/>
        </w:rPr>
        <w:t xml:space="preserve">. El acompañante puede intervenir, exponer el caso de la persona empleada y consultar con ella, pero no responder preguntas en su lugar. Si el acompañante no puede asistir, la persona empleada puede proponer otro momento dentro de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Los compañeros y compañeras disponen de tiempo libre retribuido para actuar como acompañantes.</w:t>
      </w:r>
    </w:p>
    <w:p>
      <w:pPr>
        <w:pStyle w:val="Heading2"/>
        <w:keepNext/>
        <w:spacing w:after="120" w:before="280"/>
      </w:pPr>
      <w:r>
        <w:rPr>
          <w:rFonts w:ascii="DM Serif Display" w:cs="DM Serif Display" w:eastAsia="DM Serif Display" w:hAnsi="DM Serif Display"/>
          <w:color w:val="123C48"/>
          <w:sz w:val="28"/>
          <w:szCs w:val="28"/>
        </w:rPr>
        <w:t xml:space="preserve">8. La audiencia</w:t>
      </w:r>
    </w:p>
    <w:p>
      <w:pPr>
        <w:spacing w:after="120" w:before="0" w:line="300"/>
      </w:pPr>
      <w:r>
        <w:rPr>
          <w:rFonts w:ascii="Nunito Sans" w:cs="Nunito Sans" w:eastAsia="Nunito Sans" w:hAnsi="Nunito Sans"/>
          <w:color w:val="102E3B"/>
          <w:sz w:val="20"/>
          <w:szCs w:val="20"/>
        </w:rPr>
        <w:t xml:space="preserve">La persona que decide dirige la audiencia, con una persona que toma notas (Anexo F). La persona empleada tiene plena oportunidad de responder, presentar pruebas, llamar a testigos pertinentes y exponer circunstancias atenuantes. La persona que decide hace una pausa antes de decidir y, si surgen nuevos elementos, los comprueba primero.</w:t>
      </w:r>
    </w:p>
    <w:p>
      <w:pPr>
        <w:spacing w:after="120" w:before="0" w:line="300"/>
      </w:pPr>
      <w:r>
        <w:rPr>
          <w:rFonts w:ascii="Nunito Sans" w:cs="Nunito Sans" w:eastAsia="Nunito Sans" w:hAnsi="Nunito Sans"/>
          <w:color w:val="102E3B"/>
          <w:sz w:val="20"/>
          <w:szCs w:val="20"/>
        </w:rPr>
        <w:t xml:space="preserve">Si la persona empleada no asiste sin un motivo justificado, reprogramamos la audiencia una vez y, después, podemos decidir sobre la base de las pruebas y de cualquier alegación por escrito. Si el motivo es una enfermedad, ofrecemos una respuesta por escrito o una reunión en línea.</w:t>
      </w:r>
    </w:p>
    <w:p>
      <w:pPr>
        <w:pStyle w:val="Heading2"/>
        <w:keepNext/>
        <w:spacing w:after="120" w:before="280"/>
      </w:pPr>
      <w:r>
        <w:rPr>
          <w:rFonts w:ascii="DM Serif Display" w:cs="DM Serif Display" w:eastAsia="DM Serif Display" w:hAnsi="DM Serif Display"/>
          <w:color w:val="123C48"/>
          <w:sz w:val="28"/>
          <w:szCs w:val="28"/>
        </w:rPr>
        <w:t xml:space="preserve">9. Resultados</w:t>
      </w:r>
    </w:p>
    <w:p>
      <w:pPr>
        <w:spacing w:after="120" w:before="0" w:line="300"/>
      </w:pPr>
      <w:r>
        <w:rPr>
          <w:rFonts w:ascii="Nunito Sans" w:cs="Nunito Sans" w:eastAsia="Nunito Sans" w:hAnsi="Nunito Sans"/>
          <w:color w:val="102E3B"/>
          <w:sz w:val="20"/>
          <w:szCs w:val="20"/>
        </w:rPr>
        <w:t xml:space="preserve">Comunicamos la decisión por escrito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desde la audiencia (Anexo C), con los motivos y el derecho de apelación. Antes de despedir a alguien, la persona que decide consulta a la presidencia, tal como exige nuestra Matriz de Delegación de Autoridad. Solo el órgano de gobierno puede despedir a la dirección: los miembros del órgano de gobierno que investigaron el caso, o que resolverán la apelación, no participan en esa decisión.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76"/>
        <w:gridCol w:w="4381"/>
        <w:gridCol w:w="2667"/>
      </w:tblGrid>
      <w:tr>
        <w:trPr>
          <w:cantSplit/>
          <w:tblHeader/>
        </w:trPr>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RESULTADO</w:t>
            </w:r>
          </w:p>
        </w:tc>
        <w:tc>
          <w:tcPr>
            <w:tcW w:type="dxa" w:w="4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CUÁNDO SE UTILIZA</w:t>
            </w:r>
          </w:p>
        </w:tc>
        <w:tc>
          <w:tcPr>
            <w:tcW w:type="dxa" w:w="2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VIGENCIA</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Ninguna medida</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acusación no se confirma. Aun así, podemos dar orientación o formación.</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es una sanción</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Primera amonestación por escrito</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Falta, o rendimiento que no ha mejorado después de recibir apoyo.</w:t>
            </w:r>
          </w:p>
        </w:tc>
        <w:tc>
          <w:tcPr>
            <w:tcW w:type="dxa" w:w="2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meses]</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Amonestación final por escrito</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Falta grave, o una nueva falta durante la vigencia de una amonestación.</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[12 meses]</w:t>
            </w:r>
          </w:p>
        </w:tc>
      </w:tr>
      <w:tr>
        <w:trPr>
          <w:cantSplit/>
          <w:tblHeader w:val="off"/>
        </w:trPr>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Despido</w:t>
            </w:r>
          </w:p>
        </w:tc>
        <w:tc>
          <w:tcPr>
            <w:tcW w:type="dxa" w:w="4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Falta muy grave, o una nueva falta durante la vigencia de una amonestación final. Con preaviso, o sin preaviso en caso de falta muy grave.</w:t>
            </w:r>
          </w:p>
        </w:tc>
        <w:tc>
          <w:tcPr>
            <w:tcW w:type="dxa" w:w="2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aplica</w:t>
            </w:r>
          </w:p>
        </w:tc>
      </w:tr>
      <w:tr>
        <w:trPr>
          <w:cantSplit/>
          <w:tblHeader w:val="off"/>
        </w:trPr>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Alternativas al despido</w:t>
            </w:r>
          </w:p>
        </w:tc>
        <w:tc>
          <w:tcPr>
            <w:tcW w:type="dxa" w:w="4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Cuando sea proporcionado: descenso de categoría, traslado o retirada de funciones de contacto o financieras, junto con una amonestación final por escrito, si el contrato y la ley lo permiten.</w:t>
            </w:r>
          </w:p>
        </w:tc>
        <w:tc>
          <w:tcPr>
            <w:tcW w:type="dxa" w:w="2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Igual que la amonestación</w:t>
            </w:r>
          </w:p>
        </w:tc>
      </w:tr>
    </w:tbl>
    <w:p>
      <w:pPr>
        <w:spacing w:after="120"/>
      </w:pPr>
    </w:p>
    <w:p>
      <w:pPr>
        <w:spacing w:after="120" w:before="0" w:line="300"/>
      </w:pPr>
      <w:r>
        <w:rPr>
          <w:rFonts w:ascii="Nunito Sans" w:cs="Nunito Sans" w:eastAsia="Nunito Sans" w:hAnsi="Nunito Sans"/>
          <w:color w:val="102E3B"/>
          <w:sz w:val="20"/>
          <w:szCs w:val="20"/>
        </w:rPr>
        <w:t xml:space="preserve">Una amonestación indica el problema, la mejora esperada, el apoyo ofrecido y el resultado probable de una nueva falta. Una vez vencida, no se tiene en cuenta para futuras sanciones. La persona que decide toma en consideración el historial de la persona, las circunstancias atenuantes y cómo se trataron casos similares.</w:t>
      </w:r>
    </w:p>
    <w:p>
      <w:pPr>
        <w:pStyle w:val="Heading2"/>
        <w:keepNext/>
        <w:spacing w:after="120" w:before="280"/>
      </w:pPr>
      <w:r>
        <w:rPr>
          <w:rFonts w:ascii="DM Serif Display" w:cs="DM Serif Display" w:eastAsia="DM Serif Display" w:hAnsi="DM Serif Display"/>
          <w:color w:val="123C48"/>
          <w:sz w:val="28"/>
          <w:szCs w:val="28"/>
        </w:rPr>
        <w:t xml:space="preserve">10. Apelaciones</w:t>
      </w:r>
    </w:p>
    <w:p>
      <w:pPr>
        <w:spacing w:after="120" w:before="0" w:line="300"/>
      </w:pPr>
      <w:r>
        <w:rPr>
          <w:rFonts w:ascii="Nunito Sans" w:cs="Nunito Sans" w:eastAsia="Nunito Sans" w:hAnsi="Nunito Sans"/>
          <w:color w:val="102E3B"/>
          <w:sz w:val="20"/>
          <w:szCs w:val="20"/>
        </w:rPr>
        <w:t xml:space="preserve">La persona empleada puede apelar cualquier amonestación o despido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 indicando los motivos: por ejemplo, un procedimiento injusto, nuevas pruebas o una sanción desproporcionada. Resuelve la apelación una persona de rango superior a quien decidió o independiente de ella, o un miembro del órgano de gobierno o una persona asesora externa si nadie dentro de la organización cumple esos requisitos.</w:t>
      </w:r>
    </w:p>
    <w:p>
      <w:pPr>
        <w:spacing w:after="120" w:before="0" w:line="300"/>
      </w:pPr>
      <w:r>
        <w:rPr>
          <w:rFonts w:ascii="Nunito Sans" w:cs="Nunito Sans" w:eastAsia="Nunito Sans" w:hAnsi="Nunito Sans"/>
          <w:color w:val="102E3B"/>
          <w:sz w:val="20"/>
          <w:szCs w:val="20"/>
        </w:rPr>
        <w:t xml:space="preserve">La audiencia de apelación se celebra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desde la recepción de la apelación, con derecho a estar acompañado. La decisión escrita se comunica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(Anexo D). La apelación puede confirmar, reducir o anular la sanción, pero no aumentarla. Es definitiva dentro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11. Salvaguarda, fraude y asuntos penales</w:t>
      </w:r>
    </w:p>
    <w:p>
      <w:pPr>
        <w:spacing w:after="120" w:before="0" w:line="300"/>
      </w:pPr>
      <w:r>
        <w:rPr>
          <w:rFonts w:ascii="Nunito Sans" w:cs="Nunito Sans" w:eastAsia="Nunito Sans" w:hAnsi="Nunito Sans"/>
          <w:b/>
          <w:bCs/>
          <w:color w:val="102E3B"/>
          <w:sz w:val="20"/>
          <w:szCs w:val="20"/>
        </w:rPr>
        <w:t xml:space="preserve">Salvaguarda.</w:t>
      </w:r>
      <w:r>
        <w:rPr>
          <w:rFonts w:ascii="Nunito Sans" w:cs="Nunito Sans" w:eastAsia="Nunito Sans" w:hAnsi="Nunito Sans"/>
          <w:color w:val="102E3B"/>
          <w:sz w:val="20"/>
          <w:szCs w:val="20"/>
        </w:rPr>
        <w:t xml:space="preserve"> Cuando un caso surge de una inquietud de salvaguarda, la persona responsable de salvaguarda participa desde el principio y asesora sobre la suspensión y los riesgos. Nunca se pide a una persona sobreviviente que se enfrente a la persona empleada, y su declaración se toma una sola vez, por la persona responsable de salvaguarda o por una persona investigadora con experiencia en salvaguarda. No se le convoca a la audiencia: la persona empleada puede formular preguntas por escrito, que la persona que decide solo transmite si son pertinentes y apropiadas. Cuando sea necesario, se protege la identidad de la persona sobreviviente en la documentación de la audiencia. Se le informa del resultado en la medida en que lo permitan la ley y la privacidad de otras personas.</w:t>
      </w:r>
    </w:p>
    <w:p>
      <w:pPr>
        <w:spacing w:after="120" w:before="0" w:line="300"/>
      </w:pPr>
      <w:r>
        <w:rPr>
          <w:rFonts w:ascii="Nunito Sans" w:cs="Nunito Sans" w:eastAsia="Nunito Sans" w:hAnsi="Nunito Sans"/>
          <w:b/>
          <w:bCs/>
          <w:color w:val="102E3B"/>
          <w:sz w:val="20"/>
          <w:szCs w:val="20"/>
        </w:rPr>
        <w:t xml:space="preserve">Fraude y denuncia de irregularidades.</w:t>
      </w:r>
      <w:r>
        <w:rPr>
          <w:rFonts w:ascii="Nunito Sans" w:cs="Nunito Sans" w:eastAsia="Nunito Sans" w:hAnsi="Nunito Sans"/>
          <w:color w:val="102E3B"/>
          <w:sz w:val="20"/>
          <w:szCs w:val="20"/>
        </w:rPr>
        <w:t xml:space="preserve"> En los casos de fraude, primero protegemos las pruebas, por ejemplo retirando el acceso a las cuentas bancarias. No se convoca como testigo a una persona denunciante sin su consentimiento.</w:t>
      </w:r>
    </w:p>
    <w:p>
      <w:pPr>
        <w:spacing w:after="120" w:before="0" w:line="300"/>
      </w:pPr>
      <w:r>
        <w:rPr>
          <w:rFonts w:ascii="Nunito Sans" w:cs="Nunito Sans" w:eastAsia="Nunito Sans" w:hAnsi="Nunito Sans"/>
          <w:b/>
          <w:bCs/>
          <w:color w:val="102E3B"/>
          <w:sz w:val="20"/>
          <w:szCs w:val="20"/>
        </w:rPr>
        <w:t xml:space="preserve">Asuntos penales.</w:t>
      </w:r>
      <w:r>
        <w:rPr>
          <w:rFonts w:ascii="Nunito Sans" w:cs="Nunito Sans" w:eastAsia="Nunito Sans" w:hAnsi="Nunito Sans"/>
          <w:color w:val="102E3B"/>
          <w:sz w:val="20"/>
          <w:szCs w:val="20"/>
        </w:rPr>
        <w:t xml:space="preserve"> Cuando una conducta pueda constituir un delito, seguimos la ley sobre su denuncia y nuestra Política y Procedimiento de Salvaguarda. Nuestro proceso determina si se incumplieron nuestras normas, según el balance de probabilidades, no si se ha probado un delito. Cuando la ley lo permite, no esperamos al resultado de la policía o de un tribunal, especialmente si hay personas en riesgo. Hacemos una pausa si la policía nos lo pide o si continuar perjudicaría un proceso penal. Una imputación o una condena no es por sí sola un motivo de despido: valoramos si afecta a la idoneidad para el puesto.</w:t>
      </w:r>
    </w:p>
    <w:p>
      <w:pPr>
        <w:spacing w:after="120" w:before="0" w:line="300"/>
      </w:pPr>
      <w:r>
        <w:rPr>
          <w:rFonts w:ascii="Nunito Sans" w:cs="Nunito Sans" w:eastAsia="Nunito Sans" w:hAnsi="Nunito Sans"/>
          <w:b/>
          <w:bCs/>
          <w:color w:val="102E3B"/>
          <w:sz w:val="20"/>
          <w:szCs w:val="20"/>
        </w:rPr>
        <w:t xml:space="preserve">Renuncia durante un caso.</w:t>
      </w:r>
      <w:r>
        <w:rPr>
          <w:rFonts w:ascii="Nunito Sans" w:cs="Nunito Sans" w:eastAsia="Nunito Sans" w:hAnsi="Nunito Sans"/>
          <w:color w:val="102E3B"/>
          <w:sz w:val="20"/>
          <w:szCs w:val="20"/>
        </w:rPr>
        <w:t xml:space="preserve"> Si una persona empleada renuncia mientras se la investiga por explotación, abuso o acoso sexuales, fraude u otro asunto grave, completamos la investigación cuando sea posible y registramos el resultado.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INVESTIGACIONES PENALES Y NOTIFICACIÓN OBLIGATORIA</w:t>
            </w:r>
          </w:p>
          <w:p>
            <w:pPr>
              <w:spacing w:after="120" w:before="0" w:line="300"/>
            </w:pPr>
            <w:r>
              <w:rPr>
                <w:rFonts w:ascii="Nunito Sans" w:cs="Nunito Sans" w:eastAsia="Nunito Sans" w:hAnsi="Nunito Sans"/>
                <w:color w:val="102E3B"/>
                <w:sz w:val="19"/>
                <w:szCs w:val="19"/>
              </w:rPr>
              <w:t xml:space="preserve">Busca asesoramiento jurídico desde el principio en cualquier caso que pueda constituir un delito. Algunos países obligan a los empleadores a denunciar determinados delitos, como los delitos sexuales contra niños, niñas y adolescentes o la corrupción, en un plazo breve. Consulta tu legislación local sobre la notificación obligatoria, sobre la continuación de un proceso interno durante un proceso penal y sobre la duración máxima de la suspensión. Si una persona empleada está detenida, comprueba si la ley local lo trata como incapacidad: el Code of Good Practice: Dismissal de 2025 de Sudáfrica lo hace.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Referencias e información a terceros</w:t>
      </w:r>
    </w:p>
    <w:p>
      <w:pPr>
        <w:spacing w:after="120" w:before="0" w:line="300"/>
      </w:pPr>
      <w:r>
        <w:rPr>
          <w:rFonts w:ascii="Nunito Sans" w:cs="Nunito Sans" w:eastAsia="Nunito Sans" w:hAnsi="Nunito Sans"/>
          <w:b/>
          <w:bCs/>
          <w:color w:val="102E3B"/>
          <w:sz w:val="20"/>
          <w:szCs w:val="20"/>
        </w:rPr>
        <w:t xml:space="preserve">Referencias.</w:t>
      </w:r>
      <w:r>
        <w:rPr>
          <w:rFonts w:ascii="Nunito Sans" w:cs="Nunito Sans" w:eastAsia="Nunito Sans" w:hAnsi="Nunito Sans"/>
          <w:color w:val="102E3B"/>
          <w:sz w:val="20"/>
          <w:szCs w:val="20"/>
        </w:rPr>
        <w:t xml:space="preserve"> Damos referencias basadas en hechos y seguimos los principios del Misconduct Disclosure Scheme, un sistema interinstitucional cuyos signatarios consultan a otros empleadores, y responden a sus consultas, sobre explotación, abuso y acoso sexuales. Cuando la ley lo permite, revelamos las conclusiones confirmadas de explotación, abuso o acoso sexuales, y si la persona se marchó durante una investigación. Nunca presentamos acusaciones no probadas como conclusiones.</w:t>
      </w:r>
    </w:p>
    <w:p>
      <w:pPr>
        <w:spacing w:after="120" w:before="0" w:line="300"/>
      </w:pPr>
      <w:r>
        <w:rPr>
          <w:rFonts w:ascii="Nunito Sans" w:cs="Nunito Sans" w:eastAsia="Nunito Sans" w:hAnsi="Nunito Sans"/>
          <w:b/>
          <w:bCs/>
          <w:color w:val="102E3B"/>
          <w:sz w:val="20"/>
          <w:szCs w:val="20"/>
        </w:rPr>
        <w:t xml:space="preserve">Financiadores, reguladores y socios.</w:t>
      </w:r>
      <w:r>
        <w:rPr>
          <w:rFonts w:ascii="Nunito Sans" w:cs="Nunito Sans" w:eastAsia="Nunito Sans" w:hAnsi="Nunito Sans"/>
          <w:color w:val="102E3B"/>
          <w:sz w:val="20"/>
          <w:szCs w:val="20"/>
        </w:rPr>
        <w:t xml:space="preserve"> Algunos financiadores, reguladores y aseguradoras nos exigen notificar los incidentes de salvaguarda, el fraude o las faltas graves, a veces en un plazo de 24 a 72 horas, así como el resultado.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realiza estas notificaciones conforme al Procedimiento de Notificación de Incidentes, compartiendo solo lo necesario.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FINANCIADORES, REGULADORES Y REFERENCIAS</w:t>
            </w:r>
          </w:p>
          <w:p>
            <w:pPr>
              <w:spacing w:after="120" w:before="0" w:line="300"/>
            </w:pPr>
            <w:r>
              <w:rPr>
                <w:rFonts w:ascii="Nunito Sans" w:cs="Nunito Sans" w:eastAsia="Nunito Sans" w:hAnsi="Nunito Sans"/>
                <w:color w:val="102E3B"/>
                <w:sz w:val="19"/>
                <w:szCs w:val="19"/>
              </w:rPr>
              <w:t xml:space="preserve">Enumera cada financiador, regulador y aseguradora a los que debes notificar las faltas, y sus plazos: lee cada acuerdo de subvención. En Inglaterra y Gales, las organizaciones benéficas registradas notifican los incidentes graves a la Charity Commission. Si te adhieres al Misconduct Disclosure Scheme, utiliza sus orientaciones y formularios vigentes. Consulta tu legislación local de protección de datos sobre la información relativa a faltas en las referencias. Nunca aceptes un acuerdo que te impida revelar una conclusión de salvaguarda confirmada.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Plazos disciplinarios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Confirmar una suspensión por escrito</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 día hábil]</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Completar la investigación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w:t>
            </w:r>
            <w:r>
              <w:rPr>
                <w:rFonts w:ascii="Nunito Sans" w:cs="Nunito Sans" w:eastAsia="Nunito Sans" w:hAnsi="Nunito Sans"/>
                <w:color w:val="102E3B"/>
                <w:sz w:val="18"/>
                <w:szCs w:val="18"/>
                <w:highlight w:val="yellow"/>
              </w:rPr>
              <w:t xml:space="preserve">[15 días hábiles]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Convocatoria a una audiencia disciplinaria</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antes de la audiencia</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por escrito</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la audiencia</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Presentar una apelación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la decisión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Audiencia de apelación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la recepción de la apelación</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sobre la apelación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la audiencia de apelación</w:t>
            </w:r>
          </w:p>
        </w:tc>
      </w:tr>
    </w:tbl>
    <w:p>
      <w:pPr>
        <w:spacing w:after="120"/>
      </w:pPr>
    </w:p>
    <w:p>
      <w:pPr>
        <w:spacing w:after="120" w:before="0" w:line="300"/>
      </w:pPr>
      <w:r>
        <w:rPr>
          <w:rFonts w:ascii="Nunito Sans" w:cs="Nunito Sans" w:eastAsia="Nunito Sans" w:hAnsi="Nunito Sans"/>
          <w:color w:val="102E3B"/>
          <w:sz w:val="20"/>
          <w:szCs w:val="20"/>
        </w:rPr>
        <w:t xml:space="preserve">Si necesitamos más tiempo, por ejemplo porque un testigo no está disponible, explicamos el motivo a la persona empleada y le damos una nueva fecha.</w:t>
      </w:r>
    </w:p>
    <w:p>
      <w:pPr>
        <w:pStyle w:val="Heading1"/>
        <w:keepNext/>
        <w:spacing w:after="160" w:before="360"/>
      </w:pPr>
      <w:r>
        <w:rPr>
          <w:rFonts w:ascii="DM Serif Display" w:cs="DM Serif Display" w:eastAsia="DM Serif Display" w:hAnsi="DM Serif Display"/>
          <w:color w:val="123C48"/>
          <w:sz w:val="40"/>
          <w:szCs w:val="40"/>
        </w:rPr>
        <w:t xml:space="preserve">Parte B: Procedimiento de reclamaciones</w:t>
      </w:r>
    </w:p>
    <w:p>
      <w:pPr>
        <w:spacing w:after="120" w:before="0" w:line="300"/>
      </w:pPr>
      <w:r>
        <w:rPr>
          <w:rFonts w:ascii="Nunito Sans" w:cs="Nunito Sans" w:eastAsia="Nunito Sans" w:hAnsi="Nunito Sans"/>
          <w:color w:val="102E3B"/>
          <w:sz w:val="20"/>
          <w:szCs w:val="20"/>
        </w:rPr>
        <w:t xml:space="preserve">Una reclamación es una inquietud que una persona empleada plantea sobre su propio trabajo, sus condiciones laborales o sus relaciones en el trabajo: por ejemplo, el salario, la carga de trabajo, el horario, los cambios de funciones o el trato que recibe de su responsable.</w:t>
      </w:r>
    </w:p>
    <w:p>
      <w:pPr>
        <w:pStyle w:val="Heading2"/>
        <w:keepNext/>
        <w:spacing w:after="120" w:before="280"/>
      </w:pPr>
      <w:r>
        <w:rPr>
          <w:rFonts w:ascii="DM Serif Display" w:cs="DM Serif Display" w:eastAsia="DM Serif Display" w:hAnsi="DM Serif Display"/>
          <w:color w:val="123C48"/>
          <w:sz w:val="28"/>
          <w:szCs w:val="28"/>
        </w:rPr>
        <w:t xml:space="preserve">14. Primero, la vía informal</w:t>
      </w:r>
    </w:p>
    <w:p>
      <w:pPr>
        <w:spacing w:after="120" w:before="0" w:line="300"/>
      </w:pPr>
      <w:r>
        <w:rPr>
          <w:rFonts w:ascii="Nunito Sans" w:cs="Nunito Sans" w:eastAsia="Nunito Sans" w:hAnsi="Nunito Sans"/>
          <w:color w:val="102E3B"/>
          <w:sz w:val="20"/>
          <w:szCs w:val="20"/>
        </w:rPr>
        <w:t xml:space="preserve">La mayoría de las reclamaciones se resuelven mejor si se plantean pronto. Hable con su responsable, o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si el asunto se refiere a su responsable. Le escucharán e intentarán acordar una solución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Nunca está obligado a utilizar la vía informal.</w:t>
      </w:r>
    </w:p>
    <w:p>
      <w:pPr>
        <w:pStyle w:val="Heading2"/>
        <w:keepNext/>
        <w:spacing w:after="120" w:before="280"/>
      </w:pPr>
      <w:r>
        <w:rPr>
          <w:rFonts w:ascii="DM Serif Display" w:cs="DM Serif Display" w:eastAsia="DM Serif Display" w:hAnsi="DM Serif Display"/>
          <w:color w:val="123C48"/>
          <w:sz w:val="28"/>
          <w:szCs w:val="28"/>
        </w:rPr>
        <w:t xml:space="preserve">15. Reclamación formal, reunión y resultado</w:t>
      </w:r>
    </w:p>
    <w:p>
      <w:pPr>
        <w:spacing w:after="120" w:before="0" w:line="300"/>
      </w:pPr>
      <w:r>
        <w:rPr>
          <w:rFonts w:ascii="Nunito Sans" w:cs="Nunito Sans" w:eastAsia="Nunito Sans" w:hAnsi="Nunito Sans"/>
          <w:color w:val="102E3B"/>
          <w:sz w:val="20"/>
          <w:szCs w:val="20"/>
        </w:rPr>
        <w:t xml:space="preserve">Si la vía informal no funciona, o si el asunto es grave, escriba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utilizando el Anexo E o un correo electrónico, indicando qué ocurrió y qué resultado desea. Una persona no involucrada se reúne con usted, con un acompañante si así lo desea (sección 7), comprueba los hechos de forma confidencial y le comunica una decisión por escrito con sus motivos. Puede apelar ante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que no haya estado involucrado.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Resolución informal</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w:t>
            </w:r>
            <w:r>
              <w:rPr>
                <w:rFonts w:ascii="Nunito Sans" w:cs="Nunito Sans" w:eastAsia="Nunito Sans" w:hAnsi="Nunito Sans"/>
                <w:color w:val="102E3B"/>
                <w:sz w:val="18"/>
                <w:szCs w:val="18"/>
                <w:highlight w:val="yellow"/>
              </w:rPr>
              <w:t xml:space="preserve">[10 días hábiles]</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 de una reclamación formal</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[2 días hábiles]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Reunión sobre la reclamación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su recepción</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Resultado por escrito</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la reunión o las comprobaciones adicionales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Presentar una apelación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el resultado</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Reunión de apelación</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[10 días hábiles]</w:t>
            </w:r>
            <w:r>
              <w:rPr>
                <w:rFonts w:ascii="Nunito Sans" w:cs="Nunito Sans" w:eastAsia="Nunito Sans" w:hAnsi="Nunito Sans"/>
                <w:color w:val="102E3B"/>
                <w:sz w:val="18"/>
                <w:szCs w:val="18"/>
              </w:rPr>
              <w:t xml:space="preserve"> desde la recepción de la apelación</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final sobre la apelación</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un plazo de </w:t>
            </w:r>
            <w:r>
              <w:rPr>
                <w:rFonts w:ascii="Nunito Sans" w:cs="Nunito Sans" w:eastAsia="Nunito Sans" w:hAnsi="Nunito Sans"/>
                <w:color w:val="102E3B"/>
                <w:sz w:val="18"/>
                <w:szCs w:val="18"/>
                <w:highlight w:val="yellow"/>
              </w:rPr>
              <w:t xml:space="preserve">[5 días hábiles]</w:t>
            </w:r>
            <w:r>
              <w:rPr>
                <w:rFonts w:ascii="Nunito Sans" w:cs="Nunito Sans" w:eastAsia="Nunito Sans" w:hAnsi="Nunito Sans"/>
                <w:color w:val="102E3B"/>
                <w:sz w:val="18"/>
                <w:szCs w:val="18"/>
              </w:rPr>
              <w:t xml:space="preserve"> desde la reunión de apelación</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Reclamaciones durante un proceso disciplinario</w:t>
      </w:r>
    </w:p>
    <w:p>
      <w:pPr>
        <w:spacing w:after="120" w:before="0" w:line="300"/>
      </w:pPr>
      <w:r>
        <w:rPr>
          <w:rFonts w:ascii="Nunito Sans" w:cs="Nunito Sans" w:eastAsia="Nunito Sans" w:hAnsi="Nunito Sans"/>
          <w:color w:val="102E3B"/>
          <w:sz w:val="20"/>
          <w:szCs w:val="20"/>
        </w:rPr>
        <w:t xml:space="preserve">Podemos suspender brevemente un proceso disciplinario para atender una reclamación planteada durante el mismo, o tratar ambos asuntos conjuntamente cuando estén estrechamente relacionados. Si la reclamación alega parcialidad de la persona que gestiona el caso, valoramos designar a otra persona.</w:t>
      </w:r>
    </w:p>
    <w:p>
      <w:pPr>
        <w:pStyle w:val="Heading2"/>
        <w:keepNext/>
        <w:spacing w:after="120" w:before="280"/>
      </w:pPr>
      <w:r>
        <w:rPr>
          <w:rFonts w:ascii="DM Serif Display" w:cs="DM Serif Display" w:eastAsia="DM Serif Display" w:hAnsi="DM Serif Display"/>
          <w:color w:val="123C48"/>
          <w:sz w:val="28"/>
          <w:szCs w:val="28"/>
        </w:rPr>
        <w:t xml:space="preserve">17. Reclamaciones colectivas</w:t>
      </w:r>
    </w:p>
    <w:p>
      <w:pPr>
        <w:spacing w:after="120" w:before="0" w:line="300"/>
      </w:pPr>
      <w:r>
        <w:rPr>
          <w:rFonts w:ascii="Nunito Sans" w:cs="Nunito Sans" w:eastAsia="Nunito Sans" w:hAnsi="Nunito Sans"/>
          <w:color w:val="102E3B"/>
          <w:sz w:val="20"/>
          <w:szCs w:val="20"/>
        </w:rPr>
        <w:t xml:space="preserve">Cuando dos o más personas empleadas comparten una reclamación, pueden plantearla conjuntamente o a través de un sindicato o de una persona representante elegida. Nos reunimos con el grupo o con sus representantes y seguimos los mismos pasos y plazos. Cuando reconocemos a un sindicato, se aplica en su lugar cualquier procedimiento colectivo acordado.</w:t>
      </w:r>
    </w:p>
    <w:p>
      <w:pPr>
        <w:pStyle w:val="Heading2"/>
        <w:keepNext/>
        <w:spacing w:after="120" w:before="280"/>
      </w:pPr>
      <w:r>
        <w:rPr>
          <w:rFonts w:ascii="DM Serif Display" w:cs="DM Serif Display" w:eastAsia="DM Serif Display" w:hAnsi="DM Serif Display"/>
          <w:color w:val="123C48"/>
          <w:sz w:val="28"/>
          <w:szCs w:val="28"/>
        </w:rPr>
        <w:t xml:space="preserve">18. Reclamaciones sobre la dirección, la persona fundadora o el órgano de gobierno</w:t>
      </w:r>
    </w:p>
    <w:p>
      <w:pPr>
        <w:spacing w:after="120" w:before="0" w:line="300"/>
      </w:pPr>
      <w:r>
        <w:rPr>
          <w:rFonts w:ascii="Nunito Sans" w:cs="Nunito Sans" w:eastAsia="Nunito Sans" w:hAnsi="Nunito Sans"/>
          <w:color w:val="102E3B"/>
          <w:sz w:val="20"/>
          <w:szCs w:val="20"/>
        </w:rPr>
        <w:t xml:space="preserve">Una reclamación sobre la dirección, la persona fundadora o un miembro del órgano de gobierno se dirige directamente a </w:t>
      </w:r>
      <w:r>
        <w:rPr>
          <w:rFonts w:ascii="Nunito Sans" w:cs="Nunito Sans" w:eastAsia="Nunito Sans" w:hAnsi="Nunito Sans"/>
          <w:color w:val="102E3B"/>
          <w:sz w:val="20"/>
          <w:szCs w:val="20"/>
          <w:highlight w:val="yellow"/>
        </w:rPr>
        <w:t xml:space="preserve">[Nombre, cargo, por ejemplo la presidencia del órgano de gobierno]</w:t>
      </w:r>
      <w:r>
        <w:rPr>
          <w:rFonts w:ascii="Nunito Sans" w:cs="Nunito Sans" w:eastAsia="Nunito Sans" w:hAnsi="Nunito Sans"/>
          <w:color w:val="102E3B"/>
          <w:sz w:val="20"/>
          <w:szCs w:val="20"/>
        </w:rPr>
        <w:t xml:space="preserve">, o a nuestro contacto independiente en </w:t>
      </w:r>
      <w:r>
        <w:rPr>
          <w:rFonts w:ascii="Nunito Sans" w:cs="Nunito Sans" w:eastAsia="Nunito Sans" w:hAnsi="Nunito Sans"/>
          <w:color w:val="102E3B"/>
          <w:sz w:val="20"/>
          <w:szCs w:val="20"/>
          <w:highlight w:val="yellow"/>
        </w:rPr>
        <w:t xml:space="preserve">[correo electrónico]</w:t>
      </w:r>
      <w:r>
        <w:rPr>
          <w:rFonts w:ascii="Nunito Sans" w:cs="Nunito Sans" w:eastAsia="Nunito Sans" w:hAnsi="Nunito Sans"/>
          <w:color w:val="102E3B"/>
          <w:sz w:val="20"/>
          <w:szCs w:val="20"/>
        </w:rPr>
        <w:t xml:space="preserve">. Esta persona la gestiona conforme a este procedimiento, con una persona asesora externa si es necesario. La persona afectada no participa en su gestión.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CUANDO LA PERSONA FUNDADORA ES QUIEN DIRIGE AL EQUIPO</w:t>
            </w:r>
          </w:p>
          <w:p>
            <w:pPr>
              <w:spacing w:after="120" w:before="0" w:line="300"/>
            </w:pPr>
            <w:r>
              <w:rPr>
                <w:rFonts w:ascii="Nunito Sans" w:cs="Nunito Sans" w:eastAsia="Nunito Sans" w:hAnsi="Nunito Sans"/>
                <w:color w:val="102E3B"/>
                <w:sz w:val="19"/>
                <w:szCs w:val="19"/>
              </w:rPr>
              <w:t xml:space="preserve">En muchas organizaciones pequeñas, todo el personal depende de la persona fundadora. Asegúrate de que la vía de reclamación llegue a alguien a quien la persona fundadora no controle: la presidencia del órgano de gobierno, un miembro independiente del órgano de gobierno o un contacto independiente externo. Si todavía no tienes un órgano de gobierno, designa ya a una persona externa y acuerda su rol por escrito, como se describe en la Nota sobre el Rol de Contacto Independiente.</w:t>
            </w:r>
          </w:p>
        </w:tc>
      </w:tr>
    </w:tbl>
    <w:p>
      <w:pPr>
        <w:spacing w:after="120"/>
      </w:pPr>
    </w:p>
    <w:p>
      <w:pPr>
        <w:spacing w:after="120" w:before="0" w:line="300"/>
      </w:pPr>
      <w:r>
        <w:rPr>
          <w:rFonts w:ascii="Nunito Sans" w:cs="Nunito Sans" w:eastAsia="Nunito Sans" w:hAnsi="Nunito Sans"/>
          <w:color w:val="102E3B"/>
          <w:sz w:val="20"/>
          <w:szCs w:val="20"/>
        </w:rPr>
        <w:t xml:space="preserve">Las denuncias de </w:t>
      </w:r>
      <w:r>
        <w:rPr>
          <w:rFonts w:ascii="Nunito Sans" w:cs="Nunito Sans" w:eastAsia="Nunito Sans" w:hAnsi="Nunito Sans"/>
          <w:b/>
          <w:bCs/>
          <w:color w:val="102E3B"/>
          <w:sz w:val="20"/>
          <w:szCs w:val="20"/>
        </w:rPr>
        <w:t xml:space="preserve">acoso, hostigamiento y discriminación</w:t>
      </w:r>
      <w:r>
        <w:rPr>
          <w:rFonts w:ascii="Nunito Sans" w:cs="Nunito Sans" w:eastAsia="Nunito Sans" w:hAnsi="Nunito Sans"/>
          <w:color w:val="102E3B"/>
          <w:sz w:val="20"/>
          <w:szCs w:val="20"/>
        </w:rPr>
        <w:t xml:space="preserve"> siguen la Política y Procedimiento contra el Acoso, la Intimidación y el Hostigamiento, que tiene sus propios plazos y medidas de apoyo.</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Órgano de gobierno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este procedimiento. Resuelve las apelaciones y los casos relativos a la dirección. Recibe cada año un resumen anonimizado.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Dirección</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los casos disciplinarios y atiende las reclamaciones, salvo que esté involucrada.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 personas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 a quienes dirigen equipos, organiza las investigaciones, custodia los registros y vigila los plazos.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Responsables de equipo</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Actúan pronto y de manera informal, apoyan la mejora, toman notas y nunca desalientan una reclamación.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 salvaguarda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Asesora en cualquier caso vinculado a una inquietud de salvaguarda, incluida la suspensión y la protección de las personas sobrevivientes.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Personal empleado</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Colabora con las investigaciones, asiste a las reuniones y mantiene la confidencialidad de los asuntos.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Conservamos registros escritos de cada caso formal, incluidas las notas, las pruebas, las decisiones con sus motivos y las apelaciones. La persona empleada recibe las notas de sus reuniones y cada decisión.</w:t>
      </w:r>
    </w:p>
    <w:p>
      <w:pPr>
        <w:spacing w:after="120" w:before="0" w:line="300"/>
      </w:pPr>
      <w:r>
        <w:rPr>
          <w:rFonts w:ascii="Nunito Sans" w:cs="Nunito Sans" w:eastAsia="Nunito Sans" w:hAnsi="Nunito Sans"/>
          <w:color w:val="102E3B"/>
          <w:sz w:val="20"/>
          <w:szCs w:val="20"/>
        </w:rPr>
        <w:t xml:space="preserve">Los expedientes de los casos se conservan en </w:t>
      </w:r>
      <w:r>
        <w:rPr>
          <w:rFonts w:ascii="Nunito Sans" w:cs="Nunito Sans" w:eastAsia="Nunito Sans" w:hAnsi="Nunito Sans"/>
          <w:color w:val="102E3B"/>
          <w:sz w:val="20"/>
          <w:szCs w:val="20"/>
          <w:highlight w:val="yellow"/>
        </w:rPr>
        <w:t xml:space="preserve">[una carpeta cifrada de acceso restringido]</w:t>
      </w:r>
      <w:r>
        <w:rPr>
          <w:rFonts w:ascii="Nunito Sans" w:cs="Nunito Sans" w:eastAsia="Nunito Sans" w:hAnsi="Nunito Sans"/>
          <w:color w:val="102E3B"/>
          <w:sz w:val="20"/>
          <w:szCs w:val="20"/>
        </w:rPr>
        <w:t xml:space="preserve">, separada del expediente personal, que solo contiene las cartas de resultado y las amonestaciones. Conservamos los registros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desde el cierre del caso o el fin de la relación laboral, lo que ocurra más tarde, o durante más tiempo si hay procedimientos judiciales en curso o previstos. Los casos que afectan a un niño, niña o adolescente se conservan hasta que cumpla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años o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desde el cierre, lo que ocurra más tarde. Las acusaciones de salvaguarda contra el personal se conservan durante </w:t>
      </w:r>
      <w:r>
        <w:rPr>
          <w:rFonts w:ascii="Nunito Sans" w:cs="Nunito Sans" w:eastAsia="Nunito Sans" w:hAnsi="Nunito Sans"/>
          <w:color w:val="102E3B"/>
          <w:sz w:val="20"/>
          <w:szCs w:val="20"/>
          <w:highlight w:val="yellow"/>
        </w:rPr>
        <w:t xml:space="preserve">[10 años]</w:t>
      </w:r>
      <w:r>
        <w:rPr>
          <w:rFonts w:ascii="Nunito Sans" w:cs="Nunito Sans" w:eastAsia="Nunito Sans" w:hAnsi="Nunito Sans"/>
          <w:color w:val="102E3B"/>
          <w:sz w:val="20"/>
          <w:szCs w:val="20"/>
        </w:rPr>
        <w:t xml:space="preserve"> o más, según establece nuestro Calendario de Conservación de Registros, para poder responder a solicitudes de referencias cuando la ley lo permita. Después, eliminamos los registros de forma segura, conforme a nuestra Política de Protección de Datos. Nunca introducimos información de los casos en herramientas de inteligencia artificial ni en servicios en línea que no hayamos aprobado, y no grabamos las reuniones salvo que todas las personas estén de acuerdo.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REGISTROS Y CONSERVACIÓN</w:t>
            </w:r>
          </w:p>
          <w:p>
            <w:pPr>
              <w:spacing w:after="120" w:before="0" w:line="300"/>
            </w:pPr>
            <w:r>
              <w:rPr>
                <w:rFonts w:ascii="Nunito Sans" w:cs="Nunito Sans" w:eastAsia="Nunito Sans" w:hAnsi="Nunito Sans"/>
                <w:color w:val="102E3B"/>
                <w:sz w:val="19"/>
                <w:szCs w:val="19"/>
              </w:rPr>
              <w:t xml:space="preserve">Consulta tu legislación local laboral y de protección de datos sobre cuánto tiempo puedes conservar los registros disciplinarios, el derecho del personal a consultarlos y la grabación de reuniones. Seis años es un plazo habitual cuando coincide con el plazo para presentar reclamaciones judiciales, pero los plazos de prescripción varían. Añade tus plazos a tu Calendario de Conservación de Registros y menciona en tu Aviso de Privacidad cualquier conservación más prolongada de conclusiones sobre faltas.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entrega al órgano de gobierno,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un resumen anonimizado de los casos, las reclamaciones, los plazos, los resultados y las tendencias. Revisamos este procedimiento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después de cualquier despido o reclamación formal, y cuando cambia la ley.</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Contrato de Trabajo</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Acoso, la Intimidación y el Hostigamiento</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Denuncia de Irregularidades</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Nota sobre el Rol de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Notificación de Incidentes</w:t>
      </w:r>
    </w:p>
    <w:p>
      <w:pPr>
        <w:pStyle w:val="ListParagraph"/>
        <w:numPr>
          <w:ilvl w:val="0"/>
          <w:numId w:val="3"/>
        </w:numPr>
        <w:spacing w:after="80" w:line="290"/>
      </w:pPr>
      <w:r>
        <w:rPr>
          <w:rFonts w:ascii="Nunito Sans" w:cs="Nunito Sans" w:eastAsia="Nunito Sans" w:hAnsi="Nunito Sans"/>
          <w:color w:val="102E3B"/>
          <w:sz w:val="20"/>
          <w:szCs w:val="20"/>
        </w:rPr>
        <w:t xml:space="preserve">Acuerdo de Voluntariado y Contrato de Prestación de Servicios Independientes</w:t>
      </w:r>
    </w:p>
    <w:p>
      <w:pPr>
        <w:pStyle w:val="ListParagraph"/>
        <w:numPr>
          <w:ilvl w:val="0"/>
          <w:numId w:val="3"/>
        </w:numPr>
        <w:spacing w:after="80" w:line="290"/>
      </w:pPr>
      <w:r>
        <w:rPr>
          <w:rFonts w:ascii="Nunito Sans" w:cs="Nunito Sans" w:eastAsia="Nunito Sans" w:hAnsi="Nunito Sans"/>
          <w:color w:val="102E3B"/>
          <w:sz w:val="20"/>
          <w:szCs w:val="20"/>
        </w:rPr>
        <w:t xml:space="preserve">Matriz de Delegación de Autoridad</w:t>
      </w:r>
    </w:p>
    <w:p>
      <w:pPr>
        <w:pStyle w:val="ListParagraph"/>
        <w:numPr>
          <w:ilvl w:val="0"/>
          <w:numId w:val="3"/>
        </w:numPr>
        <w:spacing w:after="80" w:line="290"/>
      </w:pPr>
      <w:r>
        <w:rPr>
          <w:rFonts w:ascii="Nunito Sans" w:cs="Nunito Sans" w:eastAsia="Nunito Sans" w:hAnsi="Nunito Sans"/>
          <w:color w:val="102E3B"/>
          <w:sz w:val="20"/>
          <w:szCs w:val="20"/>
        </w:rPr>
        <w:t xml:space="preserve">Calendario de Conservación de Registros y Política de Protección de Datos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Convocatoria a una reunión de investigación</w:t>
      </w:r>
    </w:p>
    <w:p>
      <w:pPr>
        <w:spacing w:after="120" w:before="0" w:line="300"/>
      </w:pP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Privado y confidencial</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Hemos recibido una inquietud sobre </w:t>
      </w:r>
      <w:r>
        <w:rPr>
          <w:rFonts w:ascii="Nunito Sans" w:cs="Nunito Sans" w:eastAsia="Nunito Sans" w:hAnsi="Nunito Sans"/>
          <w:color w:val="102E3B"/>
          <w:sz w:val="20"/>
          <w:szCs w:val="20"/>
          <w:highlight w:val="yellow"/>
        </w:rPr>
        <w:t xml:space="preserve">[breve descripción, por ejemplo "las solicitudes de reembolso de gastos que presentó en marzo"]</w:t>
      </w:r>
      <w:r>
        <w:rPr>
          <w:rFonts w:ascii="Nunito Sans" w:cs="Nunito Sans" w:eastAsia="Nunito Sans" w:hAnsi="Nunito Sans"/>
          <w:color w:val="102E3B"/>
          <w:sz w:val="20"/>
          <w:szCs w:val="20"/>
        </w:rPr>
        <w:t xml:space="preserve"> y necesitamos establecer los hechos.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llevará a cabo la investigación. Le rogamos que asista a una reunión de investigación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a las </w:t>
      </w:r>
      <w:r>
        <w:rPr>
          <w:rFonts w:ascii="Nunito Sans" w:cs="Nunito Sans" w:eastAsia="Nunito Sans" w:hAnsi="Nunito Sans"/>
          <w:color w:val="102E3B"/>
          <w:sz w:val="20"/>
          <w:szCs w:val="20"/>
          <w:highlight w:val="yellow"/>
        </w:rPr>
        <w:t xml:space="preserve">[hora]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[lugar / enlace en línea]</w:t>
      </w:r>
      <w:r>
        <w:rPr>
          <w:rFonts w:ascii="Nunito Sans" w:cs="Nunito Sans" w:eastAsia="Nunito Sans" w:hAnsi="Nunito Sans"/>
          <w:color w:val="102E3B"/>
          <w:sz w:val="20"/>
          <w:szCs w:val="20"/>
        </w:rPr>
        <w:t xml:space="preserve">. La persona que investiga le explicará la inquietud y le pedirá su versión, y usted podrá proponer testigos o documentos.</w:t>
      </w:r>
    </w:p>
    <w:p>
      <w:pPr>
        <w:spacing w:after="120" w:before="0" w:line="300"/>
      </w:pPr>
      <w:r>
        <w:rPr>
          <w:rFonts w:ascii="Nunito Sans" w:cs="Nunito Sans" w:eastAsia="Nunito Sans" w:hAnsi="Nunito Sans"/>
          <w:color w:val="102E3B"/>
          <w:sz w:val="20"/>
          <w:szCs w:val="20"/>
        </w:rPr>
        <w:t xml:space="preserve">No se trata de una audiencia disciplinaria y en ella no se tomará ninguna decisión. </w:t>
      </w:r>
      <w:r>
        <w:rPr>
          <w:rFonts w:ascii="Nunito Sans" w:cs="Nunito Sans" w:eastAsia="Nunito Sans" w:hAnsi="Nunito Sans"/>
          <w:color w:val="102E3B"/>
          <w:sz w:val="20"/>
          <w:szCs w:val="20"/>
          <w:highlight w:val="yellow"/>
        </w:rPr>
        <w:t xml:space="preserve">[Puede acudir acompañado por un compañero o compañera de trabajo o por una persona representante sindical.]</w:t>
      </w:r>
      <w:r>
        <w:rPr>
          <w:rFonts w:ascii="Nunito Sans" w:cs="Nunito Sans" w:eastAsia="Nunito Sans" w:hAnsi="Nunito Sans"/>
          <w:color w:val="102E3B"/>
          <w:sz w:val="20"/>
          <w:szCs w:val="20"/>
        </w:rPr>
        <w:t xml:space="preserve"> Le rogamos que nos indique si necesita algún ajuste o un servicio de interpretación, y que no comente el asunto con posibles testigos. Para recibir apoyo, contacte con </w:t>
      </w:r>
      <w:r>
        <w:rPr>
          <w:rFonts w:ascii="Nunito Sans" w:cs="Nunito Sans" w:eastAsia="Nunito Sans" w:hAnsi="Nunito Sans"/>
          <w:color w:val="102E3B"/>
          <w:sz w:val="20"/>
          <w:szCs w:val="20"/>
          <w:highlight w:val="yellow"/>
        </w:rPr>
        <w:t xml:space="preserve">[Nombre, datos de contacto]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p>
    <w:p>
      <w:pPr>
        <w:pStyle w:val="Heading1"/>
        <w:keepNext/>
        <w:spacing w:after="160" w:before="360"/>
      </w:pPr>
      <w:r>
        <w:rPr>
          <w:rFonts w:ascii="DM Serif Display" w:cs="DM Serif Display" w:eastAsia="DM Serif Display" w:hAnsi="DM Serif Display"/>
          <w:color w:val="123C48"/>
          <w:sz w:val="40"/>
          <w:szCs w:val="40"/>
        </w:rPr>
        <w:t xml:space="preserve">Anexo B: Convocatoria a una audiencia disciplinaria</w:t>
      </w:r>
    </w:p>
    <w:p>
      <w:pPr>
        <w:spacing w:after="120" w:before="0" w:line="300"/>
      </w:pP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Privado y confidencial</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Tras la investigación sobre </w:t>
      </w:r>
      <w:r>
        <w:rPr>
          <w:rFonts w:ascii="Nunito Sans" w:cs="Nunito Sans" w:eastAsia="Nunito Sans" w:hAnsi="Nunito Sans"/>
          <w:color w:val="102E3B"/>
          <w:sz w:val="20"/>
          <w:szCs w:val="20"/>
          <w:highlight w:val="yellow"/>
        </w:rPr>
        <w:t xml:space="preserve">[asunto]</w:t>
      </w:r>
      <w:r>
        <w:rPr>
          <w:rFonts w:ascii="Nunito Sans" w:cs="Nunito Sans" w:eastAsia="Nunito Sans" w:hAnsi="Nunito Sans"/>
          <w:color w:val="102E3B"/>
          <w:sz w:val="20"/>
          <w:szCs w:val="20"/>
        </w:rPr>
        <w:t xml:space="preserve">, le rogamos que asista a una audiencia disciplinaria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a las </w:t>
      </w:r>
      <w:r>
        <w:rPr>
          <w:rFonts w:ascii="Nunito Sans" w:cs="Nunito Sans" w:eastAsia="Nunito Sans" w:hAnsi="Nunito Sans"/>
          <w:color w:val="102E3B"/>
          <w:sz w:val="20"/>
          <w:szCs w:val="20"/>
          <w:highlight w:val="yellow"/>
        </w:rPr>
        <w:t xml:space="preserve">[hora]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[lugar / enlace en línea]</w:t>
      </w:r>
      <w:r>
        <w:rPr>
          <w:rFonts w:ascii="Nunito Sans" w:cs="Nunito Sans" w:eastAsia="Nunito Sans" w:hAnsi="Nunito Sans"/>
          <w:color w:val="102E3B"/>
          <w:sz w:val="20"/>
          <w:szCs w:val="20"/>
        </w:rPr>
        <w:t xml:space="preserve">, dirigida por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tomando notas. Las acusaciones son:</w:t>
      </w:r>
    </w:p>
    <w:p>
      <w:pPr>
        <w:pStyle w:val="ListParagraph"/>
        <w:numPr>
          <w:ilvl w:val="0"/>
          <w:numId w:val="6"/>
        </w:numPr>
        <w:spacing w:after="80" w:line="290"/>
      </w:pPr>
      <w:r>
        <w:rPr>
          <w:rFonts w:ascii="Nunito Sans" w:cs="Nunito Sans" w:eastAsia="Nunito Sans" w:hAnsi="Nunito Sans"/>
          <w:color w:val="102E3B"/>
          <w:sz w:val="20"/>
          <w:szCs w:val="20"/>
          <w:highlight w:val="yellow"/>
        </w:rPr>
        <w:t xml:space="preserve">[Acusación, con fechas y hechos]</w:t>
      </w:r>
    </w:p>
    <w:p>
      <w:pPr>
        <w:pStyle w:val="ListParagraph"/>
        <w:numPr>
          <w:ilvl w:val="0"/>
          <w:numId w:val="6"/>
        </w:numPr>
        <w:spacing w:after="80" w:line="290"/>
      </w:pPr>
      <w:r>
        <w:rPr>
          <w:rFonts w:ascii="Nunito Sans" w:cs="Nunito Sans" w:eastAsia="Nunito Sans" w:hAnsi="Nunito Sans"/>
          <w:color w:val="102E3B"/>
          <w:sz w:val="20"/>
          <w:szCs w:val="20"/>
          <w:highlight w:val="yellow"/>
        </w:rPr>
        <w:t xml:space="preserve">[Acusación, con fechas y hechos]</w:t>
      </w:r>
    </w:p>
    <w:p>
      <w:pPr>
        <w:spacing w:after="120" w:before="0" w:line="300"/>
      </w:pPr>
      <w:r>
        <w:rPr>
          <w:rFonts w:ascii="Nunito Sans" w:cs="Nunito Sans" w:eastAsia="Nunito Sans" w:hAnsi="Nunito Sans"/>
          <w:color w:val="102E3B"/>
          <w:sz w:val="20"/>
          <w:szCs w:val="20"/>
        </w:rPr>
        <w:t xml:space="preserve">Adjunto el informe de investigación y las pruebas en las que nos basamos: </w:t>
      </w:r>
      <w:r>
        <w:rPr>
          <w:rFonts w:ascii="Nunito Sans" w:cs="Nunito Sans" w:eastAsia="Nunito Sans" w:hAnsi="Nunito Sans"/>
          <w:color w:val="102E3B"/>
          <w:sz w:val="20"/>
          <w:szCs w:val="20"/>
          <w:highlight w:val="yellow"/>
        </w:rPr>
        <w:t xml:space="preserve">[lista]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[Si se prueban, estas acusaciones podrían constituir una falta muy grave / una falta.]</w:t>
      </w:r>
      <w:r>
        <w:rPr>
          <w:rFonts w:ascii="Nunito Sans" w:cs="Nunito Sans" w:eastAsia="Nunito Sans" w:hAnsi="Nunito Sans"/>
          <w:color w:val="102E3B"/>
          <w:sz w:val="20"/>
          <w:szCs w:val="20"/>
        </w:rPr>
        <w:t xml:space="preserve"> Un posible resultado es </w:t>
      </w:r>
      <w:r>
        <w:rPr>
          <w:rFonts w:ascii="Nunito Sans" w:cs="Nunito Sans" w:eastAsia="Nunito Sans" w:hAnsi="Nunito Sans"/>
          <w:color w:val="102E3B"/>
          <w:sz w:val="20"/>
          <w:szCs w:val="20"/>
          <w:highlight w:val="yellow"/>
        </w:rPr>
        <w:t xml:space="preserve">[una amonestación por escrito / una amonestación final por escrito / el despido]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Puede responder a cada acusación, presentar pruebas y solicitar testigos; le rogamos que envíe cualquier documento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Puede acudir acompañado por </w:t>
      </w:r>
      <w:r>
        <w:rPr>
          <w:rFonts w:ascii="Nunito Sans" w:cs="Nunito Sans" w:eastAsia="Nunito Sans" w:hAnsi="Nunito Sans"/>
          <w:color w:val="102E3B"/>
          <w:sz w:val="20"/>
          <w:szCs w:val="20"/>
          <w:highlight w:val="yellow"/>
        </w:rPr>
        <w:t xml:space="preserve">[un compañero o compañera de trabajo o una persona representante sindical]</w:t>
      </w:r>
      <w:r>
        <w:rPr>
          <w:rFonts w:ascii="Nunito Sans" w:cs="Nunito Sans" w:eastAsia="Nunito Sans" w:hAnsi="Nunito Sans"/>
          <w:color w:val="102E3B"/>
          <w:sz w:val="20"/>
          <w:szCs w:val="20"/>
        </w:rPr>
        <w:t xml:space="preserve">; si esta persona no puede asistir, puede proponer otro momento dentro de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 Le rogamos que nos indique si necesita algún ajuste o un servicio de interpretación.</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p>
    <w:p>
      <w:pPr>
        <w:pStyle w:val="Heading1"/>
        <w:keepNext/>
        <w:spacing w:after="160" w:before="360"/>
      </w:pPr>
      <w:r>
        <w:rPr>
          <w:rFonts w:ascii="DM Serif Display" w:cs="DM Serif Display" w:eastAsia="DM Serif Display" w:hAnsi="DM Serif Display"/>
          <w:color w:val="123C48"/>
          <w:sz w:val="40"/>
          <w:szCs w:val="40"/>
        </w:rPr>
        <w:t xml:space="preserve">Anexo C: Carta de resultado disciplinario</w:t>
      </w:r>
    </w:p>
    <w:p>
      <w:pPr>
        <w:spacing w:after="120" w:before="0" w:line="300"/>
      </w:pP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Privado y confidencial</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Gracias por asistir a la audiencia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con </w:t>
      </w:r>
      <w:r>
        <w:rPr>
          <w:rFonts w:ascii="Nunito Sans" w:cs="Nunito Sans" w:eastAsia="Nunito Sans" w:hAnsi="Nunito Sans"/>
          <w:color w:val="102E3B"/>
          <w:sz w:val="20"/>
          <w:szCs w:val="20"/>
          <w:highlight w:val="yellow"/>
        </w:rPr>
        <w:t xml:space="preserve">[nombre del acompañante / sin acompañante]</w:t>
      </w:r>
      <w:r>
        <w:rPr>
          <w:rFonts w:ascii="Nunito Sans" w:cs="Nunito Sans" w:eastAsia="Nunito Sans" w:hAnsi="Nunito Sans"/>
          <w:color w:val="102E3B"/>
          <w:sz w:val="20"/>
          <w:szCs w:val="20"/>
        </w:rPr>
        <w:t xml:space="preserve">. He considerado las pruebas y todo lo que usted manifestó, incluidas </w:t>
      </w:r>
      <w:r>
        <w:rPr>
          <w:rFonts w:ascii="Nunito Sans" w:cs="Nunito Sans" w:eastAsia="Nunito Sans" w:hAnsi="Nunito Sans"/>
          <w:color w:val="102E3B"/>
          <w:sz w:val="20"/>
          <w:szCs w:val="20"/>
          <w:highlight w:val="yellow"/>
        </w:rPr>
        <w:t xml:space="preserve">[las circunstancias atenuantes]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Mis conclusiones son: </w:t>
      </w:r>
      <w:r>
        <w:rPr>
          <w:rFonts w:ascii="Nunito Sans" w:cs="Nunito Sans" w:eastAsia="Nunito Sans" w:hAnsi="Nunito Sans"/>
          <w:color w:val="102E3B"/>
          <w:sz w:val="20"/>
          <w:szCs w:val="20"/>
          <w:highlight w:val="yellow"/>
        </w:rPr>
        <w:t xml:space="preserve">[para cada acusación, confirmada o no confirmada, con sus motivos]</w:t>
      </w:r>
      <w:r>
        <w:rPr>
          <w:rFonts w:ascii="Nunito Sans" w:cs="Nunito Sans" w:eastAsia="Nunito Sans" w:hAnsi="Nunito Sans"/>
          <w:color w:val="102E3B"/>
          <w:sz w:val="20"/>
          <w:szCs w:val="20"/>
        </w:rPr>
        <w:t xml:space="preserve">. Mi decisión es: </w:t>
      </w:r>
      <w:r>
        <w:rPr>
          <w:rFonts w:ascii="Nunito Sans" w:cs="Nunito Sans" w:eastAsia="Nunito Sans" w:hAnsi="Nunito Sans"/>
          <w:color w:val="102E3B"/>
          <w:sz w:val="20"/>
          <w:szCs w:val="20"/>
          <w:highlight w:val="yellow"/>
        </w:rPr>
        <w:t xml:space="preserve">[ninguna medida / primera amonestación por escrito / amonestación final por escrito / despido con preaviso, fecha del último día / despido sin preaviso por falta muy grave, fecha de efecto]</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[En caso de amonestación:]</w:t>
      </w:r>
      <w:r>
        <w:rPr>
          <w:rFonts w:ascii="Nunito Sans" w:cs="Nunito Sans" w:eastAsia="Nunito Sans" w:hAnsi="Nunito Sans"/>
          <w:color w:val="102E3B"/>
          <w:sz w:val="20"/>
          <w:szCs w:val="20"/>
        </w:rPr>
        <w:t xml:space="preserve"> La mejora esperada es </w:t>
      </w:r>
      <w:r>
        <w:rPr>
          <w:rFonts w:ascii="Nunito Sans" w:cs="Nunito Sans" w:eastAsia="Nunito Sans" w:hAnsi="Nunito Sans"/>
          <w:color w:val="102E3B"/>
          <w:sz w:val="20"/>
          <w:szCs w:val="20"/>
          <w:highlight w:val="yellow"/>
        </w:rPr>
        <w:t xml:space="preserve">[describir]</w:t>
      </w:r>
      <w:r>
        <w:rPr>
          <w:rFonts w:ascii="Nunito Sans" w:cs="Nunito Sans" w:eastAsia="Nunito Sans" w:hAnsi="Nunito Sans"/>
          <w:color w:val="102E3B"/>
          <w:sz w:val="20"/>
          <w:szCs w:val="20"/>
        </w:rPr>
        <w:t xml:space="preserve">, con el siguiente apoyo: </w:t>
      </w:r>
      <w:r>
        <w:rPr>
          <w:rFonts w:ascii="Nunito Sans" w:cs="Nunito Sans" w:eastAsia="Nunito Sans" w:hAnsi="Nunito Sans"/>
          <w:color w:val="102E3B"/>
          <w:sz w:val="20"/>
          <w:szCs w:val="20"/>
          <w:highlight w:val="yellow"/>
        </w:rPr>
        <w:t xml:space="preserve">[describir]</w:t>
      </w:r>
      <w:r>
        <w:rPr>
          <w:rFonts w:ascii="Nunito Sans" w:cs="Nunito Sans" w:eastAsia="Nunito Sans" w:hAnsi="Nunito Sans"/>
          <w:color w:val="102E3B"/>
          <w:sz w:val="20"/>
          <w:szCs w:val="20"/>
        </w:rPr>
        <w:t xml:space="preserve">. La amonestación estará vigente hasta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Una nueva falta durante este período puede dar lugar a </w:t>
      </w:r>
      <w:r>
        <w:rPr>
          <w:rFonts w:ascii="Nunito Sans" w:cs="Nunito Sans" w:eastAsia="Nunito Sans" w:hAnsi="Nunito Sans"/>
          <w:color w:val="102E3B"/>
          <w:sz w:val="20"/>
          <w:szCs w:val="20"/>
          <w:highlight w:val="yellow"/>
        </w:rPr>
        <w:t xml:space="preserve">[una amonestación final por escrito / el despido]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[En caso de despido:]</w:t>
      </w:r>
      <w:r>
        <w:rPr>
          <w:rFonts w:ascii="Nunito Sans" w:cs="Nunito Sans" w:eastAsia="Nunito Sans" w:hAnsi="Nunito Sans"/>
          <w:color w:val="102E3B"/>
          <w:sz w:val="20"/>
          <w:szCs w:val="20"/>
        </w:rPr>
        <w:t xml:space="preserve"> Recibirá </w:t>
      </w:r>
      <w:r>
        <w:rPr>
          <w:rFonts w:ascii="Nunito Sans" w:cs="Nunito Sans" w:eastAsia="Nunito Sans" w:hAnsi="Nunito Sans"/>
          <w:color w:val="102E3B"/>
          <w:sz w:val="20"/>
          <w:szCs w:val="20"/>
          <w:highlight w:val="yellow"/>
        </w:rPr>
        <w:t xml:space="preserve">[la indemnización sustitutiva del preaviso, las vacaciones devengadas y otros importes adeudados]</w:t>
      </w:r>
      <w:r>
        <w:rPr>
          <w:rFonts w:ascii="Nunito Sans" w:cs="Nunito Sans" w:eastAsia="Nunito Sans" w:hAnsi="Nunito Sans"/>
          <w:color w:val="102E3B"/>
          <w:sz w:val="20"/>
          <w:szCs w:val="20"/>
        </w:rPr>
        <w:t xml:space="preserve"> antes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Puede apelar en un plazo de </w:t>
      </w:r>
      <w:r>
        <w:rPr>
          <w:rFonts w:ascii="Nunito Sans" w:cs="Nunito Sans" w:eastAsia="Nunito Sans" w:hAnsi="Nunito Sans"/>
          <w:color w:val="102E3B"/>
          <w:sz w:val="20"/>
          <w:szCs w:val="20"/>
          <w:highlight w:val="yellow"/>
        </w:rPr>
        <w:t xml:space="preserve">[10 días hábiles]</w:t>
      </w:r>
      <w:r>
        <w:rPr>
          <w:rFonts w:ascii="Nunito Sans" w:cs="Nunito Sans" w:eastAsia="Nunito Sans" w:hAnsi="Nunito Sans"/>
          <w:color w:val="102E3B"/>
          <w:sz w:val="20"/>
          <w:szCs w:val="20"/>
        </w:rPr>
        <w:t xml:space="preserve"> desde la recepción de esta carta, escribiendo a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 indicando sus motivos.</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p>
    <w:p>
      <w:pPr>
        <w:pStyle w:val="Heading1"/>
        <w:keepNext/>
        <w:spacing w:after="160" w:before="360"/>
      </w:pPr>
      <w:r>
        <w:rPr>
          <w:rFonts w:ascii="DM Serif Display" w:cs="DM Serif Display" w:eastAsia="DM Serif Display" w:hAnsi="DM Serif Display"/>
          <w:color w:val="123C48"/>
          <w:sz w:val="40"/>
          <w:szCs w:val="40"/>
        </w:rPr>
        <w:t xml:space="preserve">Anexo D: Carta de resultado de la apelación</w:t>
      </w:r>
    </w:p>
    <w:p>
      <w:pPr>
        <w:spacing w:after="120" w:before="0" w:line="300"/>
      </w:pP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 Privado y confidencial</w:t>
      </w:r>
    </w:p>
    <w:p>
      <w:pPr>
        <w:spacing w:after="120" w:before="0" w:line="300"/>
      </w:pPr>
      <w:r>
        <w:rPr>
          <w:rFonts w:ascii="Nunito Sans" w:cs="Nunito Sans" w:eastAsia="Nunito Sans" w:hAnsi="Nunito Sans"/>
          <w:color w:val="102E3B"/>
          <w:sz w:val="20"/>
          <w:szCs w:val="20"/>
          <w:highlight w:val="yellow"/>
        </w:rPr>
        <w:t xml:space="preserve">[Estimada / Estimado]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Gracias por asistir a la audiencia de apelación del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Sus motivos fueron: </w:t>
      </w:r>
      <w:r>
        <w:rPr>
          <w:rFonts w:ascii="Nunito Sans" w:cs="Nunito Sans" w:eastAsia="Nunito Sans" w:hAnsi="Nunito Sans"/>
          <w:color w:val="102E3B"/>
          <w:sz w:val="20"/>
          <w:szCs w:val="20"/>
          <w:highlight w:val="yellow"/>
        </w:rPr>
        <w:t xml:space="preserve">[resumen]</w:t>
      </w:r>
      <w:r>
        <w:rPr>
          <w:rFonts w:ascii="Nunito Sans" w:cs="Nunito Sans" w:eastAsia="Nunito Sans" w:hAnsi="Nunito Sans"/>
          <w:color w:val="102E3B"/>
          <w:sz w:val="20"/>
          <w:szCs w:val="20"/>
        </w:rPr>
        <w:t xml:space="preserve">. Tras considerar las pruebas y sus alegaciones, he decidido </w:t>
      </w:r>
      <w:r>
        <w:rPr>
          <w:rFonts w:ascii="Nunito Sans" w:cs="Nunito Sans" w:eastAsia="Nunito Sans" w:hAnsi="Nunito Sans"/>
          <w:color w:val="102E3B"/>
          <w:sz w:val="20"/>
          <w:szCs w:val="20"/>
          <w:highlight w:val="yellow"/>
        </w:rPr>
        <w:t xml:space="preserve">[confirmar la decisión original / sustituirla por una sanción menor / anularla]</w:t>
      </w:r>
      <w:r>
        <w:rPr>
          <w:rFonts w:ascii="Nunito Sans" w:cs="Nunito Sans" w:eastAsia="Nunito Sans" w:hAnsi="Nunito Sans"/>
          <w:color w:val="102E3B"/>
          <w:sz w:val="20"/>
          <w:szCs w:val="20"/>
        </w:rPr>
        <w:t xml:space="preserve">, porque </w:t>
      </w:r>
      <w:r>
        <w:rPr>
          <w:rFonts w:ascii="Nunito Sans" w:cs="Nunito Sans" w:eastAsia="Nunito Sans" w:hAnsi="Nunito Sans"/>
          <w:color w:val="102E3B"/>
          <w:sz w:val="20"/>
          <w:szCs w:val="20"/>
          <w:highlight w:val="yellow"/>
        </w:rPr>
        <w:t xml:space="preserve">[motivos para cada uno de los motivos de apelación]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[Si se anula: cualquier amonestación se retira de su expediente y cualquier salario dejado de percibir se le abonará antes de la fecha.]</w:t>
      </w:r>
    </w:p>
    <w:p>
      <w:pPr>
        <w:spacing w:after="120" w:before="0" w:line="300"/>
      </w:pPr>
      <w:r>
        <w:rPr>
          <w:rFonts w:ascii="Nunito Sans" w:cs="Nunito Sans" w:eastAsia="Nunito Sans" w:hAnsi="Nunito Sans"/>
          <w:color w:val="102E3B"/>
          <w:sz w:val="20"/>
          <w:szCs w:val="20"/>
        </w:rPr>
        <w:t xml:space="preserve">Esta decisión es definitiva dentro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 afecta a los derechos que le reconoce la ley.</w:t>
      </w:r>
    </w:p>
    <w:p>
      <w:pPr>
        <w:spacing w:after="120" w:before="0" w:line="300"/>
      </w:pPr>
      <w:r>
        <w:rPr>
          <w:rFonts w:ascii="Nunito Sans" w:cs="Nunito Sans" w:eastAsia="Nunito Sans" w:hAnsi="Nunito Sans"/>
          <w:color w:val="102E3B"/>
          <w:sz w:val="20"/>
          <w:szCs w:val="20"/>
        </w:rPr>
        <w:t xml:space="preserve">Atentamente, </w:t>
      </w:r>
      <w:r>
        <w:rPr>
          <w:rFonts w:ascii="Nunito Sans" w:cs="Nunito Sans" w:eastAsia="Nunito Sans" w:hAnsi="Nunito Sans"/>
          <w:color w:val="102E3B"/>
          <w:sz w:val="20"/>
          <w:szCs w:val="20"/>
          <w:highlight w:val="yellow"/>
        </w:rPr>
        <w:t xml:space="preserve">[Nombre, cargo]</w:t>
      </w:r>
    </w:p>
    <w:p>
      <w:pPr>
        <w:pStyle w:val="Heading1"/>
        <w:keepNext/>
        <w:spacing w:after="160" w:before="360"/>
      </w:pPr>
      <w:r>
        <w:rPr>
          <w:rFonts w:ascii="DM Serif Display" w:cs="DM Serif Display" w:eastAsia="DM Serif Display" w:hAnsi="DM Serif Display"/>
          <w:color w:val="123C48"/>
          <w:sz w:val="40"/>
          <w:szCs w:val="40"/>
        </w:rPr>
        <w:t xml:space="preserve">Anexo E: Formulario de reclamación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PREGUNTA</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RESPUESTA</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nombre, cargo y datos de contacto; fecha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¿Sobre quién es su reclamación, si es sobre alguien?</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ocurrió, cuándo y quién estuvo involucrado?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ha planteado de manera informal? ¿Con quién, cuándo y qué ocurrió?</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¿Qué resultado desea?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Acompañante (nombre, si lo sabe), y cualquier ajuste o interpretación que necesite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PARA LA PERSONA RESPONSABLE DE PERSONAS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Referencia; fecha de recepción; fecha de acuse de recibo; gestionada por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Fecha de la reunión; resultado y fecha</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 recibió una apelación? Resultado y fecha</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F: Acta de audiencia</w:t>
      </w:r>
    </w:p>
    <w:p>
      <w:pPr>
        <w:spacing w:after="120" w:before="0" w:line="300"/>
      </w:pPr>
      <w:r>
        <w:rPr>
          <w:rFonts w:ascii="Nunito Sans" w:cs="Nunito Sans" w:eastAsia="Nunito Sans" w:hAnsi="Nunito Sans"/>
          <w:color w:val="102E3B"/>
          <w:sz w:val="20"/>
          <w:szCs w:val="20"/>
        </w:rPr>
        <w:t xml:space="preserve">Utilice este formulario para las audiencias disciplinarias, las reuniones sobre reclamaciones y las apelaciones. Entregue una copia a la persona empleada en un plazo de </w:t>
      </w:r>
      <w:r>
        <w:rPr>
          <w:rFonts w:ascii="Nunito Sans" w:cs="Nunito Sans" w:eastAsia="Nunito Sans" w:hAnsi="Nunito Sans"/>
          <w:color w:val="102E3B"/>
          <w:sz w:val="20"/>
          <w:szCs w:val="20"/>
          <w:highlight w:val="yellow"/>
        </w:rPr>
        <w:t xml:space="preserve">[5 días hábiles]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REGISTRO</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Tipo de reunión, referencia, fecha, hora y lugar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presentes y sus roles, incluido el acompañante; ajustes proporcionados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Acusaciones o reclamación tratadas, y pruebas presentadas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Respuesta de la persona empleada, incluidas las circunstancias atenuantes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Testigos escuchados; preguntas y respuestas clave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Pausa, y cualquier comprobación adicional necesaria</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Decisión, si se comunicó, y cómo se confirmará por escrito</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Persona que toma notas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Presidencia de la reunión</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Procedimiento Disciplinario y de Reclamaciones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5552A43D-EF29-110A-CB2C-9F2ED4E7E872}"/>
  </w:font>
  <w:font w:name="DM Serif Display">
    <w:family w:val="auto"/>
    <w:pitch w:val="variable"/>
    <w:sig w:usb0="E0002AFF" w:usb1="C000247B" w:usb2="00000009" w:usb3="00000000" w:csb0="000001FF" w:csb1="00000000"/>
    <w:embedRegular r:id="rId2" w:fontKey="{9356A7BB-5A30-86FC-9BE0-9A45FE00AF9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Procedimiento Disciplinario y de Reclamaciones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PROCEDIMIENTO DISCIPLINARIO Y DE RECLAMACIONES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Disciplinario y de Reclamaciones</dc:title>
  <dc:creator>Method into Impact</dc:creator>
  <dc:description>Cómo [[Nombre de la organización]] aborda de forma justa las inquietudes sobre la conducta de una persona empleada, y cómo el personal puede plantear un problema sobre su propio trabajo y recibir una respuesta justa y a tiempo.</dc:description>
  <cp:lastModifiedBy>Un-named</cp:lastModifiedBy>
  <cp:revision>1</cp:revision>
  <dcterms:created xsi:type="dcterms:W3CDTF">2026-10-29T06:09:23.925Z</dcterms:created>
  <dcterms:modified xsi:type="dcterms:W3CDTF">2026-10-29T06:09:23.925Z</dcterms:modified>
</cp:coreProperties>
</file>

<file path=docProps/custom.xml><?xml version="1.0" encoding="utf-8"?>
<Properties xmlns="http://schemas.openxmlformats.org/officeDocument/2006/custom-properties" xmlns:vt="http://schemas.openxmlformats.org/officeDocument/2006/docPropsVTypes"/>
</file>