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POLÍTICA · GESTIÓN FINANCIERA</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Política de Controles Financieros</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Las normas que sigue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para planificar, aprobar, pagar, registrar e informar de cada unidad de dinero, de modo que los fondos estén seguros, se usen según lo acordado y sea fácil rendir cuentas de ellos.</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Los financiadores y los bancos quieren ver que el dinero está seguro en sus manos, y los auditores lo comprueban. Esta plantilla establece controles prácticos para una organización pequeña: quién hace qué, cómo se aprueban los pagos, cómo se maneja el efectivo y el dinero móvil, cómo se hace el seguimiento de los fondos restringidos y cómo se mantiene informado al órgano de gobierno. Los importes son ilustrativos y deben fijarse con su contador.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Financiadores institucionales y fundaciones en la debida diligencia y en las evaluaciones previas a la concesión; bancos; auditores y revisores independientes; reguladores; su órgano de gobierno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4–6 horas para adaptarla, idealmente con su contador o su persona tesorera; 45 minutos para que la apruebe el órgano de gobierno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4 · Protect, Módulo 9 (Gestión financiera)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Matriz de Delegación de Autoridad · Política y Procedimiento contra el Fraude, el Soborno y la Corrupción · Política de Compras y Contrataciones · Política de Gastos y Viáticos · Política de Reservas · Política de Aceptación de Regalos y Donaciones · Política de Conflictos de Interés · Calendario de Conservación de Registros · Registro de Riesgos · Procedimientos Financieros</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p>
      <w:pPr>
        <w:keepNext/>
        <w:spacing w:after="80" w:before="0"/>
      </w:pPr>
      <w:r>
        <w:rPr>
          <w:rFonts w:ascii="Nunito Sans" w:cs="Nunito Sans" w:eastAsia="Nunito Sans" w:hAnsi="Nunito Sans"/>
          <w:b/>
          <w:bCs/>
          <w:color w:val="16746E"/>
          <w:spacing w:val="30"/>
          <w:sz w:val="15"/>
          <w:szCs w:val="15"/>
        </w:rPr>
        <w:t xml:space="preserve">CONTROL DEL DOCUMENTO</w:t>
      </w:r>
    </w:p>
    <w:p>
      <w:pPr>
        <w:spacing w:after="200"/>
      </w:pPr>
      <w:r>
        <w:rPr>
          <w:rFonts w:ascii="DM Serif Display" w:cs="DM Serif Display" w:eastAsia="DM Serif Display" w:hAnsi="DM Serif Display"/>
          <w:color w:val="123C48"/>
          <w:sz w:val="40"/>
          <w:szCs w:val="40"/>
        </w:rPr>
        <w:t xml:space="preserve">Sobre este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Política de Controles Financieros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TIPO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Política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RESPONSABLE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y cargo de la persona responsable]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APROBADO POR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cargo y órgano, p. ej. la junta directiva]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FECHA DE APROBACIÓN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de mes de AAAA]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PRÓXIMA REVISIÓN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[Mes AAAA]</w:t>
            </w:r>
            <w:r>
              <w:rPr>
                <w:rFonts w:ascii="Nunito Sans" w:cs="Nunito Sans" w:eastAsia="Nunito Sans" w:hAnsi="Nunito Sans"/>
                <w:color w:val="102E3B"/>
                <w:sz w:val="19"/>
                <w:szCs w:val="19"/>
              </w:rPr>
              <w:t xml:space="preserve">, o antes tras un incidente grave, un cambio en la ley o un cambio importante en nuestra forma de trabajar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SE APLICA 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Los miembros del órgano de gobierno, el personal, las personas voluntarias y los contratistas que presupuestan, gastan, aprueban, reciben o registran dinero para </w:t>
            </w:r>
            <w:r>
              <w:rPr>
                <w:rFonts w:ascii="Nunito Sans" w:cs="Nunito Sans" w:eastAsia="Nunito Sans" w:hAnsi="Nunito Sans"/>
                <w:color w:val="102E3B"/>
                <w:sz w:val="19"/>
                <w:szCs w:val="19"/>
                <w:highlight w:val="yellow"/>
              </w:rPr>
              <w:t xml:space="preserve">[Nombre de la organización]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ORGANIZACIÓN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legal, forma jurídica, país de registro y número de 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[finanzas@tuorganizacion.org]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IDIOMA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 Traducciones: </w:t>
            </w:r>
            <w:r>
              <w:rPr>
                <w:rFonts w:ascii="Nunito Sans" w:cs="Nunito Sans" w:eastAsia="Nunito Sans" w:hAnsi="Nunito Sans"/>
                <w:color w:val="102E3B"/>
                <w:sz w:val="19"/>
                <w:szCs w:val="19"/>
                <w:highlight w:val="yellow"/>
              </w:rPr>
              <w:t xml:space="preserve">[idiomas, o “ninguna”]</w:t>
            </w:r>
            <w:r>
              <w:rPr>
                <w:rFonts w:ascii="Nunito Sans" w:cs="Nunito Sans" w:eastAsia="Nunito Sans" w:hAnsi="Nunito Sans"/>
                <w:color w:val="102E3B"/>
                <w:sz w:val="19"/>
                <w:szCs w:val="19"/>
              </w:rPr>
              <w:t xml:space="preserve">. Si las versiones difieren, prevalece la versión en </w:t>
            </w: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w:t>
            </w:r>
          </w:p>
        </w:tc>
      </w:tr>
    </w:tbl>
    <w:p>
      <w:pPr>
        <w:keepNext/>
        <w:spacing w:after="100" w:before="360"/>
      </w:pPr>
      <w:r>
        <w:rPr>
          <w:rFonts w:ascii="Nunito Sans" w:cs="Nunito Sans" w:eastAsia="Nunito Sans" w:hAnsi="Nunito Sans"/>
          <w:b/>
          <w:bCs/>
          <w:color w:val="16746E"/>
          <w:spacing w:val="30"/>
          <w:sz w:val="15"/>
          <w:szCs w:val="15"/>
        </w:rPr>
        <w:t xml:space="preserve">CONTENIDO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 quién se aplica esta política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Seguimiento y revisión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Política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Documentos relacionados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Roles y responsabilidades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Reconocimiento</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Registros, confidencialidad y datos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A: Resumen de límites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Si se incumple esta política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B: Lista de pagos a participantes</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PROPORCIONAL A NUESTRO TAMAÑO</w:t>
            </w:r>
          </w:p>
          <w:p>
            <w:pPr>
              <w:spacing w:after="120" w:before="0" w:line="30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es </w:t>
            </w:r>
            <w:r>
              <w:rPr>
                <w:rFonts w:ascii="Nunito Sans" w:cs="Nunito Sans" w:eastAsia="Nunito Sans" w:hAnsi="Nunito Sans"/>
                <w:color w:val="102E3B"/>
                <w:sz w:val="19"/>
                <w:szCs w:val="19"/>
                <w:highlight w:val="yellow"/>
              </w:rPr>
              <w:t xml:space="preserve">[una pequeña organización de X personas / una organización emergente dirigida por sus personas fundadoras]</w:t>
            </w:r>
            <w:r>
              <w:rPr>
                <w:rFonts w:ascii="Nunito Sans" w:cs="Nunito Sans" w:eastAsia="Nunito Sans" w:hAnsi="Nunito Sans"/>
                <w:color w:val="102E3B"/>
                <w:sz w:val="19"/>
                <w:szCs w:val="19"/>
              </w:rPr>
              <w:t xml:space="preserve">. No siempre podemos repartir cada tarea financiera entre personas distintas, así que usamos controles adicionales en su lugar. Hasta que crezcamos: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es la persona responsable de finanzas.</w:t>
            </w:r>
            <w:r>
              <w:rPr>
                <w:rFonts w:ascii="Nunito Sans" w:cs="Nunito Sans" w:eastAsia="Nunito Sans" w:hAnsi="Nunito Sans"/>
                <w:color w:val="102E3B"/>
                <w:sz w:val="19"/>
                <w:szCs w:val="19"/>
              </w:rPr>
              <w:t xml:space="preserve"> Lleva la contabilidad, prepara los pagos y las conciliaciones, y elabora los informes mensuales.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es nuestra persona tesorera</w:t>
            </w:r>
            <w:r>
              <w:rPr>
                <w:rFonts w:ascii="Nunito Sans" w:cs="Nunito Sans" w:eastAsia="Nunito Sans" w:hAnsi="Nunito Sans"/>
                <w:color w:val="102E3B"/>
                <w:sz w:val="19"/>
                <w:szCs w:val="19"/>
              </w:rPr>
              <w:t xml:space="preserve">, un miembro del órgano de gobierno que no gestiona los pagos del día a día. Revisa las conciliaciones y los informes cada mes y es firmante bancario.</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 / firma]</w:t>
            </w:r>
            <w:r>
              <w:rPr>
                <w:rFonts w:ascii="Nunito Sans" w:cs="Nunito Sans" w:eastAsia="Nunito Sans" w:hAnsi="Nunito Sans"/>
                <w:b/>
                <w:bCs/>
                <w:color w:val="102E3B"/>
                <w:sz w:val="19"/>
                <w:szCs w:val="19"/>
              </w:rPr>
              <w:t xml:space="preserve"> es nuestro contador o tenedor de libros externo.</w:t>
            </w:r>
            <w:r>
              <w:rPr>
                <w:rFonts w:ascii="Nunito Sans" w:cs="Nunito Sans" w:eastAsia="Nunito Sans" w:hAnsi="Nunito Sans"/>
                <w:color w:val="102E3B"/>
                <w:sz w:val="19"/>
                <w:szCs w:val="19"/>
              </w:rPr>
              <w:t xml:space="preserve"> </w:t>
            </w:r>
            <w:r>
              <w:rPr>
                <w:rFonts w:ascii="Nunito Sans" w:cs="Nunito Sans" w:eastAsia="Nunito Sans" w:hAnsi="Nunito Sans"/>
                <w:color w:val="102E3B"/>
                <w:sz w:val="19"/>
                <w:szCs w:val="19"/>
                <w:highlight w:val="yellow"/>
              </w:rPr>
              <w:t xml:space="preserve">[Revisa nuestra contabilidad cada trimestre / prepara nuestras cuentas anuales / gestiona la nómina]</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b/>
                <w:bCs/>
                <w:color w:val="102E3B"/>
                <w:sz w:val="19"/>
                <w:szCs w:val="19"/>
              </w:rPr>
              <w:t xml:space="preserve">Revisamos esta política</w:t>
            </w:r>
            <w:r>
              <w:rPr>
                <w:rFonts w:ascii="Nunito Sans" w:cs="Nunito Sans" w:eastAsia="Nunito Sans" w:hAnsi="Nunito Sans"/>
                <w:color w:val="102E3B"/>
                <w:sz w:val="19"/>
                <w:szCs w:val="19"/>
              </w:rPr>
              <w:t xml:space="preserve"> al menos una vez al año, cuando abrimos una nueva cuenta o un nuevo medio de pago, y después de cualquier pérdida o hallazgo de auditoría.</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QUIÉN OCUPA ESTOS ROLES</w:t>
            </w:r>
          </w:p>
          <w:p>
            <w:pPr>
              <w:spacing w:after="120" w:before="0" w:line="300"/>
            </w:pPr>
            <w:r>
              <w:rPr>
                <w:rFonts w:ascii="Nunito Sans" w:cs="Nunito Sans" w:eastAsia="Nunito Sans" w:hAnsi="Nunito Sans"/>
                <w:color w:val="102E3B"/>
                <w:sz w:val="19"/>
                <w:szCs w:val="19"/>
              </w:rPr>
              <w:t xml:space="preserve">Nombra a personas reales. En muchas organizaciones pequeñas, la persona directora es también la responsable de finanzas. Si es así, la revisión mensual de la persona tesorera es esencial: es el principal control sobre la dirección. Un tenedor de libros a tiempo parcial o un contador voluntario puede añadir un valioso control independiente. Si todavía no tienes persona tesorera, pídeselo a un miembro del órgano de gobierno con algo de experiencia en finanzas, y evita dar a la misma persona tanto los derechos de aprobación bancaria como la tarea de conciliar la cuenta bancaria.</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DE UN VISTAZO</w:t>
            </w:r>
          </w:p>
          <w:p>
            <w:pPr>
              <w:pStyle w:val="ListParagraph"/>
              <w:numPr>
                <w:ilvl w:val="0"/>
                <w:numId w:val="3"/>
              </w:numPr>
              <w:spacing w:after="80" w:line="290"/>
            </w:pPr>
            <w:r>
              <w:rPr>
                <w:rFonts w:ascii="Nunito Sans" w:cs="Nunito Sans" w:eastAsia="Nunito Sans" w:hAnsi="Nunito Sans"/>
                <w:color w:val="102E3B"/>
                <w:sz w:val="19"/>
                <w:szCs w:val="19"/>
              </w:rPr>
              <w:t xml:space="preserve">Cada pago necesita una partida presupuestaria, documentos justificativos y la aprobación de una persona distinta de la que lo solicitó.</w:t>
            </w:r>
          </w:p>
          <w:p>
            <w:pPr>
              <w:pStyle w:val="ListParagraph"/>
              <w:numPr>
                <w:ilvl w:val="0"/>
                <w:numId w:val="3"/>
              </w:numPr>
              <w:spacing w:after="80" w:line="290"/>
            </w:pPr>
            <w:r>
              <w:rPr>
                <w:rFonts w:ascii="Nunito Sans" w:cs="Nunito Sans" w:eastAsia="Nunito Sans" w:hAnsi="Nunito Sans"/>
                <w:color w:val="102E3B"/>
                <w:sz w:val="19"/>
                <w:szCs w:val="19"/>
              </w:rPr>
              <w:t xml:space="preserve">Todas las cuentas bancarias y de dinero móvil están a nombre de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con al menos dos firmantes o personas que aprueban.</w:t>
            </w:r>
          </w:p>
          <w:p>
            <w:pPr>
              <w:pStyle w:val="ListParagraph"/>
              <w:numPr>
                <w:ilvl w:val="0"/>
                <w:numId w:val="3"/>
              </w:numPr>
              <w:spacing w:after="80" w:line="290"/>
            </w:pPr>
            <w:r>
              <w:rPr>
                <w:rFonts w:ascii="Nunito Sans" w:cs="Nunito Sans" w:eastAsia="Nunito Sans" w:hAnsi="Nunito Sans"/>
                <w:color w:val="102E3B"/>
                <w:sz w:val="19"/>
                <w:szCs w:val="19"/>
              </w:rPr>
              <w:t xml:space="preserve">Los límites de aprobación se fijan en nuestra Matriz de Delegación de Autoridad.</w:t>
            </w:r>
          </w:p>
          <w:p>
            <w:pPr>
              <w:pStyle w:val="ListParagraph"/>
              <w:numPr>
                <w:ilvl w:val="0"/>
                <w:numId w:val="3"/>
              </w:numPr>
              <w:spacing w:after="80" w:line="290"/>
            </w:pPr>
            <w:r>
              <w:rPr>
                <w:rFonts w:ascii="Nunito Sans" w:cs="Nunito Sans" w:eastAsia="Nunito Sans" w:hAnsi="Nunito Sans"/>
                <w:color w:val="102E3B"/>
                <w:sz w:val="19"/>
                <w:szCs w:val="19"/>
              </w:rPr>
              <w:t xml:space="preserve">El efectivo se mantiene al mínimo. El efectivo pagado a participantes se registra en una lista firmada o con huella dactilar.</w:t>
            </w:r>
          </w:p>
          <w:p>
            <w:pPr>
              <w:pStyle w:val="ListParagraph"/>
              <w:numPr>
                <w:ilvl w:val="0"/>
                <w:numId w:val="3"/>
              </w:numPr>
              <w:spacing w:after="80" w:line="290"/>
            </w:pPr>
            <w:r>
              <w:rPr>
                <w:rFonts w:ascii="Nunito Sans" w:cs="Nunito Sans" w:eastAsia="Nunito Sans" w:hAnsi="Nunito Sans"/>
                <w:color w:val="102E3B"/>
                <w:sz w:val="19"/>
                <w:szCs w:val="19"/>
              </w:rPr>
              <w:t xml:space="preserve">Las cuentas bancarias, el dinero móvil y el efectivo se concilian cada mes, y la persona tesorera lo revisa.</w:t>
            </w:r>
          </w:p>
          <w:p>
            <w:pPr>
              <w:pStyle w:val="ListParagraph"/>
              <w:numPr>
                <w:ilvl w:val="0"/>
                <w:numId w:val="3"/>
              </w:numPr>
              <w:spacing w:after="80" w:line="290"/>
            </w:pPr>
            <w:r>
              <w:rPr>
                <w:rFonts w:ascii="Nunito Sans" w:cs="Nunito Sans" w:eastAsia="Nunito Sans" w:hAnsi="Nunito Sans"/>
                <w:color w:val="102E3B"/>
                <w:sz w:val="19"/>
                <w:szCs w:val="19"/>
              </w:rPr>
              <w:t xml:space="preserve">Los fondos restringidos se siguen por separado y se gastan solo según lo acordado.</w:t>
            </w:r>
          </w:p>
          <w:p>
            <w:pPr>
              <w:pStyle w:val="ListParagraph"/>
              <w:numPr>
                <w:ilvl w:val="0"/>
                <w:numId w:val="3"/>
              </w:numPr>
              <w:spacing w:after="80" w:line="290"/>
            </w:pPr>
            <w:r>
              <w:rPr>
                <w:rFonts w:ascii="Nunito Sans" w:cs="Nunito Sans" w:eastAsia="Nunito Sans" w:hAnsi="Nunito Sans"/>
                <w:color w:val="102E3B"/>
                <w:sz w:val="19"/>
                <w:szCs w:val="19"/>
              </w:rPr>
              <w:t xml:space="preserve">El órgano de gobierno recibe las cuentas de gestión cada </w:t>
            </w:r>
            <w:r>
              <w:rPr>
                <w:rFonts w:ascii="Nunito Sans" w:cs="Nunito Sans" w:eastAsia="Nunito Sans" w:hAnsi="Nunito Sans"/>
                <w:color w:val="102E3B"/>
                <w:sz w:val="19"/>
                <w:szCs w:val="19"/>
                <w:highlight w:val="yellow"/>
              </w:rPr>
              <w:t xml:space="preserve">[trimestre]</w:t>
            </w:r>
            <w:r>
              <w:rPr>
                <w:rFonts w:ascii="Nunito Sans" w:cs="Nunito Sans" w:eastAsia="Nunito Sans" w:hAnsi="Nunito Sans"/>
                <w:color w:val="102E3B"/>
                <w:sz w:val="19"/>
                <w:szCs w:val="19"/>
              </w:rPr>
              <w:t xml:space="preserve">, y nuestras cuentas anuales son </w:t>
            </w:r>
            <w:r>
              <w:rPr>
                <w:rFonts w:ascii="Nunito Sans" w:cs="Nunito Sans" w:eastAsia="Nunito Sans" w:hAnsi="Nunito Sans"/>
                <w:color w:val="102E3B"/>
                <w:sz w:val="19"/>
                <w:szCs w:val="19"/>
                <w:highlight w:val="yellow"/>
              </w:rPr>
              <w:t xml:space="preserve">[auditadas / revisadas de forma independiente]</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color w:val="102E3B"/>
                <w:sz w:val="19"/>
                <w:szCs w:val="19"/>
              </w:rPr>
              <w:t xml:space="preserve">Todos los importes de esta política son ilustrativos. Los fijamos con nuestro contador.</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 quién se aplica esta política</w:t>
      </w:r>
    </w:p>
    <w:p>
      <w:pPr>
        <w:spacing w:after="120" w:before="0" w:line="300"/>
      </w:pPr>
      <w:r>
        <w:rPr>
          <w:rFonts w:ascii="Nunito Sans" w:cs="Nunito Sans" w:eastAsia="Nunito Sans" w:hAnsi="Nunito Sans"/>
          <w:color w:val="102E3B"/>
          <w:sz w:val="20"/>
          <w:szCs w:val="20"/>
        </w:rPr>
        <w:t xml:space="preserve">Esta política se aplica a todas las personas que presupuestan, gastan, aprueban, reciben o registran dinero para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los miembros del órgano de gobierno, el personal, las personas voluntarias y los contratistas. Cubre todos nuestros fondos, sea cual sea su origen, y todas las cuentas, el efectivo, el dinero móvil, las tarjetas y los activos que tenemos. Los socios que reciben fondos nuestros siguen las condiciones financieras de su Acuerdo de Subvención a Socios.</w:t>
      </w:r>
    </w:p>
    <w:p>
      <w:pPr>
        <w:spacing w:after="120" w:before="0" w:line="300"/>
      </w:pPr>
      <w:r>
        <w:rPr>
          <w:rFonts w:ascii="Nunito Sans" w:cs="Nunito Sans" w:eastAsia="Nunito Sans" w:hAnsi="Nunito Sans"/>
          <w:b/>
          <w:bCs/>
          <w:color w:val="102E3B"/>
          <w:sz w:val="20"/>
          <w:szCs w:val="20"/>
        </w:rPr>
        <w:t xml:space="preserve">Ley y normas.</w:t>
      </w:r>
      <w:r>
        <w:rPr>
          <w:rFonts w:ascii="Nunito Sans" w:cs="Nunito Sans" w:eastAsia="Nunito Sans" w:hAnsi="Nunito Sans"/>
          <w:color w:val="102E3B"/>
          <w:sz w:val="20"/>
          <w:szCs w:val="20"/>
        </w:rPr>
        <w:t xml:space="preserve"> Llevamos la contabilidad según exigen la ley de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 y nuestro </w:t>
      </w:r>
      <w:r>
        <w:rPr>
          <w:rFonts w:ascii="Nunito Sans" w:cs="Nunito Sans" w:eastAsia="Nunito Sans" w:hAnsi="Nunito Sans"/>
          <w:color w:val="102E3B"/>
          <w:sz w:val="20"/>
          <w:szCs w:val="20"/>
          <w:highlight w:val="yellow"/>
        </w:rPr>
        <w:t xml:space="preserve">[regulador / organismo de registro]</w:t>
      </w:r>
      <w:r>
        <w:rPr>
          <w:rFonts w:ascii="Nunito Sans" w:cs="Nunito Sans" w:eastAsia="Nunito Sans" w:hAnsi="Nunito Sans"/>
          <w:color w:val="102E3B"/>
          <w:sz w:val="20"/>
          <w:szCs w:val="20"/>
        </w:rPr>
        <w:t xml:space="preserve">. Seguimos </w:t>
      </w:r>
      <w:r>
        <w:rPr>
          <w:rFonts w:ascii="Nunito Sans" w:cs="Nunito Sans" w:eastAsia="Nunito Sans" w:hAnsi="Nunito Sans"/>
          <w:color w:val="102E3B"/>
          <w:sz w:val="20"/>
          <w:szCs w:val="20"/>
          <w:highlight w:val="yellow"/>
        </w:rPr>
        <w:t xml:space="preserve">[norma o marco contable]</w:t>
      </w:r>
      <w:r>
        <w:rPr>
          <w:rFonts w:ascii="Nunito Sans" w:cs="Nunito Sans" w:eastAsia="Nunito Sans" w:hAnsi="Nunito Sans"/>
          <w:color w:val="102E3B"/>
          <w:sz w:val="20"/>
          <w:szCs w:val="20"/>
        </w:rPr>
        <w:t xml:space="preserve">. Cuando las normas financieras de un financiador son más estrictas que esta política, las seguimos para el dinero de ese financiador.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LEY, NORMAS CONTABLES E IMPORTES</w:t>
            </w:r>
          </w:p>
          <w:p>
            <w:pPr>
              <w:spacing w:after="120" w:before="0" w:line="300"/>
            </w:pPr>
            <w:r>
              <w:rPr>
                <w:rFonts w:ascii="Nunito Sans" w:cs="Nunito Sans" w:eastAsia="Nunito Sans" w:hAnsi="Nunito Sans"/>
                <w:color w:val="102E3B"/>
                <w:sz w:val="19"/>
                <w:szCs w:val="19"/>
              </w:rPr>
              <w:t xml:space="preserve">Pregunta a tu contador qué normas contables se te aplican: dependen de tu forma jurídica, tu tamaño y tu país. Por ejemplo, las entidades benéficas del Reino Unido siguen el Charities SORP, y muchos países siguen normas nacionales basadas en las Normas Internacionales de Información Financiera, con versiones simplificadas para entidades pequeñas. Comprueba tu inscripción fiscal, los plazos de presentación y cualquier obligación de presentar cuentas ante un regulador. Cada importe de esta política es solo un ejemplo. Fija importes que se ajusten a tus ingresos, tu moneda y tus riesgos, y haz que coincidan con tu Matriz de Delegación de Autoridad.</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Política</w:t>
      </w:r>
    </w:p>
    <w:p>
      <w:pPr>
        <w:pStyle w:val="Heading2"/>
        <w:keepNext/>
        <w:spacing w:after="120" w:before="280"/>
      </w:pPr>
      <w:r>
        <w:rPr>
          <w:rFonts w:ascii="DM Serif Display" w:cs="DM Serif Display" w:eastAsia="DM Serif Display" w:hAnsi="DM Serif Display"/>
          <w:color w:val="123C48"/>
          <w:sz w:val="28"/>
          <w:szCs w:val="28"/>
        </w:rPr>
        <w:t xml:space="preserve">1. Roles y separación de funciones</w:t>
      </w:r>
    </w:p>
    <w:p>
      <w:pPr>
        <w:spacing w:after="120" w:before="0" w:line="300"/>
      </w:pPr>
      <w:r>
        <w:rPr>
          <w:rFonts w:ascii="Nunito Sans" w:cs="Nunito Sans" w:eastAsia="Nunito Sans" w:hAnsi="Nunito Sans"/>
          <w:color w:val="102E3B"/>
          <w:sz w:val="20"/>
          <w:szCs w:val="20"/>
        </w:rPr>
        <w:t xml:space="preserve">La separación de funciones significa que ninguna persona controla sola una transacción de principio a fin. Repartimos estas tareas entre al menos dos personas: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rPr>
          <w:cantSplit/>
          <w:tblHeader/>
        </w:trPr>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TAREA</w:t>
            </w:r>
          </w:p>
        </w:tc>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QUIÉN LA HACE</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Solicitar un pago</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persona responsable del presupuesto o un miembro del personal</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Aprobar el pago</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Una persona autorizada en la Matriz de Delegación de Autoridad, nunca la persona solicitante</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Realizar el pago (introducirlo en la banca en línea o en el dinero móvil)</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finanzas</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Autorizar el pago en el sistema bancario o de dinero móvil</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 segundo firmante, nunca la persona que lo introdujo</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Registrar y conciliar</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finanzas</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Revisar la conciliación</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tesorera</w:t>
            </w:r>
          </w:p>
        </w:tc>
      </w:tr>
    </w:tbl>
    <w:p>
      <w:pPr>
        <w:spacing w:after="120"/>
      </w:pPr>
    </w:p>
    <w:p>
      <w:pPr>
        <w:pStyle w:val="Heading3"/>
        <w:keepNext/>
        <w:spacing w:after="80" w:before="200"/>
      </w:pPr>
      <w:r>
        <w:rPr>
          <w:rFonts w:ascii="Nunito Sans" w:cs="Nunito Sans" w:eastAsia="Nunito Sans" w:hAnsi="Nunito Sans"/>
          <w:b/>
          <w:bCs/>
          <w:color w:val="16746E"/>
          <w:sz w:val="21"/>
          <w:szCs w:val="21"/>
        </w:rPr>
        <w:t xml:space="preserve">Cuando nuestro equipo es demasiado pequeño</w:t>
      </w:r>
    </w:p>
    <w:p>
      <w:pPr>
        <w:spacing w:after="120" w:before="0" w:line="300"/>
      </w:pPr>
      <w:r>
        <w:rPr>
          <w:rFonts w:ascii="Nunito Sans" w:cs="Nunito Sans" w:eastAsia="Nunito Sans" w:hAnsi="Nunito Sans"/>
          <w:color w:val="102E3B"/>
          <w:sz w:val="20"/>
          <w:szCs w:val="20"/>
        </w:rPr>
        <w:t xml:space="preserve">Cuando una persona debe hacer más de una de estas tareas, usamos controles compensatorios. Son controles adicionales que compensan la falta de separación:</w:t>
      </w:r>
    </w:p>
    <w:p>
      <w:pPr>
        <w:pStyle w:val="ListParagraph"/>
        <w:numPr>
          <w:ilvl w:val="0"/>
          <w:numId w:val="3"/>
        </w:numPr>
        <w:spacing w:after="80" w:line="290"/>
      </w:pPr>
      <w:r>
        <w:rPr>
          <w:rFonts w:ascii="Nunito Sans" w:cs="Nunito Sans" w:eastAsia="Nunito Sans" w:hAnsi="Nunito Sans"/>
          <w:color w:val="102E3B"/>
          <w:sz w:val="20"/>
          <w:szCs w:val="20"/>
        </w:rPr>
        <w:t xml:space="preserve">la persona tesorera revisa cada mes, línea por línea, cada extracto bancario y de dinero móvil con los registros;</w:t>
      </w:r>
    </w:p>
    <w:p>
      <w:pPr>
        <w:pStyle w:val="ListParagraph"/>
        <w:numPr>
          <w:ilvl w:val="0"/>
          <w:numId w:val="3"/>
        </w:numPr>
        <w:spacing w:after="80" w:line="290"/>
      </w:pPr>
      <w:r>
        <w:rPr>
          <w:rFonts w:ascii="Nunito Sans" w:cs="Nunito Sans" w:eastAsia="Nunito Sans" w:hAnsi="Nunito Sans"/>
          <w:color w:val="102E3B"/>
          <w:sz w:val="20"/>
          <w:szCs w:val="20"/>
        </w:rPr>
        <w:t xml:space="preserve">la persona tesorera tiene acceso en línea de solo lectura a todas nuestras cuentas bancarias;</w:t>
      </w:r>
    </w:p>
    <w:p>
      <w:pPr>
        <w:pStyle w:val="ListParagraph"/>
        <w:numPr>
          <w:ilvl w:val="0"/>
          <w:numId w:val="3"/>
        </w:numPr>
        <w:spacing w:after="80" w:line="290"/>
      </w:pPr>
      <w:r>
        <w:rPr>
          <w:rFonts w:ascii="Nunito Sans" w:cs="Nunito Sans" w:eastAsia="Nunito Sans" w:hAnsi="Nunito Sans"/>
          <w:color w:val="102E3B"/>
          <w:sz w:val="20"/>
          <w:szCs w:val="20"/>
        </w:rPr>
        <w:t xml:space="preserve">nadie aprueba un pago a sí mismo, incluidos el salario, los gastos o los anticipos;</w:t>
      </w:r>
    </w:p>
    <w:p>
      <w:pPr>
        <w:pStyle w:val="ListParagraph"/>
        <w:numPr>
          <w:ilvl w:val="0"/>
          <w:numId w:val="3"/>
        </w:numPr>
        <w:spacing w:after="80" w:line="290"/>
      </w:pPr>
      <w:r>
        <w:rPr>
          <w:rFonts w:ascii="Nunito Sans" w:cs="Nunito Sans" w:eastAsia="Nunito Sans" w:hAnsi="Nunito Sans"/>
          <w:color w:val="102E3B"/>
          <w:sz w:val="20"/>
          <w:szCs w:val="20"/>
        </w:rPr>
        <w:t xml:space="preserve">los pagos a la persona directora los aprueba la persona tesorera o la presidencia;</w:t>
      </w:r>
    </w:p>
    <w:p>
      <w:pPr>
        <w:pStyle w:val="ListParagraph"/>
        <w:numPr>
          <w:ilvl w:val="0"/>
          <w:numId w:val="3"/>
        </w:numPr>
        <w:spacing w:after="80" w:line="290"/>
      </w:pPr>
      <w:r>
        <w:rPr>
          <w:rFonts w:ascii="Nunito Sans" w:cs="Nunito Sans" w:eastAsia="Nunito Sans" w:hAnsi="Nunito Sans"/>
          <w:color w:val="102E3B"/>
          <w:sz w:val="20"/>
          <w:szCs w:val="20"/>
        </w:rPr>
        <w:t xml:space="preserve">nuestro contador externo revisa una muestra de transacciones cada </w:t>
      </w:r>
      <w:r>
        <w:rPr>
          <w:rFonts w:ascii="Nunito Sans" w:cs="Nunito Sans" w:eastAsia="Nunito Sans" w:hAnsi="Nunito Sans"/>
          <w:color w:val="102E3B"/>
          <w:sz w:val="20"/>
          <w:szCs w:val="20"/>
          <w:highlight w:val="yellow"/>
        </w:rPr>
        <w:t xml:space="preserve">[trimestre]</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el órgano de gobierno revisa una lista de todos los pagos de más de </w:t>
      </w:r>
      <w:r>
        <w:rPr>
          <w:rFonts w:ascii="Nunito Sans" w:cs="Nunito Sans" w:eastAsia="Nunito Sans" w:hAnsi="Nunito Sans"/>
          <w:color w:val="102E3B"/>
          <w:sz w:val="20"/>
          <w:szCs w:val="20"/>
          <w:highlight w:val="yellow"/>
        </w:rPr>
        <w:t xml:space="preserve">[500 USD]</w:t>
      </w:r>
      <w:r>
        <w:rPr>
          <w:rFonts w:ascii="Nunito Sans" w:cs="Nunito Sans" w:eastAsia="Nunito Sans" w:hAnsi="Nunito Sans"/>
          <w:color w:val="102E3B"/>
          <w:sz w:val="20"/>
          <w:szCs w:val="20"/>
        </w:rPr>
        <w:t xml:space="preserve"> cada </w:t>
      </w:r>
      <w:r>
        <w:rPr>
          <w:rFonts w:ascii="Nunito Sans" w:cs="Nunito Sans" w:eastAsia="Nunito Sans" w:hAnsi="Nunito Sans"/>
          <w:color w:val="102E3B"/>
          <w:sz w:val="20"/>
          <w:szCs w:val="20"/>
          <w:highlight w:val="yellow"/>
        </w:rPr>
        <w:t xml:space="preserve">[trimestre]</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cuando la persona responsable de finanzas introduce y además concilia los pagos, la persona tesorera recibe los extractos bancarios directamente del banco, no a través de la persona responsable de finanzas.</w:t>
      </w:r>
    </w:p>
    <w:p>
      <w:pPr>
        <w:pStyle w:val="Heading2"/>
        <w:keepNext/>
        <w:spacing w:after="120" w:before="280"/>
      </w:pPr>
      <w:r>
        <w:rPr>
          <w:rFonts w:ascii="DM Serif Display" w:cs="DM Serif Display" w:eastAsia="DM Serif Display" w:hAnsi="DM Serif Display"/>
          <w:color w:val="123C48"/>
          <w:sz w:val="28"/>
          <w:szCs w:val="28"/>
        </w:rPr>
        <w:t xml:space="preserve">2. Presupuestos y personas responsables del presupuesto</w:t>
      </w:r>
    </w:p>
    <w:p>
      <w:pPr>
        <w:pStyle w:val="ListParagraph"/>
        <w:numPr>
          <w:ilvl w:val="0"/>
          <w:numId w:val="3"/>
        </w:numPr>
        <w:spacing w:after="80" w:line="290"/>
      </w:pPr>
      <w:r>
        <w:rPr>
          <w:rFonts w:ascii="Nunito Sans" w:cs="Nunito Sans" w:eastAsia="Nunito Sans" w:hAnsi="Nunito Sans"/>
          <w:color w:val="102E3B"/>
          <w:sz w:val="20"/>
          <w:szCs w:val="20"/>
        </w:rPr>
        <w:t xml:space="preserve">El órgano de gobierno aprueba un presupuesto anual para toda la organización antes del inicio de cada ejercicio financiero, que va del </w:t>
      </w:r>
      <w:r>
        <w:rPr>
          <w:rFonts w:ascii="Nunito Sans" w:cs="Nunito Sans" w:eastAsia="Nunito Sans" w:hAnsi="Nunito Sans"/>
          <w:color w:val="102E3B"/>
          <w:sz w:val="20"/>
          <w:szCs w:val="20"/>
          <w:highlight w:val="yellow"/>
        </w:rPr>
        <w:t xml:space="preserve">[1 de enero al 31 de diciembre]</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Cada proyecto o subvención tiene su propio presupuesto, que sigue el acuerdo con el financiador.</w:t>
      </w:r>
    </w:p>
    <w:p>
      <w:pPr>
        <w:pStyle w:val="ListParagraph"/>
        <w:numPr>
          <w:ilvl w:val="0"/>
          <w:numId w:val="3"/>
        </w:numPr>
        <w:spacing w:after="80" w:line="290"/>
      </w:pPr>
      <w:r>
        <w:rPr>
          <w:rFonts w:ascii="Nunito Sans" w:cs="Nunito Sans" w:eastAsia="Nunito Sans" w:hAnsi="Nunito Sans"/>
          <w:color w:val="102E3B"/>
          <w:sz w:val="20"/>
          <w:szCs w:val="20"/>
        </w:rPr>
        <w:t xml:space="preserve">La persona directora designa a una persona responsable de cada presupuesto. Las personas responsables del presupuesto aprueban el gasto dentro de su presupuesto, hasta su límite, y explican las desviaciones.</w:t>
      </w:r>
    </w:p>
    <w:p>
      <w:pPr>
        <w:pStyle w:val="ListParagraph"/>
        <w:numPr>
          <w:ilvl w:val="0"/>
          <w:numId w:val="3"/>
        </w:numPr>
        <w:spacing w:after="80" w:line="290"/>
      </w:pPr>
      <w:r>
        <w:rPr>
          <w:rFonts w:ascii="Nunito Sans" w:cs="Nunito Sans" w:eastAsia="Nunito Sans" w:hAnsi="Nunito Sans"/>
          <w:color w:val="102E3B"/>
          <w:sz w:val="20"/>
          <w:szCs w:val="20"/>
        </w:rPr>
        <w:t xml:space="preserve">Todo gasto que no esté en el presupuesto, o que supere una partida presupuestaria en más del </w:t>
      </w:r>
      <w:r>
        <w:rPr>
          <w:rFonts w:ascii="Nunito Sans" w:cs="Nunito Sans" w:eastAsia="Nunito Sans" w:hAnsi="Nunito Sans"/>
          <w:color w:val="102E3B"/>
          <w:sz w:val="20"/>
          <w:szCs w:val="20"/>
          <w:highlight w:val="yellow"/>
        </w:rPr>
        <w:t xml:space="preserve">[10 %]</w:t>
      </w:r>
      <w:r>
        <w:rPr>
          <w:rFonts w:ascii="Nunito Sans" w:cs="Nunito Sans" w:eastAsia="Nunito Sans" w:hAnsi="Nunito Sans"/>
          <w:color w:val="102E3B"/>
          <w:sz w:val="20"/>
          <w:szCs w:val="20"/>
        </w:rPr>
        <w:t xml:space="preserve">, necesita aprobación según lo establecido en la Matriz de Delegación de Autoridad, y la conformidad del financiador cuando los fondos son restringidos.</w:t>
      </w:r>
    </w:p>
    <w:p>
      <w:pPr>
        <w:pStyle w:val="ListParagraph"/>
        <w:numPr>
          <w:ilvl w:val="0"/>
          <w:numId w:val="3"/>
        </w:numPr>
        <w:spacing w:after="80" w:line="290"/>
      </w:pPr>
      <w:r>
        <w:rPr>
          <w:rFonts w:ascii="Nunito Sans" w:cs="Nunito Sans" w:eastAsia="Nunito Sans" w:hAnsi="Nunito Sans"/>
          <w:color w:val="102E3B"/>
          <w:sz w:val="20"/>
          <w:szCs w:val="20"/>
        </w:rPr>
        <w:t xml:space="preserve">Preparamos una previsión de flujo de caja para al menos los próximos </w:t>
      </w:r>
      <w:r>
        <w:rPr>
          <w:rFonts w:ascii="Nunito Sans" w:cs="Nunito Sans" w:eastAsia="Nunito Sans" w:hAnsi="Nunito Sans"/>
          <w:color w:val="102E3B"/>
          <w:sz w:val="20"/>
          <w:szCs w:val="20"/>
          <w:highlight w:val="yellow"/>
        </w:rPr>
        <w:t xml:space="preserve">[6 meses]</w:t>
      </w:r>
      <w:r>
        <w:rPr>
          <w:rFonts w:ascii="Nunito Sans" w:cs="Nunito Sans" w:eastAsia="Nunito Sans" w:hAnsi="Nunito Sans"/>
          <w:color w:val="102E3B"/>
          <w:sz w:val="20"/>
          <w:szCs w:val="20"/>
        </w:rPr>
        <w:t xml:space="preserve"> y la actualizamos cada mes.</w:t>
      </w:r>
    </w:p>
    <w:p>
      <w:pPr>
        <w:pStyle w:val="Heading2"/>
        <w:keepNext/>
        <w:spacing w:after="120" w:before="280"/>
      </w:pPr>
      <w:r>
        <w:rPr>
          <w:rFonts w:ascii="DM Serif Display" w:cs="DM Serif Display" w:eastAsia="DM Serif Display" w:hAnsi="DM Serif Display"/>
          <w:color w:val="123C48"/>
          <w:sz w:val="28"/>
          <w:szCs w:val="28"/>
        </w:rPr>
        <w:t xml:space="preserve">3. Cuentas bancarias</w:t>
      </w:r>
    </w:p>
    <w:p>
      <w:pPr>
        <w:pStyle w:val="ListParagraph"/>
        <w:numPr>
          <w:ilvl w:val="0"/>
          <w:numId w:val="3"/>
        </w:numPr>
        <w:spacing w:after="80" w:line="290"/>
      </w:pPr>
      <w:r>
        <w:rPr>
          <w:rFonts w:ascii="Nunito Sans" w:cs="Nunito Sans" w:eastAsia="Nunito Sans" w:hAnsi="Nunito Sans"/>
          <w:color w:val="102E3B"/>
          <w:sz w:val="20"/>
          <w:szCs w:val="20"/>
        </w:rPr>
        <w:t xml:space="preserve">Todas las cuentas bancarias están a nombre legal completo de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Nunca mantenemos nuestro dinero en una cuenta personal, ni siquiera por poco tiempo.</w:t>
      </w:r>
    </w:p>
    <w:p>
      <w:pPr>
        <w:pStyle w:val="ListParagraph"/>
        <w:numPr>
          <w:ilvl w:val="0"/>
          <w:numId w:val="3"/>
        </w:numPr>
        <w:spacing w:after="80" w:line="290"/>
      </w:pPr>
      <w:r>
        <w:rPr>
          <w:rFonts w:ascii="Nunito Sans" w:cs="Nunito Sans" w:eastAsia="Nunito Sans" w:hAnsi="Nunito Sans"/>
          <w:color w:val="102E3B"/>
          <w:sz w:val="20"/>
          <w:szCs w:val="20"/>
        </w:rPr>
        <w:t xml:space="preserve">El órgano de gobierno aprueba mediante resolución la apertura y el cierre de cada cuenta, y la lista de firmantes.</w:t>
      </w:r>
    </w:p>
    <w:p>
      <w:pPr>
        <w:pStyle w:val="ListParagraph"/>
        <w:numPr>
          <w:ilvl w:val="0"/>
          <w:numId w:val="3"/>
        </w:numPr>
        <w:spacing w:after="80" w:line="290"/>
      </w:pPr>
      <w:r>
        <w:rPr>
          <w:rFonts w:ascii="Nunito Sans" w:cs="Nunito Sans" w:eastAsia="Nunito Sans" w:hAnsi="Nunito Sans"/>
          <w:color w:val="102E3B"/>
          <w:sz w:val="20"/>
          <w:szCs w:val="20"/>
        </w:rPr>
        <w:t xml:space="preserve">Cada cuenta tiene al menos </w:t>
      </w:r>
      <w:r>
        <w:rPr>
          <w:rFonts w:ascii="Nunito Sans" w:cs="Nunito Sans" w:eastAsia="Nunito Sans" w:hAnsi="Nunito Sans"/>
          <w:color w:val="102E3B"/>
          <w:sz w:val="20"/>
          <w:szCs w:val="20"/>
          <w:highlight w:val="yellow"/>
        </w:rPr>
        <w:t xml:space="preserve">[dos]</w:t>
      </w:r>
      <w:r>
        <w:rPr>
          <w:rFonts w:ascii="Nunito Sans" w:cs="Nunito Sans" w:eastAsia="Nunito Sans" w:hAnsi="Nunito Sans"/>
          <w:color w:val="102E3B"/>
          <w:sz w:val="20"/>
          <w:szCs w:val="20"/>
        </w:rPr>
        <w:t xml:space="preserve"> firmantes, y cada pago necesita </w:t>
      </w:r>
      <w:r>
        <w:rPr>
          <w:rFonts w:ascii="Nunito Sans" w:cs="Nunito Sans" w:eastAsia="Nunito Sans" w:hAnsi="Nunito Sans"/>
          <w:color w:val="102E3B"/>
          <w:sz w:val="20"/>
          <w:szCs w:val="20"/>
          <w:highlight w:val="yellow"/>
        </w:rPr>
        <w:t xml:space="preserve">[dos]</w:t>
      </w:r>
      <w:r>
        <w:rPr>
          <w:rFonts w:ascii="Nunito Sans" w:cs="Nunito Sans" w:eastAsia="Nunito Sans" w:hAnsi="Nunito Sans"/>
          <w:color w:val="102E3B"/>
          <w:sz w:val="20"/>
          <w:szCs w:val="20"/>
        </w:rPr>
        <w:t xml:space="preserve"> de ellos. Dos personas con una relación estrecha no pueden ser las dos únicas firmantes de ninguna cuenta.</w:t>
      </w:r>
    </w:p>
    <w:p>
      <w:pPr>
        <w:pStyle w:val="ListParagraph"/>
        <w:numPr>
          <w:ilvl w:val="0"/>
          <w:numId w:val="3"/>
        </w:numPr>
        <w:spacing w:after="80" w:line="290"/>
      </w:pPr>
      <w:r>
        <w:rPr>
          <w:rFonts w:ascii="Nunito Sans" w:cs="Nunito Sans" w:eastAsia="Nunito Sans" w:hAnsi="Nunito Sans"/>
          <w:color w:val="102E3B"/>
          <w:sz w:val="20"/>
          <w:szCs w:val="20"/>
        </w:rPr>
        <w:t xml:space="preserve">La banca en línea está configurada para que una persona introduzca un pago y una segunda persona lo apruebe.</w:t>
      </w:r>
    </w:p>
    <w:p>
      <w:pPr>
        <w:pStyle w:val="ListParagraph"/>
        <w:numPr>
          <w:ilvl w:val="0"/>
          <w:numId w:val="3"/>
        </w:numPr>
        <w:spacing w:after="80" w:line="290"/>
      </w:pPr>
      <w:r>
        <w:rPr>
          <w:rFonts w:ascii="Nunito Sans" w:cs="Nunito Sans" w:eastAsia="Nunito Sans" w:hAnsi="Nunito Sans"/>
          <w:color w:val="102E3B"/>
          <w:sz w:val="20"/>
          <w:szCs w:val="20"/>
        </w:rPr>
        <w:t xml:space="preserve">Las chequeras, las tarjetas, los dispositivos de seguridad y las contraseñas se guardan de forma segura. Nunca firmamos cheques en blanco. Las contraseñas nunca se comparten.</w:t>
      </w:r>
    </w:p>
    <w:p>
      <w:pPr>
        <w:pStyle w:val="ListParagraph"/>
        <w:numPr>
          <w:ilvl w:val="0"/>
          <w:numId w:val="3"/>
        </w:numPr>
        <w:spacing w:after="80" w:line="290"/>
      </w:pPr>
      <w:r>
        <w:rPr>
          <w:rFonts w:ascii="Nunito Sans" w:cs="Nunito Sans" w:eastAsia="Nunito Sans" w:hAnsi="Nunito Sans"/>
          <w:color w:val="102E3B"/>
          <w:sz w:val="20"/>
          <w:szCs w:val="20"/>
        </w:rPr>
        <w:t xml:space="preserve">Cuando un firmante se va, lo retiramos de la cuenta en un plazo de </w:t>
      </w:r>
      <w:r>
        <w:rPr>
          <w:rFonts w:ascii="Nunito Sans" w:cs="Nunito Sans" w:eastAsia="Nunito Sans" w:hAnsi="Nunito Sans"/>
          <w:color w:val="102E3B"/>
          <w:sz w:val="20"/>
          <w:szCs w:val="20"/>
          <w:highlight w:val="yellow"/>
        </w:rPr>
        <w:t xml:space="preserve">[5 días hábiles]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Cuando es posible, mantenemos los fondos de subvenciones restringidas en una cuenta separada si el financiador lo exige.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CUENTAS BANCARIAS Y DINERO MÓVIL</w:t>
            </w:r>
          </w:p>
          <w:p>
            <w:pPr>
              <w:spacing w:after="120" w:before="0" w:line="300"/>
            </w:pPr>
            <w:r>
              <w:rPr>
                <w:rFonts w:ascii="Nunito Sans" w:cs="Nunito Sans" w:eastAsia="Nunito Sans" w:hAnsi="Nunito Sans"/>
                <w:color w:val="102E3B"/>
                <w:sz w:val="19"/>
                <w:szCs w:val="19"/>
              </w:rPr>
              <w:t xml:space="preserve">Nombra tus cuentas bancarias y firmantes en un anexo o en un acta del órgano de gobierno, no en esta política. Algunos países tienen normas especiales: por ejemplo, en la India las contribuciones extranjeras deben recibirse primero en una "cuenta FCRA" designada en el State Bank of India, New Delhi Main Branch, según la Foreign Contribution (Regulation) Act 2010, modificada en 2020. Algunos financiadores exigen una cuenta bancaria separada para su subvención. Si tu banco solo permite un firmante para la banca en línea, pregunta por la doble aprobación o añade a la persona tesorera como segundo usuario. Si usas dinero móvil, pregunta a tu proveedor por cuentas empresariales con más de una persona que apruebe.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Pagos y aprobaciones</w:t>
      </w:r>
    </w:p>
    <w:p>
      <w:pPr>
        <w:pStyle w:val="ListParagraph"/>
        <w:numPr>
          <w:ilvl w:val="0"/>
          <w:numId w:val="4"/>
        </w:numPr>
        <w:spacing w:after="80" w:line="290"/>
      </w:pPr>
      <w:r>
        <w:rPr>
          <w:rFonts w:ascii="Nunito Sans" w:cs="Nunito Sans" w:eastAsia="Nunito Sans" w:hAnsi="Nunito Sans"/>
          <w:color w:val="102E3B"/>
          <w:sz w:val="20"/>
          <w:szCs w:val="20"/>
        </w:rPr>
        <w:t xml:space="preserve">Cada pago debe estar en el presupuesto y respaldado por una factura original, un recibo, un contrato u otra prueba.</w:t>
      </w:r>
    </w:p>
    <w:p>
      <w:pPr>
        <w:pStyle w:val="ListParagraph"/>
        <w:numPr>
          <w:ilvl w:val="0"/>
          <w:numId w:val="4"/>
        </w:numPr>
        <w:spacing w:after="80" w:line="290"/>
      </w:pPr>
      <w:r>
        <w:rPr>
          <w:rFonts w:ascii="Nunito Sans" w:cs="Nunito Sans" w:eastAsia="Nunito Sans" w:hAnsi="Nunito Sans"/>
          <w:color w:val="102E3B"/>
          <w:sz w:val="20"/>
          <w:szCs w:val="20"/>
        </w:rPr>
        <w:t xml:space="preserve">Cada pago se aprueba por adelantado, dentro de los límites de nuestra Matriz de Delegación de Autoridad. La aprobación queda registrada mediante una firma, un correo electrónico o el sistema contable.</w:t>
      </w:r>
    </w:p>
    <w:p>
      <w:pPr>
        <w:pStyle w:val="ListParagraph"/>
        <w:numPr>
          <w:ilvl w:val="0"/>
          <w:numId w:val="4"/>
        </w:numPr>
        <w:spacing w:after="80" w:line="290"/>
      </w:pPr>
      <w:r>
        <w:rPr>
          <w:rFonts w:ascii="Nunito Sans" w:cs="Nunito Sans" w:eastAsia="Nunito Sans" w:hAnsi="Nunito Sans"/>
          <w:color w:val="102E3B"/>
          <w:sz w:val="20"/>
          <w:szCs w:val="20"/>
        </w:rPr>
        <w:t xml:space="preserve">Las compras por encima de ciertos importes necesitan cotizaciones o una licitación, según lo establecido en nuestra Política de Compras y Contrataciones.</w:t>
      </w:r>
    </w:p>
    <w:p>
      <w:pPr>
        <w:pStyle w:val="ListParagraph"/>
        <w:numPr>
          <w:ilvl w:val="0"/>
          <w:numId w:val="4"/>
        </w:numPr>
        <w:spacing w:after="80" w:line="290"/>
      </w:pPr>
      <w:r>
        <w:rPr>
          <w:rFonts w:ascii="Nunito Sans" w:cs="Nunito Sans" w:eastAsia="Nunito Sans" w:hAnsi="Nunito Sans"/>
          <w:color w:val="102E3B"/>
          <w:sz w:val="20"/>
          <w:szCs w:val="20"/>
        </w:rPr>
        <w:t xml:space="preserve">Pagamos a los proveedores por transferencia bancaria o dinero móvil a una cuenta a su propio nombre. Pagamos en efectivo solo cuando no hay otra opción práctica.</w:t>
      </w:r>
    </w:p>
    <w:p>
      <w:pPr>
        <w:pStyle w:val="ListParagraph"/>
        <w:numPr>
          <w:ilvl w:val="0"/>
          <w:numId w:val="4"/>
        </w:numPr>
        <w:spacing w:after="80" w:line="290"/>
      </w:pPr>
      <w:r>
        <w:rPr>
          <w:rFonts w:ascii="Nunito Sans" w:cs="Nunito Sans" w:eastAsia="Nunito Sans" w:hAnsi="Nunito Sans"/>
          <w:color w:val="102E3B"/>
          <w:sz w:val="20"/>
          <w:szCs w:val="20"/>
        </w:rPr>
        <w:t xml:space="preserve">Antes de pagar a unos datos bancarios nuevos, o modificados, los confirmamos llamando al proveedor a un número que ya tenemos, no a uno indicado en el correo electrónico. Los estafadores suelen enviar datos bancarios falsos por correo electrónico.</w:t>
      </w:r>
    </w:p>
    <w:p>
      <w:pPr>
        <w:pStyle w:val="ListParagraph"/>
        <w:numPr>
          <w:ilvl w:val="0"/>
          <w:numId w:val="4"/>
        </w:numPr>
        <w:spacing w:after="80" w:line="290"/>
      </w:pPr>
      <w:r>
        <w:rPr>
          <w:rFonts w:ascii="Nunito Sans" w:cs="Nunito Sans" w:eastAsia="Nunito Sans" w:hAnsi="Nunito Sans"/>
          <w:color w:val="102E3B"/>
          <w:sz w:val="20"/>
          <w:szCs w:val="20"/>
        </w:rPr>
        <w:t xml:space="preserve">Los gastos de viaje, los viáticos y las solicitudes de reembolso de gastos siguen nuestra Política de Gastos y Viáticos.</w:t>
      </w:r>
    </w:p>
    <w:p>
      <w:pPr>
        <w:pStyle w:val="ListParagraph"/>
        <w:numPr>
          <w:ilvl w:val="0"/>
          <w:numId w:val="4"/>
        </w:numPr>
        <w:spacing w:after="80" w:line="290"/>
      </w:pPr>
      <w:r>
        <w:rPr>
          <w:rFonts w:ascii="Nunito Sans" w:cs="Nunito Sans" w:eastAsia="Nunito Sans" w:hAnsi="Nunito Sans"/>
          <w:color w:val="102E3B"/>
          <w:sz w:val="20"/>
          <w:szCs w:val="20"/>
        </w:rPr>
        <w:t xml:space="preserve">Los anticipos al personal para actividades se registran, se aprueban y se justifican (liquidan) en un plazo de </w:t>
      </w:r>
      <w:r>
        <w:rPr>
          <w:rFonts w:ascii="Nunito Sans" w:cs="Nunito Sans" w:eastAsia="Nunito Sans" w:hAnsi="Nunito Sans"/>
          <w:color w:val="102E3B"/>
          <w:sz w:val="20"/>
          <w:szCs w:val="20"/>
          <w:highlight w:val="yellow"/>
        </w:rPr>
        <w:t xml:space="preserve">[5 días hábiles]</w:t>
      </w:r>
      <w:r>
        <w:rPr>
          <w:rFonts w:ascii="Nunito Sans" w:cs="Nunito Sans" w:eastAsia="Nunito Sans" w:hAnsi="Nunito Sans"/>
          <w:color w:val="102E3B"/>
          <w:sz w:val="20"/>
          <w:szCs w:val="20"/>
        </w:rPr>
        <w:t xml:space="preserve"> desde el final de la actividad o del viaje, como establece nuestra Política de Gastos y Viáticos, con los recibos y la devolución del efectivo no gastado. No se entrega un nuevo anticipo hasta que se haya justificado el anterior.</w:t>
      </w:r>
    </w:p>
    <w:p>
      <w:pPr>
        <w:pStyle w:val="Heading2"/>
        <w:keepNext/>
        <w:spacing w:after="120" w:before="280"/>
      </w:pPr>
      <w:r>
        <w:rPr>
          <w:rFonts w:ascii="DM Serif Display" w:cs="DM Serif Display" w:eastAsia="DM Serif Display" w:hAnsi="DM Serif Display"/>
          <w:color w:val="123C48"/>
          <w:sz w:val="28"/>
          <w:szCs w:val="28"/>
        </w:rPr>
        <w:t xml:space="preserve">5. Efectivo y caja chica</w:t>
      </w:r>
    </w:p>
    <w:p>
      <w:pPr>
        <w:pStyle w:val="ListParagraph"/>
        <w:numPr>
          <w:ilvl w:val="0"/>
          <w:numId w:val="3"/>
        </w:numPr>
        <w:spacing w:after="80" w:line="290"/>
      </w:pPr>
      <w:r>
        <w:rPr>
          <w:rFonts w:ascii="Nunito Sans" w:cs="Nunito Sans" w:eastAsia="Nunito Sans" w:hAnsi="Nunito Sans"/>
          <w:color w:val="102E3B"/>
          <w:sz w:val="20"/>
          <w:szCs w:val="20"/>
        </w:rPr>
        <w:t xml:space="preserve">Mantenemos el menor efectivo posible. El fondo de caja chica no supera los </w:t>
      </w:r>
      <w:r>
        <w:rPr>
          <w:rFonts w:ascii="Nunito Sans" w:cs="Nunito Sans" w:eastAsia="Nunito Sans" w:hAnsi="Nunito Sans"/>
          <w:color w:val="102E3B"/>
          <w:sz w:val="20"/>
          <w:szCs w:val="20"/>
          <w:highlight w:val="yellow"/>
        </w:rPr>
        <w:t xml:space="preserve">[300 USD]</w:t>
      </w:r>
      <w:r>
        <w:rPr>
          <w:rFonts w:ascii="Nunito Sans" w:cs="Nunito Sans" w:eastAsia="Nunito Sans" w:hAnsi="Nunito Sans"/>
          <w:color w:val="102E3B"/>
          <w:sz w:val="20"/>
          <w:szCs w:val="20"/>
        </w:rPr>
        <w:t xml:space="preserve"> y lo guarda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en una caja cerrada con llave.</w:t>
      </w:r>
    </w:p>
    <w:p>
      <w:pPr>
        <w:pStyle w:val="ListParagraph"/>
        <w:numPr>
          <w:ilvl w:val="0"/>
          <w:numId w:val="3"/>
        </w:numPr>
        <w:spacing w:after="80" w:line="290"/>
      </w:pPr>
      <w:r>
        <w:rPr>
          <w:rFonts w:ascii="Nunito Sans" w:cs="Nunito Sans" w:eastAsia="Nunito Sans" w:hAnsi="Nunito Sans"/>
          <w:color w:val="102E3B"/>
          <w:sz w:val="20"/>
          <w:szCs w:val="20"/>
        </w:rPr>
        <w:t xml:space="preserve">Cada pago individual de caja chica no supera los </w:t>
      </w:r>
      <w:r>
        <w:rPr>
          <w:rFonts w:ascii="Nunito Sans" w:cs="Nunito Sans" w:eastAsia="Nunito Sans" w:hAnsi="Nunito Sans"/>
          <w:color w:val="102E3B"/>
          <w:sz w:val="20"/>
          <w:szCs w:val="20"/>
          <w:highlight w:val="yellow"/>
        </w:rPr>
        <w:t xml:space="preserve">[50 USD]</w:t>
      </w:r>
      <w:r>
        <w:rPr>
          <w:rFonts w:ascii="Nunito Sans" w:cs="Nunito Sans" w:eastAsia="Nunito Sans" w:hAnsi="Nunito Sans"/>
          <w:color w:val="102E3B"/>
          <w:sz w:val="20"/>
          <w:szCs w:val="20"/>
        </w:rPr>
        <w:t xml:space="preserve">. Los importes mayores se pagan por transferencia.</w:t>
      </w:r>
    </w:p>
    <w:p>
      <w:pPr>
        <w:pStyle w:val="ListParagraph"/>
        <w:numPr>
          <w:ilvl w:val="0"/>
          <w:numId w:val="3"/>
        </w:numPr>
        <w:spacing w:after="80" w:line="290"/>
      </w:pPr>
      <w:r>
        <w:rPr>
          <w:rFonts w:ascii="Nunito Sans" w:cs="Nunito Sans" w:eastAsia="Nunito Sans" w:hAnsi="Nunito Sans"/>
          <w:color w:val="102E3B"/>
          <w:sz w:val="20"/>
          <w:szCs w:val="20"/>
        </w:rPr>
        <w:t xml:space="preserve">Cada pago de caja chica tiene un recibo o un comprobante firmado.</w:t>
      </w:r>
    </w:p>
    <w:p>
      <w:pPr>
        <w:pStyle w:val="ListParagraph"/>
        <w:numPr>
          <w:ilvl w:val="0"/>
          <w:numId w:val="3"/>
        </w:numPr>
        <w:spacing w:after="80" w:line="290"/>
      </w:pPr>
      <w:r>
        <w:rPr>
          <w:rFonts w:ascii="Nunito Sans" w:cs="Nunito Sans" w:eastAsia="Nunito Sans" w:hAnsi="Nunito Sans"/>
          <w:color w:val="102E3B"/>
          <w:sz w:val="20"/>
          <w:szCs w:val="20"/>
        </w:rPr>
        <w:t xml:space="preserve">Reponemos el fondo solo hasta su nivel fijo, contra los recibos de lo gastado (esto se llama sistema de fondo fijo).</w:t>
      </w:r>
    </w:p>
    <w:p>
      <w:pPr>
        <w:pStyle w:val="ListParagraph"/>
        <w:numPr>
          <w:ilvl w:val="0"/>
          <w:numId w:val="3"/>
        </w:numPr>
        <w:spacing w:after="80" w:line="290"/>
      </w:pPr>
      <w:r>
        <w:rPr>
          <w:rFonts w:ascii="Nunito Sans" w:cs="Nunito Sans" w:eastAsia="Nunito Sans" w:hAnsi="Nunito Sans"/>
          <w:color w:val="102E3B"/>
          <w:sz w:val="20"/>
          <w:szCs w:val="20"/>
        </w:rPr>
        <w:t xml:space="preserve">La caja chica se cuenta y se concilia al menos </w:t>
      </w:r>
      <w:r>
        <w:rPr>
          <w:rFonts w:ascii="Nunito Sans" w:cs="Nunito Sans" w:eastAsia="Nunito Sans" w:hAnsi="Nunito Sans"/>
          <w:color w:val="102E3B"/>
          <w:sz w:val="20"/>
          <w:szCs w:val="20"/>
          <w:highlight w:val="yellow"/>
        </w:rPr>
        <w:t xml:space="preserve">[mensualmente]</w:t>
      </w:r>
      <w:r>
        <w:rPr>
          <w:rFonts w:ascii="Nunito Sans" w:cs="Nunito Sans" w:eastAsia="Nunito Sans" w:hAnsi="Nunito Sans"/>
          <w:color w:val="102E3B"/>
          <w:sz w:val="20"/>
          <w:szCs w:val="20"/>
        </w:rPr>
        <w:t xml:space="preserve">, y el arqueo lo firman la persona que custodia el efectivo y una segunda persona. La persona tesorera o la persona directora hacen un arqueo sorpresa al menos </w:t>
      </w:r>
      <w:r>
        <w:rPr>
          <w:rFonts w:ascii="Nunito Sans" w:cs="Nunito Sans" w:eastAsia="Nunito Sans" w:hAnsi="Nunito Sans"/>
          <w:color w:val="102E3B"/>
          <w:sz w:val="20"/>
          <w:szCs w:val="20"/>
          <w:highlight w:val="yellow"/>
        </w:rPr>
        <w:t xml:space="preserve">[dos veces al año]</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El efectivo recibido, por ejemplo en eventos, lo cuentan dos personas, se registra y se deposita en el banco en un plazo de </w:t>
      </w:r>
      <w:r>
        <w:rPr>
          <w:rFonts w:ascii="Nunito Sans" w:cs="Nunito Sans" w:eastAsia="Nunito Sans" w:hAnsi="Nunito Sans"/>
          <w:color w:val="102E3B"/>
          <w:sz w:val="20"/>
          <w:szCs w:val="20"/>
          <w:highlight w:val="yellow"/>
        </w:rPr>
        <w:t xml:space="preserve">[3 días hábiles]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El efectivo que se lleva para actividades de campo se limita al mínimo necesario, se reparte entre varias personas cuando es seguro y se registra cuando se entrega y cuando se devuelve.</w:t>
      </w:r>
    </w:p>
    <w:p>
      <w:pPr>
        <w:pStyle w:val="Heading2"/>
        <w:keepNext/>
        <w:spacing w:after="120" w:before="280"/>
      </w:pPr>
      <w:r>
        <w:rPr>
          <w:rFonts w:ascii="DM Serif Display" w:cs="DM Serif Display" w:eastAsia="DM Serif Display" w:hAnsi="DM Serif Display"/>
          <w:color w:val="123C48"/>
          <w:sz w:val="28"/>
          <w:szCs w:val="28"/>
        </w:rPr>
        <w:t xml:space="preserve">6. Dinero móvil</w:t>
      </w:r>
    </w:p>
    <w:p>
      <w:pPr>
        <w:spacing w:after="120" w:before="0" w:line="300"/>
      </w:pPr>
      <w:r>
        <w:rPr>
          <w:rFonts w:ascii="Nunito Sans" w:cs="Nunito Sans" w:eastAsia="Nunito Sans" w:hAnsi="Nunito Sans"/>
          <w:color w:val="102E3B"/>
          <w:sz w:val="20"/>
          <w:szCs w:val="20"/>
        </w:rPr>
        <w:t xml:space="preserve">El dinero móvil suele ser la forma más segura, rápida y transparente de pagar a las personas de las comunidades a las que servimos. Lo usamos con estas normas:</w:t>
      </w:r>
    </w:p>
    <w:p>
      <w:pPr>
        <w:pStyle w:val="ListParagraph"/>
        <w:numPr>
          <w:ilvl w:val="0"/>
          <w:numId w:val="3"/>
        </w:numPr>
        <w:spacing w:after="80" w:line="290"/>
      </w:pPr>
      <w:r>
        <w:rPr>
          <w:rFonts w:ascii="Nunito Sans" w:cs="Nunito Sans" w:eastAsia="Nunito Sans" w:hAnsi="Nunito Sans"/>
          <w:color w:val="102E3B"/>
          <w:sz w:val="20"/>
          <w:szCs w:val="20"/>
        </w:rPr>
        <w:t xml:space="preserve">Las cuentas de dinero móvil están registradas a nombre de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como cuenta empresarial o de organización, nunca en el número personal de un miembro del personal.</w:t>
      </w:r>
    </w:p>
    <w:p>
      <w:pPr>
        <w:pStyle w:val="ListParagraph"/>
        <w:numPr>
          <w:ilvl w:val="0"/>
          <w:numId w:val="3"/>
        </w:numPr>
        <w:spacing w:after="80" w:line="290"/>
      </w:pPr>
      <w:r>
        <w:rPr>
          <w:rFonts w:ascii="Nunito Sans" w:cs="Nunito Sans" w:eastAsia="Nunito Sans" w:hAnsi="Nunito Sans"/>
          <w:color w:val="102E3B"/>
          <w:sz w:val="20"/>
          <w:szCs w:val="20"/>
        </w:rPr>
        <w:t xml:space="preserve">Cuando el proveedor lo permite, los pagos necesitan una segunda persona que apruebe. Los PIN nunca se comparten.</w:t>
      </w:r>
    </w:p>
    <w:p>
      <w:pPr>
        <w:pStyle w:val="ListParagraph"/>
        <w:numPr>
          <w:ilvl w:val="0"/>
          <w:numId w:val="3"/>
        </w:numPr>
        <w:spacing w:after="80" w:line="290"/>
      </w:pPr>
      <w:r>
        <w:rPr>
          <w:rFonts w:ascii="Nunito Sans" w:cs="Nunito Sans" w:eastAsia="Nunito Sans" w:hAnsi="Nunito Sans"/>
          <w:color w:val="102E3B"/>
          <w:sz w:val="20"/>
          <w:szCs w:val="20"/>
        </w:rPr>
        <w:t xml:space="preserve">Mantenemos un registro de cada pago: fecha, persona destinataria, número de teléfono, importe, finalidad y partida presupuestaria, vinculado a una lista firmada u otra prueba.</w:t>
      </w:r>
    </w:p>
    <w:p>
      <w:pPr>
        <w:pStyle w:val="ListParagraph"/>
        <w:numPr>
          <w:ilvl w:val="0"/>
          <w:numId w:val="3"/>
        </w:numPr>
        <w:spacing w:after="80" w:line="290"/>
      </w:pPr>
      <w:r>
        <w:rPr>
          <w:rFonts w:ascii="Nunito Sans" w:cs="Nunito Sans" w:eastAsia="Nunito Sans" w:hAnsi="Nunito Sans"/>
          <w:color w:val="102E3B"/>
          <w:sz w:val="20"/>
          <w:szCs w:val="20"/>
        </w:rPr>
        <w:t xml:space="preserve">Descargamos el extracto completo al menos </w:t>
      </w:r>
      <w:r>
        <w:rPr>
          <w:rFonts w:ascii="Nunito Sans" w:cs="Nunito Sans" w:eastAsia="Nunito Sans" w:hAnsi="Nunito Sans"/>
          <w:color w:val="102E3B"/>
          <w:sz w:val="20"/>
          <w:szCs w:val="20"/>
          <w:highlight w:val="yellow"/>
        </w:rPr>
        <w:t xml:space="preserve">[mensualmente]</w:t>
      </w:r>
      <w:r>
        <w:rPr>
          <w:rFonts w:ascii="Nunito Sans" w:cs="Nunito Sans" w:eastAsia="Nunito Sans" w:hAnsi="Nunito Sans"/>
          <w:color w:val="102E3B"/>
          <w:sz w:val="20"/>
          <w:szCs w:val="20"/>
        </w:rPr>
        <w:t xml:space="preserve"> y lo conciliamos con nuestros registros, como una cuenta bancaria.</w:t>
      </w:r>
    </w:p>
    <w:p>
      <w:pPr>
        <w:pStyle w:val="ListParagraph"/>
        <w:numPr>
          <w:ilvl w:val="0"/>
          <w:numId w:val="3"/>
        </w:numPr>
        <w:spacing w:after="80" w:line="290"/>
      </w:pPr>
      <w:r>
        <w:rPr>
          <w:rFonts w:ascii="Nunito Sans" w:cs="Nunito Sans" w:eastAsia="Nunito Sans" w:hAnsi="Nunito Sans"/>
          <w:color w:val="102E3B"/>
          <w:sz w:val="20"/>
          <w:szCs w:val="20"/>
        </w:rPr>
        <w:t xml:space="preserve">Las transferencias entre cuentas de dinero móvil y cuentas bancarias se registran en ambos lados.</w:t>
      </w:r>
    </w:p>
    <w:p>
      <w:pPr>
        <w:pStyle w:val="ListParagraph"/>
        <w:numPr>
          <w:ilvl w:val="0"/>
          <w:numId w:val="3"/>
        </w:numPr>
        <w:spacing w:after="80" w:line="290"/>
      </w:pPr>
      <w:r>
        <w:rPr>
          <w:rFonts w:ascii="Nunito Sans" w:cs="Nunito Sans" w:eastAsia="Nunito Sans" w:hAnsi="Nunito Sans"/>
          <w:color w:val="102E3B"/>
          <w:sz w:val="20"/>
          <w:szCs w:val="20"/>
        </w:rPr>
        <w:t xml:space="preserve">Registramos las comisiones por transacción como un costo y las incluimos en los presupuestos.</w:t>
      </w:r>
    </w:p>
    <w:p>
      <w:pPr>
        <w:pStyle w:val="ListParagraph"/>
        <w:numPr>
          <w:ilvl w:val="0"/>
          <w:numId w:val="3"/>
        </w:numPr>
        <w:spacing w:after="80" w:line="290"/>
      </w:pPr>
      <w:r>
        <w:rPr>
          <w:rFonts w:ascii="Nunito Sans" w:cs="Nunito Sans" w:eastAsia="Nunito Sans" w:hAnsi="Nunito Sans"/>
          <w:color w:val="102E3B"/>
          <w:sz w:val="20"/>
          <w:szCs w:val="20"/>
        </w:rPr>
        <w:t xml:space="preserve">Si alguna vez un miembro del personal debe recibir fondos en su número personal en una emergencia, la persona directora lo aprueba por escrito y por adelantado, y el miembro del personal presenta un extracto y los recibos en un plazo de </w:t>
      </w:r>
      <w:r>
        <w:rPr>
          <w:rFonts w:ascii="Nunito Sans" w:cs="Nunito Sans" w:eastAsia="Nunito Sans" w:hAnsi="Nunito Sans"/>
          <w:color w:val="102E3B"/>
          <w:sz w:val="20"/>
          <w:szCs w:val="20"/>
          <w:highlight w:val="yellow"/>
        </w:rPr>
        <w:t xml:space="preserve">[3 días hábiles]</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7. Recibos y pruebas</w:t>
      </w:r>
    </w:p>
    <w:p>
      <w:pPr>
        <w:spacing w:after="120" w:before="0" w:line="300"/>
      </w:pPr>
      <w:r>
        <w:rPr>
          <w:rFonts w:ascii="Nunito Sans" w:cs="Nunito Sans" w:eastAsia="Nunito Sans" w:hAnsi="Nunito Sans"/>
          <w:color w:val="102E3B"/>
          <w:sz w:val="20"/>
          <w:szCs w:val="20"/>
        </w:rPr>
        <w:t xml:space="preserve">Cada pago necesita pruebas de que fue real, se aprobó y era para nuestro trabajo. Aceptamos:</w:t>
      </w:r>
    </w:p>
    <w:p>
      <w:pPr>
        <w:pStyle w:val="ListParagraph"/>
        <w:numPr>
          <w:ilvl w:val="0"/>
          <w:numId w:val="3"/>
        </w:numPr>
        <w:spacing w:after="80" w:line="290"/>
      </w:pPr>
      <w:r>
        <w:rPr>
          <w:rFonts w:ascii="Nunito Sans" w:cs="Nunito Sans" w:eastAsia="Nunito Sans" w:hAnsi="Nunito Sans"/>
          <w:color w:val="102E3B"/>
          <w:sz w:val="20"/>
          <w:szCs w:val="20"/>
        </w:rPr>
        <w:t xml:space="preserve">la factura y el recibo de un proveedor, con su nombre, la fecha, los artículos y el importe;</w:t>
      </w:r>
    </w:p>
    <w:p>
      <w:pPr>
        <w:pStyle w:val="ListParagraph"/>
        <w:numPr>
          <w:ilvl w:val="0"/>
          <w:numId w:val="3"/>
        </w:numPr>
        <w:spacing w:after="80" w:line="290"/>
      </w:pPr>
      <w:r>
        <w:rPr>
          <w:rFonts w:ascii="Nunito Sans" w:cs="Nunito Sans" w:eastAsia="Nunito Sans" w:hAnsi="Nunito Sans"/>
          <w:color w:val="102E3B"/>
          <w:sz w:val="20"/>
          <w:szCs w:val="20"/>
        </w:rPr>
        <w:t xml:space="preserve">para compras pequeñas sin recibo disponible, como el transporte local o productos de mercado, un comprobante de pago firmado por la persona que pagó y aprobado por su responsable, que explique por qué no hay recibo;</w:t>
      </w:r>
    </w:p>
    <w:p>
      <w:pPr>
        <w:pStyle w:val="ListParagraph"/>
        <w:numPr>
          <w:ilvl w:val="0"/>
          <w:numId w:val="3"/>
        </w:numPr>
        <w:spacing w:after="80" w:line="290"/>
      </w:pPr>
      <w:r>
        <w:rPr>
          <w:rFonts w:ascii="Nunito Sans" w:cs="Nunito Sans" w:eastAsia="Nunito Sans" w:hAnsi="Nunito Sans"/>
          <w:color w:val="102E3B"/>
          <w:sz w:val="20"/>
          <w:szCs w:val="20"/>
        </w:rPr>
        <w:t xml:space="preserve">para el efectivo o el dinero móvil pagado a participantes, como reembolsos de transporte o estipendios, una lista de todas las personas que recibieron un pago con su nombre, importe, fecha y firma o huella dactilar, la firma de un testigo y la lista de asistencia de la actividad.</w:t>
      </w:r>
    </w:p>
    <w:p>
      <w:pPr>
        <w:spacing w:after="120" w:before="0" w:line="300"/>
      </w:pPr>
      <w:r>
        <w:rPr>
          <w:rFonts w:ascii="Nunito Sans" w:cs="Nunito Sans" w:eastAsia="Nunito Sans" w:hAnsi="Nunito Sans"/>
          <w:color w:val="102E3B"/>
          <w:sz w:val="20"/>
          <w:szCs w:val="20"/>
        </w:rPr>
        <w:t xml:space="preserve">Los recibos fotocopiados, alterados o escritos a mano cuando lo normal es que sean impresos son señales de alerta. Les damos seguimiento, según lo establecido en nuestra Política y Procedimiento contra el Fraude, el Soborno y la Corrupción.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PAGOS A PARTICIPANTES</w:t>
            </w:r>
          </w:p>
          <w:p>
            <w:pPr>
              <w:spacing w:after="120" w:before="0" w:line="300"/>
            </w:pPr>
            <w:r>
              <w:rPr>
                <w:rFonts w:ascii="Nunito Sans" w:cs="Nunito Sans" w:eastAsia="Nunito Sans" w:hAnsi="Nunito Sans"/>
                <w:color w:val="102E3B"/>
                <w:sz w:val="19"/>
                <w:szCs w:val="19"/>
              </w:rPr>
              <w:t xml:space="preserve">Fija normas que respeten la dignidad y la privacidad de las personas. Recoge en las listas de pago solo la información que necesitas, y guárdalas de forma segura conforme a tu Política de Protección de Datos. Cuando las personas no puedan firmar, usa una huella dactilar o un testigo. Revisa las normas de los financiadores: algunos fijan límites a los pagos a participantes o exigen un formulario específico. En algunos países, los pagos a personas individuales por encima de cierto importe deben declararse a efectos fiscales. Consulta tus normas tributarias locales.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8. Ingresos</w:t>
      </w:r>
    </w:p>
    <w:p>
      <w:pPr>
        <w:pStyle w:val="ListParagraph"/>
        <w:numPr>
          <w:ilvl w:val="0"/>
          <w:numId w:val="3"/>
        </w:numPr>
        <w:spacing w:after="80" w:line="290"/>
      </w:pPr>
      <w:r>
        <w:rPr>
          <w:rFonts w:ascii="Nunito Sans" w:cs="Nunito Sans" w:eastAsia="Nunito Sans" w:hAnsi="Nunito Sans"/>
          <w:color w:val="102E3B"/>
          <w:sz w:val="20"/>
          <w:szCs w:val="20"/>
        </w:rPr>
        <w:t xml:space="preserve">Registramos en nuestra contabilidad todos los ingresos, de cualquier origen.</w:t>
      </w:r>
    </w:p>
    <w:p>
      <w:pPr>
        <w:pStyle w:val="ListParagraph"/>
        <w:numPr>
          <w:ilvl w:val="0"/>
          <w:numId w:val="3"/>
        </w:numPr>
        <w:spacing w:after="80" w:line="290"/>
      </w:pPr>
      <w:r>
        <w:rPr>
          <w:rFonts w:ascii="Nunito Sans" w:cs="Nunito Sans" w:eastAsia="Nunito Sans" w:hAnsi="Nunito Sans"/>
          <w:color w:val="102E3B"/>
          <w:sz w:val="20"/>
          <w:szCs w:val="20"/>
        </w:rPr>
        <w:t xml:space="preserve">Los acuerdos de subvención los firman las personas designadas en la Matriz de Delegación de Autoridad y se anotan en un registro de subvenciones con el importe, el periodo, las restricciones y las fechas de presentación de informes.</w:t>
      </w:r>
    </w:p>
    <w:p>
      <w:pPr>
        <w:pStyle w:val="ListParagraph"/>
        <w:numPr>
          <w:ilvl w:val="0"/>
          <w:numId w:val="3"/>
        </w:numPr>
        <w:spacing w:after="80" w:line="290"/>
      </w:pPr>
      <w:r>
        <w:rPr>
          <w:rFonts w:ascii="Nunito Sans" w:cs="Nunito Sans" w:eastAsia="Nunito Sans" w:hAnsi="Nunito Sans"/>
          <w:color w:val="102E3B"/>
          <w:sz w:val="20"/>
          <w:szCs w:val="20"/>
        </w:rPr>
        <w:t xml:space="preserve">Las donaciones siguen nuestra Política de Aceptación de Regalos y Donaciones. Emitimos recibos cuando la ley o la persona donante lo exigen.</w:t>
      </w:r>
    </w:p>
    <w:p>
      <w:pPr>
        <w:pStyle w:val="ListParagraph"/>
        <w:numPr>
          <w:ilvl w:val="0"/>
          <w:numId w:val="3"/>
        </w:numPr>
        <w:spacing w:after="80" w:line="290"/>
      </w:pPr>
      <w:r>
        <w:rPr>
          <w:rFonts w:ascii="Nunito Sans" w:cs="Nunito Sans" w:eastAsia="Nunito Sans" w:hAnsi="Nunito Sans"/>
          <w:color w:val="102E3B"/>
          <w:sz w:val="20"/>
          <w:szCs w:val="20"/>
        </w:rPr>
        <w:t xml:space="preserve">Los ingresos por ventas o servicios se facturan con prontitud y se reclaman cuando están vencidos.</w:t>
      </w:r>
    </w:p>
    <w:p>
      <w:pPr>
        <w:pStyle w:val="Heading2"/>
        <w:keepNext/>
        <w:spacing w:after="120" w:before="280"/>
      </w:pPr>
      <w:r>
        <w:rPr>
          <w:rFonts w:ascii="DM Serif Display" w:cs="DM Serif Display" w:eastAsia="DM Serif Display" w:hAnsi="DM Serif Display"/>
          <w:color w:val="123C48"/>
          <w:sz w:val="28"/>
          <w:szCs w:val="28"/>
        </w:rPr>
        <w:t xml:space="preserve">9. Nómina</w:t>
      </w:r>
    </w:p>
    <w:p>
      <w:pPr>
        <w:pStyle w:val="ListParagraph"/>
        <w:numPr>
          <w:ilvl w:val="0"/>
          <w:numId w:val="3"/>
        </w:numPr>
        <w:spacing w:after="80" w:line="290"/>
      </w:pPr>
      <w:r>
        <w:rPr>
          <w:rFonts w:ascii="Nunito Sans" w:cs="Nunito Sans" w:eastAsia="Nunito Sans" w:hAnsi="Nunito Sans"/>
          <w:color w:val="102E3B"/>
          <w:sz w:val="20"/>
          <w:szCs w:val="20"/>
        </w:rPr>
        <w:t xml:space="preserve">Todas las personas a las que pagamos un salario tienen un contrato por escrito y un expediente personal.</w:t>
      </w:r>
    </w:p>
    <w:p>
      <w:pPr>
        <w:pStyle w:val="ListParagraph"/>
        <w:numPr>
          <w:ilvl w:val="0"/>
          <w:numId w:val="3"/>
        </w:numPr>
        <w:spacing w:after="80" w:line="290"/>
      </w:pPr>
      <w:r>
        <w:rPr>
          <w:rFonts w:ascii="Nunito Sans" w:cs="Nunito Sans" w:eastAsia="Nunito Sans" w:hAnsi="Nunito Sans"/>
          <w:color w:val="102E3B"/>
          <w:sz w:val="20"/>
          <w:szCs w:val="20"/>
        </w:rPr>
        <w:t xml:space="preserve">Las tarifas salariales y sus cambios se aprueban según lo establecido en la Matriz de Delegación de Autoridad. Nadie aprueba su propio salario.</w:t>
      </w:r>
    </w:p>
    <w:p>
      <w:pPr>
        <w:pStyle w:val="ListParagraph"/>
        <w:numPr>
          <w:ilvl w:val="0"/>
          <w:numId w:val="3"/>
        </w:numPr>
        <w:spacing w:after="80" w:line="290"/>
      </w:pPr>
      <w:r>
        <w:rPr>
          <w:rFonts w:ascii="Nunito Sans" w:cs="Nunito Sans" w:eastAsia="Nunito Sans" w:hAnsi="Nunito Sans"/>
          <w:color w:val="102E3B"/>
          <w:sz w:val="20"/>
          <w:szCs w:val="20"/>
        </w:rPr>
        <w:t xml:space="preserve">La nómina la prepara </w:t>
      </w:r>
      <w:r>
        <w:rPr>
          <w:rFonts w:ascii="Nunito Sans" w:cs="Nunito Sans" w:eastAsia="Nunito Sans" w:hAnsi="Nunito Sans"/>
          <w:color w:val="102E3B"/>
          <w:sz w:val="20"/>
          <w:szCs w:val="20"/>
          <w:highlight w:val="yellow"/>
        </w:rPr>
        <w:t xml:space="preserve">[Nombre, cargo / proveedor de nómina]</w:t>
      </w:r>
      <w:r>
        <w:rPr>
          <w:rFonts w:ascii="Nunito Sans" w:cs="Nunito Sans" w:eastAsia="Nunito Sans" w:hAnsi="Nunito Sans"/>
          <w:color w:val="102E3B"/>
          <w:sz w:val="20"/>
          <w:szCs w:val="20"/>
        </w:rPr>
        <w:t xml:space="preserve"> y una segunda persona la aprueba antes del pago.</w:t>
      </w:r>
    </w:p>
    <w:p>
      <w:pPr>
        <w:pStyle w:val="ListParagraph"/>
        <w:numPr>
          <w:ilvl w:val="0"/>
          <w:numId w:val="3"/>
        </w:numPr>
        <w:spacing w:after="80" w:line="290"/>
      </w:pPr>
      <w:r>
        <w:rPr>
          <w:rFonts w:ascii="Nunito Sans" w:cs="Nunito Sans" w:eastAsia="Nunito Sans" w:hAnsi="Nunito Sans"/>
          <w:color w:val="102E3B"/>
          <w:sz w:val="20"/>
          <w:szCs w:val="20"/>
        </w:rPr>
        <w:t xml:space="preserve">Retenemos y pagamos a tiempo el impuesto sobre la renta, la seguridad social y las demás cotizaciones obligatorias, según exige la ley de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Los salarios se pagan por transferencia bancaria o dinero móvil, nunca en efectivo, salvo que la persona directora apruebe una excepción por escrito.</w:t>
      </w:r>
    </w:p>
    <w:p>
      <w:pPr>
        <w:pStyle w:val="ListParagraph"/>
        <w:numPr>
          <w:ilvl w:val="0"/>
          <w:numId w:val="3"/>
        </w:numPr>
        <w:spacing w:after="80" w:line="290"/>
      </w:pPr>
      <w:r>
        <w:rPr>
          <w:rFonts w:ascii="Nunito Sans" w:cs="Nunito Sans" w:eastAsia="Nunito Sans" w:hAnsi="Nunito Sans"/>
          <w:color w:val="102E3B"/>
          <w:sz w:val="20"/>
          <w:szCs w:val="20"/>
        </w:rPr>
        <w:t xml:space="preserve">El personal cuyo tiempo se imputa a una subvención completa hojas de horas, aprobadas por su responsable, para que podamos demostrar el tiempo dedicado.</w:t>
      </w:r>
    </w:p>
    <w:p>
      <w:pPr>
        <w:pStyle w:val="ListParagraph"/>
        <w:numPr>
          <w:ilvl w:val="0"/>
          <w:numId w:val="3"/>
        </w:numPr>
        <w:spacing w:after="80" w:line="290"/>
      </w:pPr>
      <w:r>
        <w:rPr>
          <w:rFonts w:ascii="Nunito Sans" w:cs="Nunito Sans" w:eastAsia="Nunito Sans" w:hAnsi="Nunito Sans"/>
          <w:color w:val="102E3B"/>
          <w:sz w:val="20"/>
          <w:szCs w:val="20"/>
        </w:rPr>
        <w:t xml:space="preserve">Cuando alguien se va, lo damos de baja de la nómina a partir de su último día de trabajo.</w:t>
      </w:r>
    </w:p>
    <w:p>
      <w:pPr>
        <w:pStyle w:val="Heading2"/>
        <w:keepNext/>
        <w:spacing w:after="120" w:before="280"/>
      </w:pPr>
      <w:r>
        <w:rPr>
          <w:rFonts w:ascii="DM Serif Display" w:cs="DM Serif Display" w:eastAsia="DM Serif Display" w:hAnsi="DM Serif Display"/>
          <w:color w:val="123C48"/>
          <w:sz w:val="28"/>
          <w:szCs w:val="28"/>
        </w:rPr>
        <w:t xml:space="preserve">10. Conciliaciones mensuales</w:t>
      </w:r>
    </w:p>
    <w:p>
      <w:pPr>
        <w:spacing w:after="120" w:before="0" w:line="300"/>
      </w:pPr>
      <w:r>
        <w:rPr>
          <w:rFonts w:ascii="Nunito Sans" w:cs="Nunito Sans" w:eastAsia="Nunito Sans" w:hAnsi="Nunito Sans"/>
          <w:color w:val="102E3B"/>
          <w:sz w:val="20"/>
          <w:szCs w:val="20"/>
        </w:rPr>
        <w:t xml:space="preserve">A más tardar el </w:t>
      </w:r>
      <w:r>
        <w:rPr>
          <w:rFonts w:ascii="Nunito Sans" w:cs="Nunito Sans" w:eastAsia="Nunito Sans" w:hAnsi="Nunito Sans"/>
          <w:color w:val="102E3B"/>
          <w:sz w:val="20"/>
          <w:szCs w:val="20"/>
          <w:highlight w:val="yellow"/>
        </w:rPr>
        <w:t xml:space="preserve">[10.º]</w:t>
      </w:r>
      <w:r>
        <w:rPr>
          <w:rFonts w:ascii="Nunito Sans" w:cs="Nunito Sans" w:eastAsia="Nunito Sans" w:hAnsi="Nunito Sans"/>
          <w:color w:val="102E3B"/>
          <w:sz w:val="20"/>
          <w:szCs w:val="20"/>
        </w:rPr>
        <w:t xml:space="preserve"> día hábil de cada mes, la persona responsable de finanzas concilia cada cuenta bancaria, cada cuenta de dinero móvil y cada fondo de efectivo con nuestros registros. Conciliar significa comprobar que nuestros registros coinciden con el extracto y explicar cualquier diferencia. La persona tesorera revisa y firma cada conciliación en un plazo de </w:t>
      </w:r>
      <w:r>
        <w:rPr>
          <w:rFonts w:ascii="Nunito Sans" w:cs="Nunito Sans" w:eastAsia="Nunito Sans" w:hAnsi="Nunito Sans"/>
          <w:color w:val="102E3B"/>
          <w:sz w:val="20"/>
          <w:szCs w:val="20"/>
          <w:highlight w:val="yellow"/>
        </w:rPr>
        <w:t xml:space="preserve">[5 días hábiles]</w:t>
      </w:r>
      <w:r>
        <w:rPr>
          <w:rFonts w:ascii="Nunito Sans" w:cs="Nunito Sans" w:eastAsia="Nunito Sans" w:hAnsi="Nunito Sans"/>
          <w:color w:val="102E3B"/>
          <w:sz w:val="20"/>
          <w:szCs w:val="20"/>
        </w:rPr>
        <w:t xml:space="preserve"> y pregunta por cualquier cosa inusual. Las diferencias sin explicación se investigan de inmediato.</w:t>
      </w:r>
    </w:p>
    <w:p>
      <w:pPr>
        <w:pStyle w:val="Heading2"/>
        <w:keepNext/>
        <w:spacing w:after="120" w:before="280"/>
      </w:pPr>
      <w:r>
        <w:rPr>
          <w:rFonts w:ascii="DM Serif Display" w:cs="DM Serif Display" w:eastAsia="DM Serif Display" w:hAnsi="DM Serif Display"/>
          <w:color w:val="123C48"/>
          <w:sz w:val="28"/>
          <w:szCs w:val="28"/>
        </w:rPr>
        <w:t xml:space="preserve">11. Fondos restringidos y no restringidos</w:t>
      </w:r>
    </w:p>
    <w:p>
      <w:pPr>
        <w:pStyle w:val="ListParagraph"/>
        <w:numPr>
          <w:ilvl w:val="0"/>
          <w:numId w:val="3"/>
        </w:numPr>
        <w:spacing w:after="80" w:line="290"/>
      </w:pPr>
      <w:r>
        <w:rPr>
          <w:rFonts w:ascii="Nunito Sans" w:cs="Nunito Sans" w:eastAsia="Nunito Sans" w:hAnsi="Nunito Sans"/>
          <w:color w:val="102E3B"/>
          <w:sz w:val="20"/>
          <w:szCs w:val="20"/>
        </w:rPr>
        <w:t xml:space="preserve">Los </w:t>
      </w:r>
      <w:r>
        <w:rPr>
          <w:rFonts w:ascii="Nunito Sans" w:cs="Nunito Sans" w:eastAsia="Nunito Sans" w:hAnsi="Nunito Sans"/>
          <w:b/>
          <w:bCs/>
          <w:color w:val="102E3B"/>
          <w:sz w:val="20"/>
          <w:szCs w:val="20"/>
        </w:rPr>
        <w:t xml:space="preserve">fondos restringidos</w:t>
      </w:r>
      <w:r>
        <w:rPr>
          <w:rFonts w:ascii="Nunito Sans" w:cs="Nunito Sans" w:eastAsia="Nunito Sans" w:hAnsi="Nunito Sans"/>
          <w:color w:val="102E3B"/>
          <w:sz w:val="20"/>
          <w:szCs w:val="20"/>
        </w:rPr>
        <w:t xml:space="preserve"> solo pueden usarse para la finalidad que fijó el financiador o la persona donante. Los </w:t>
      </w:r>
      <w:r>
        <w:rPr>
          <w:rFonts w:ascii="Nunito Sans" w:cs="Nunito Sans" w:eastAsia="Nunito Sans" w:hAnsi="Nunito Sans"/>
          <w:b/>
          <w:bCs/>
          <w:color w:val="102E3B"/>
          <w:sz w:val="20"/>
          <w:szCs w:val="20"/>
        </w:rPr>
        <w:t xml:space="preserve">fondos no restringidos</w:t>
      </w:r>
      <w:r>
        <w:rPr>
          <w:rFonts w:ascii="Nunito Sans" w:cs="Nunito Sans" w:eastAsia="Nunito Sans" w:hAnsi="Nunito Sans"/>
          <w:color w:val="102E3B"/>
          <w:sz w:val="20"/>
          <w:szCs w:val="20"/>
        </w:rPr>
        <w:t xml:space="preserve"> pueden usarse para cualquiera de nuestros fines, según decida el órgano de gobierno. Los </w:t>
      </w:r>
      <w:r>
        <w:rPr>
          <w:rFonts w:ascii="Nunito Sans" w:cs="Nunito Sans" w:eastAsia="Nunito Sans" w:hAnsi="Nunito Sans"/>
          <w:b/>
          <w:bCs/>
          <w:color w:val="102E3B"/>
          <w:sz w:val="20"/>
          <w:szCs w:val="20"/>
        </w:rPr>
        <w:t xml:space="preserve">fondos designados</w:t>
      </w:r>
      <w:r>
        <w:rPr>
          <w:rFonts w:ascii="Nunito Sans" w:cs="Nunito Sans" w:eastAsia="Nunito Sans" w:hAnsi="Nunito Sans"/>
          <w:color w:val="102E3B"/>
          <w:sz w:val="20"/>
          <w:szCs w:val="20"/>
        </w:rPr>
        <w:t xml:space="preserve"> son fondos no restringidos que el órgano de gobierno ha reservado para una finalidad; el órgano de gobierno puede cambiar esa decisión.</w:t>
      </w:r>
    </w:p>
    <w:p>
      <w:pPr>
        <w:pStyle w:val="ListParagraph"/>
        <w:numPr>
          <w:ilvl w:val="0"/>
          <w:numId w:val="3"/>
        </w:numPr>
        <w:spacing w:after="80" w:line="290"/>
      </w:pPr>
      <w:r>
        <w:rPr>
          <w:rFonts w:ascii="Nunito Sans" w:cs="Nunito Sans" w:eastAsia="Nunito Sans" w:hAnsi="Nunito Sans"/>
          <w:color w:val="102E3B"/>
          <w:sz w:val="20"/>
          <w:szCs w:val="20"/>
        </w:rPr>
        <w:t xml:space="preserve">Cada transacción se asigna en nuestra contabilidad a un fondo o subvención y a una partida presupuestaria.</w:t>
      </w:r>
    </w:p>
    <w:p>
      <w:pPr>
        <w:pStyle w:val="ListParagraph"/>
        <w:numPr>
          <w:ilvl w:val="0"/>
          <w:numId w:val="3"/>
        </w:numPr>
        <w:spacing w:after="80" w:line="290"/>
      </w:pPr>
      <w:r>
        <w:rPr>
          <w:rFonts w:ascii="Nunito Sans" w:cs="Nunito Sans" w:eastAsia="Nunito Sans" w:hAnsi="Nunito Sans"/>
          <w:color w:val="102E3B"/>
          <w:sz w:val="20"/>
          <w:szCs w:val="20"/>
        </w:rPr>
        <w:t xml:space="preserve">No usamos un fondo restringido para pagar los costos de otro fondo, ni siquiera temporalmente, salvo que ambos financiadores lo acepten por escrito.</w:t>
      </w:r>
    </w:p>
    <w:p>
      <w:pPr>
        <w:pStyle w:val="ListParagraph"/>
        <w:numPr>
          <w:ilvl w:val="0"/>
          <w:numId w:val="3"/>
        </w:numPr>
        <w:spacing w:after="80" w:line="290"/>
      </w:pPr>
      <w:r>
        <w:rPr>
          <w:rFonts w:ascii="Nunito Sans" w:cs="Nunito Sans" w:eastAsia="Nunito Sans" w:hAnsi="Nunito Sans"/>
          <w:color w:val="102E3B"/>
          <w:sz w:val="20"/>
          <w:szCs w:val="20"/>
        </w:rPr>
        <w:t xml:space="preserve">Los costos compartidos, como el alquiler o el tiempo de la persona responsable de finanzas, se imputan a las subvenciones con un método justo y documentado, por ejemplo el tiempo dedicado o el número de miembros del personal, y solo en la medida en que cada financiador lo permita.</w:t>
      </w:r>
    </w:p>
    <w:p>
      <w:pPr>
        <w:pStyle w:val="ListParagraph"/>
        <w:numPr>
          <w:ilvl w:val="0"/>
          <w:numId w:val="3"/>
        </w:numPr>
        <w:spacing w:after="80" w:line="290"/>
      </w:pPr>
      <w:r>
        <w:rPr>
          <w:rFonts w:ascii="Nunito Sans" w:cs="Nunito Sans" w:eastAsia="Nunito Sans" w:hAnsi="Nunito Sans"/>
          <w:color w:val="102E3B"/>
          <w:sz w:val="20"/>
          <w:szCs w:val="20"/>
        </w:rPr>
        <w:t xml:space="preserve">Los fondos restringidos no gastados al final de una subvención se tratan según indique el acuerdo: se devuelven, se trasladan al periodo siguiente o se reasignan con la aprobación por escrito del financiador.</w:t>
      </w:r>
    </w:p>
    <w:p>
      <w:pPr>
        <w:pStyle w:val="Heading2"/>
        <w:keepNext/>
        <w:spacing w:after="120" w:before="280"/>
      </w:pPr>
      <w:r>
        <w:rPr>
          <w:rFonts w:ascii="DM Serif Display" w:cs="DM Serif Display" w:eastAsia="DM Serif Display" w:hAnsi="DM Serif Display"/>
          <w:color w:val="123C48"/>
          <w:sz w:val="28"/>
          <w:szCs w:val="28"/>
        </w:rPr>
        <w:t xml:space="preserve">12. Moneda extranjera y tipos de cambio</w:t>
      </w:r>
    </w:p>
    <w:p>
      <w:pPr>
        <w:pStyle w:val="ListParagraph"/>
        <w:numPr>
          <w:ilvl w:val="0"/>
          <w:numId w:val="3"/>
        </w:numPr>
        <w:spacing w:after="80" w:line="290"/>
      </w:pPr>
      <w:r>
        <w:rPr>
          <w:rFonts w:ascii="Nunito Sans" w:cs="Nunito Sans" w:eastAsia="Nunito Sans" w:hAnsi="Nunito Sans"/>
          <w:color w:val="102E3B"/>
          <w:sz w:val="20"/>
          <w:szCs w:val="20"/>
        </w:rPr>
        <w:t xml:space="preserve">Registramos las transacciones en </w:t>
      </w:r>
      <w:r>
        <w:rPr>
          <w:rFonts w:ascii="Nunito Sans" w:cs="Nunito Sans" w:eastAsia="Nunito Sans" w:hAnsi="Nunito Sans"/>
          <w:color w:val="102E3B"/>
          <w:sz w:val="20"/>
          <w:szCs w:val="20"/>
          <w:highlight w:val="yellow"/>
        </w:rPr>
        <w:t xml:space="preserve">[moneda de presentación]</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Cuando recibimos fondos en otra moneda, registramos el tipo de cambio realmente obtenido del banco en la fecha de conversión, con el aviso bancario como prueba.</w:t>
      </w:r>
    </w:p>
    <w:p>
      <w:pPr>
        <w:pStyle w:val="ListParagraph"/>
        <w:numPr>
          <w:ilvl w:val="0"/>
          <w:numId w:val="3"/>
        </w:numPr>
        <w:spacing w:after="80" w:line="290"/>
      </w:pPr>
      <w:r>
        <w:rPr>
          <w:rFonts w:ascii="Nunito Sans" w:cs="Nunito Sans" w:eastAsia="Nunito Sans" w:hAnsi="Nunito Sans"/>
          <w:color w:val="102E3B"/>
          <w:sz w:val="20"/>
          <w:szCs w:val="20"/>
        </w:rPr>
        <w:t xml:space="preserve">Para los informes a los financiadores, usamos el método que exija su acuerdo. Si no hay ninguno, usamos </w:t>
      </w:r>
      <w:r>
        <w:rPr>
          <w:rFonts w:ascii="Nunito Sans" w:cs="Nunito Sans" w:eastAsia="Nunito Sans" w:hAnsi="Nunito Sans"/>
          <w:color w:val="102E3B"/>
          <w:sz w:val="20"/>
          <w:szCs w:val="20"/>
          <w:highlight w:val="yellow"/>
        </w:rPr>
        <w:t xml:space="preserve">[el tipo real de cada conversión / una media ponderada de las conversiones de esa subvención]</w:t>
      </w:r>
      <w:r>
        <w:rPr>
          <w:rFonts w:ascii="Nunito Sans" w:cs="Nunito Sans" w:eastAsia="Nunito Sans" w:hAnsi="Nunito Sans"/>
          <w:color w:val="102E3B"/>
          <w:sz w:val="20"/>
          <w:szCs w:val="20"/>
        </w:rPr>
        <w:t xml:space="preserve">, y lo indicamos en el informe.</w:t>
      </w:r>
    </w:p>
    <w:p>
      <w:pPr>
        <w:pStyle w:val="ListParagraph"/>
        <w:numPr>
          <w:ilvl w:val="0"/>
          <w:numId w:val="3"/>
        </w:numPr>
        <w:spacing w:after="80" w:line="290"/>
      </w:pPr>
      <w:r>
        <w:rPr>
          <w:rFonts w:ascii="Nunito Sans" w:cs="Nunito Sans" w:eastAsia="Nunito Sans" w:hAnsi="Nunito Sans"/>
          <w:color w:val="102E3B"/>
          <w:sz w:val="20"/>
          <w:szCs w:val="20"/>
        </w:rPr>
        <w:t xml:space="preserve">Registramos por separado las ganancias y pérdidas por tipo de cambio. Puede que una pérdida en una subvención restringida tenga que cubrirse con fondos no restringidos, salvo que el financiador acepte otra cosa.</w:t>
      </w:r>
    </w:p>
    <w:p>
      <w:pPr>
        <w:pStyle w:val="ListParagraph"/>
        <w:numPr>
          <w:ilvl w:val="0"/>
          <w:numId w:val="3"/>
        </w:numPr>
        <w:spacing w:after="80" w:line="290"/>
      </w:pPr>
      <w:r>
        <w:rPr>
          <w:rFonts w:ascii="Nunito Sans" w:cs="Nunito Sans" w:eastAsia="Nunito Sans" w:hAnsi="Nunito Sans"/>
          <w:color w:val="102E3B"/>
          <w:sz w:val="20"/>
          <w:szCs w:val="20"/>
        </w:rPr>
        <w:t xml:space="preserve">No cambiamos dinero a través de cambistas informales salvo que no haya alternativa, la persona directora lo apruebe por escrito y dejemos constancia del tipo de cambio y del motivo.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TIPOS DE CAMBIO</w:t>
            </w:r>
          </w:p>
          <w:p>
            <w:pPr>
              <w:spacing w:after="120" w:before="0" w:line="300"/>
            </w:pPr>
            <w:r>
              <w:rPr>
                <w:rFonts w:ascii="Nunito Sans" w:cs="Nunito Sans" w:eastAsia="Nunito Sans" w:hAnsi="Nunito Sans"/>
                <w:color w:val="102E3B"/>
                <w:sz w:val="19"/>
                <w:szCs w:val="19"/>
              </w:rPr>
              <w:t xml:space="preserve">Elige un método y úsalo de forma coherente. Los financiadores suelen indicar qué tipo de cambio usar, así que revisa cada acuerdo de subvención. Si trabajas en un país con más de un tipo de cambio oficial, o con una gran diferencia entre el tipo oficial y el de mercado, pide asesoramiento a tu contador e informa a los financiadores de cómo lo vas a gestionar antes de que empiece la subvención. Pregunta a tu banco por la posibilidad de tener una cuenta en moneda extranjera para reducir los costos de conversión.</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13. Registro de activos</w:t>
      </w:r>
    </w:p>
    <w:p>
      <w:pPr>
        <w:pStyle w:val="ListParagraph"/>
        <w:numPr>
          <w:ilvl w:val="0"/>
          <w:numId w:val="3"/>
        </w:numPr>
        <w:spacing w:after="80" w:line="290"/>
      </w:pPr>
      <w:r>
        <w:rPr>
          <w:rFonts w:ascii="Nunito Sans" w:cs="Nunito Sans" w:eastAsia="Nunito Sans" w:hAnsi="Nunito Sans"/>
          <w:color w:val="102E3B"/>
          <w:sz w:val="20"/>
          <w:szCs w:val="20"/>
        </w:rPr>
        <w:t xml:space="preserve">Registramos en un registro de activos cada artículo que valga más de </w:t>
      </w:r>
      <w:r>
        <w:rPr>
          <w:rFonts w:ascii="Nunito Sans" w:cs="Nunito Sans" w:eastAsia="Nunito Sans" w:hAnsi="Nunito Sans"/>
          <w:color w:val="102E3B"/>
          <w:sz w:val="20"/>
          <w:szCs w:val="20"/>
          <w:highlight w:val="yellow"/>
        </w:rPr>
        <w:t xml:space="preserve">[300 USD]</w:t>
      </w:r>
      <w:r>
        <w:rPr>
          <w:rFonts w:ascii="Nunito Sans" w:cs="Nunito Sans" w:eastAsia="Nunito Sans" w:hAnsi="Nunito Sans"/>
          <w:color w:val="102E3B"/>
          <w:sz w:val="20"/>
          <w:szCs w:val="20"/>
        </w:rPr>
        <w:t xml:space="preserve">, y todos los portátiles, teléfonos y vehículos, sea cual sea su valor.</w:t>
      </w:r>
    </w:p>
    <w:p>
      <w:pPr>
        <w:pStyle w:val="ListParagraph"/>
        <w:numPr>
          <w:ilvl w:val="0"/>
          <w:numId w:val="3"/>
        </w:numPr>
        <w:spacing w:after="80" w:line="290"/>
      </w:pPr>
      <w:r>
        <w:rPr>
          <w:rFonts w:ascii="Nunito Sans" w:cs="Nunito Sans" w:eastAsia="Nunito Sans" w:hAnsi="Nunito Sans"/>
          <w:color w:val="102E3B"/>
          <w:sz w:val="20"/>
          <w:szCs w:val="20"/>
        </w:rPr>
        <w:t xml:space="preserve">El registro indica la descripción, el número de serie, la fecha de compra, el costo, el financiador, la ubicación y quién lo usa.</w:t>
      </w:r>
    </w:p>
    <w:p>
      <w:pPr>
        <w:pStyle w:val="ListParagraph"/>
        <w:numPr>
          <w:ilvl w:val="0"/>
          <w:numId w:val="3"/>
        </w:numPr>
        <w:spacing w:after="80" w:line="290"/>
      </w:pPr>
      <w:r>
        <w:rPr>
          <w:rFonts w:ascii="Nunito Sans" w:cs="Nunito Sans" w:eastAsia="Nunito Sans" w:hAnsi="Nunito Sans"/>
          <w:color w:val="102E3B"/>
          <w:sz w:val="20"/>
          <w:szCs w:val="20"/>
        </w:rPr>
        <w:t xml:space="preserve">Cada activo lleva una etiqueta con nuestro nombre y un número de referencia.</w:t>
      </w:r>
    </w:p>
    <w:p>
      <w:pPr>
        <w:pStyle w:val="ListParagraph"/>
        <w:numPr>
          <w:ilvl w:val="0"/>
          <w:numId w:val="3"/>
        </w:numPr>
        <w:spacing w:after="80" w:line="290"/>
      </w:pPr>
      <w:r>
        <w:rPr>
          <w:rFonts w:ascii="Nunito Sans" w:cs="Nunito Sans" w:eastAsia="Nunito Sans" w:hAnsi="Nunito Sans"/>
          <w:color w:val="102E3B"/>
          <w:sz w:val="20"/>
          <w:szCs w:val="20"/>
        </w:rPr>
        <w:t xml:space="preserve">Comprobamos el registro con los activos físicos al menos </w:t>
      </w:r>
      <w:r>
        <w:rPr>
          <w:rFonts w:ascii="Nunito Sans" w:cs="Nunito Sans" w:eastAsia="Nunito Sans" w:hAnsi="Nunito Sans"/>
          <w:color w:val="102E3B"/>
          <w:sz w:val="20"/>
          <w:szCs w:val="20"/>
          <w:highlight w:val="yellow"/>
        </w:rPr>
        <w:t xml:space="preserve">[una vez al año]</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Los activos comprados con fondos de subvenciones se usan y se dan de baja según exija el financiador. Las bajas y los saneamientos se aprueban como establece la Matriz de Delegación de Autoridad (la persona directora junto con la persona tesorera hasta </w:t>
      </w:r>
      <w:r>
        <w:rPr>
          <w:rFonts w:ascii="Nunito Sans" w:cs="Nunito Sans" w:eastAsia="Nunito Sans" w:hAnsi="Nunito Sans"/>
          <w:color w:val="102E3B"/>
          <w:sz w:val="20"/>
          <w:szCs w:val="20"/>
          <w:highlight w:val="yellow"/>
        </w:rPr>
        <w:t xml:space="preserve">[500 USD]</w:t>
      </w:r>
      <w:r>
        <w:rPr>
          <w:rFonts w:ascii="Nunito Sans" w:cs="Nunito Sans" w:eastAsia="Nunito Sans" w:hAnsi="Nunito Sans"/>
          <w:color w:val="102E3B"/>
          <w:sz w:val="20"/>
          <w:szCs w:val="20"/>
        </w:rPr>
        <w:t xml:space="preserve">; el órgano de gobierno por encima de ese importe) y se registran.</w:t>
      </w:r>
    </w:p>
    <w:p>
      <w:pPr>
        <w:pStyle w:val="Heading2"/>
        <w:keepNext/>
        <w:spacing w:after="120" w:before="280"/>
      </w:pPr>
      <w:r>
        <w:rPr>
          <w:rFonts w:ascii="DM Serif Display" w:cs="DM Serif Display" w:eastAsia="DM Serif Display" w:hAnsi="DM Serif Display"/>
          <w:color w:val="123C48"/>
          <w:sz w:val="28"/>
          <w:szCs w:val="28"/>
        </w:rPr>
        <w:t xml:space="preserve">14. Cuentas de gestión e informes</w:t>
      </w:r>
    </w:p>
    <w:p>
      <w:pPr>
        <w:spacing w:after="120" w:before="0" w:line="300"/>
      </w:pPr>
      <w:r>
        <w:rPr>
          <w:rFonts w:ascii="Nunito Sans" w:cs="Nunito Sans" w:eastAsia="Nunito Sans" w:hAnsi="Nunito Sans"/>
          <w:color w:val="102E3B"/>
          <w:sz w:val="20"/>
          <w:szCs w:val="20"/>
        </w:rPr>
        <w:t xml:space="preserve">Cada </w:t>
      </w:r>
      <w:r>
        <w:rPr>
          <w:rFonts w:ascii="Nunito Sans" w:cs="Nunito Sans" w:eastAsia="Nunito Sans" w:hAnsi="Nunito Sans"/>
          <w:color w:val="102E3B"/>
          <w:sz w:val="20"/>
          <w:szCs w:val="20"/>
          <w:highlight w:val="yellow"/>
        </w:rPr>
        <w:t xml:space="preserve">[trimestre]</w:t>
      </w:r>
      <w:r>
        <w:rPr>
          <w:rFonts w:ascii="Nunito Sans" w:cs="Nunito Sans" w:eastAsia="Nunito Sans" w:hAnsi="Nunito Sans"/>
          <w:color w:val="102E3B"/>
          <w:sz w:val="20"/>
          <w:szCs w:val="20"/>
        </w:rPr>
        <w:t xml:space="preserve">, la persona responsable de finanzas prepara las cuentas de gestión para el órgano de gobierno. Incluyen:</w:t>
      </w:r>
    </w:p>
    <w:p>
      <w:pPr>
        <w:pStyle w:val="ListParagraph"/>
        <w:numPr>
          <w:ilvl w:val="0"/>
          <w:numId w:val="3"/>
        </w:numPr>
        <w:spacing w:after="80" w:line="290"/>
      </w:pPr>
      <w:r>
        <w:rPr>
          <w:rFonts w:ascii="Nunito Sans" w:cs="Nunito Sans" w:eastAsia="Nunito Sans" w:hAnsi="Nunito Sans"/>
          <w:color w:val="102E3B"/>
          <w:sz w:val="20"/>
          <w:szCs w:val="20"/>
        </w:rPr>
        <w:t xml:space="preserve">los ingresos y gastos frente al presupuesto, con explicaciones de las diferencias importantes;</w:t>
      </w:r>
    </w:p>
    <w:p>
      <w:pPr>
        <w:pStyle w:val="ListParagraph"/>
        <w:numPr>
          <w:ilvl w:val="0"/>
          <w:numId w:val="3"/>
        </w:numPr>
        <w:spacing w:after="80" w:line="290"/>
      </w:pPr>
      <w:r>
        <w:rPr>
          <w:rFonts w:ascii="Nunito Sans" w:cs="Nunito Sans" w:eastAsia="Nunito Sans" w:hAnsi="Nunito Sans"/>
          <w:color w:val="102E3B"/>
          <w:sz w:val="20"/>
          <w:szCs w:val="20"/>
        </w:rPr>
        <w:t xml:space="preserve">la posición de tesorería y la previsión de flujo de caja;</w:t>
      </w:r>
    </w:p>
    <w:p>
      <w:pPr>
        <w:pStyle w:val="ListParagraph"/>
        <w:numPr>
          <w:ilvl w:val="0"/>
          <w:numId w:val="3"/>
        </w:numPr>
        <w:spacing w:after="80" w:line="290"/>
      </w:pPr>
      <w:r>
        <w:rPr>
          <w:rFonts w:ascii="Nunito Sans" w:cs="Nunito Sans" w:eastAsia="Nunito Sans" w:hAnsi="Nunito Sans"/>
          <w:color w:val="102E3B"/>
          <w:sz w:val="20"/>
          <w:szCs w:val="20"/>
        </w:rPr>
        <w:t xml:space="preserve">los saldos de los fondos restringidos, designados y no restringidos, y nuestra posición de reservas según nuestra Política de Reservas;</w:t>
      </w:r>
    </w:p>
    <w:p>
      <w:pPr>
        <w:pStyle w:val="ListParagraph"/>
        <w:numPr>
          <w:ilvl w:val="0"/>
          <w:numId w:val="3"/>
        </w:numPr>
        <w:spacing w:after="80" w:line="290"/>
      </w:pPr>
      <w:r>
        <w:rPr>
          <w:rFonts w:ascii="Nunito Sans" w:cs="Nunito Sans" w:eastAsia="Nunito Sans" w:hAnsi="Nunito Sans"/>
          <w:color w:val="102E3B"/>
          <w:sz w:val="20"/>
          <w:szCs w:val="20"/>
        </w:rPr>
        <w:t xml:space="preserve">los plazos de presentación de informes de las subvenciones y cualquier preocupación de los financiadores;</w:t>
      </w:r>
    </w:p>
    <w:p>
      <w:pPr>
        <w:pStyle w:val="ListParagraph"/>
        <w:numPr>
          <w:ilvl w:val="0"/>
          <w:numId w:val="3"/>
        </w:numPr>
        <w:spacing w:after="80" w:line="290"/>
      </w:pPr>
      <w:r>
        <w:rPr>
          <w:rFonts w:ascii="Nunito Sans" w:cs="Nunito Sans" w:eastAsia="Nunito Sans" w:hAnsi="Nunito Sans"/>
          <w:color w:val="102E3B"/>
          <w:sz w:val="20"/>
          <w:szCs w:val="20"/>
        </w:rPr>
        <w:t xml:space="preserve">cualquier pérdida, irregularidad o debilidad de control.</w:t>
      </w:r>
    </w:p>
    <w:p>
      <w:pPr>
        <w:spacing w:after="120" w:before="0" w:line="300"/>
      </w:pPr>
      <w:r>
        <w:rPr>
          <w:rFonts w:ascii="Nunito Sans" w:cs="Nunito Sans" w:eastAsia="Nunito Sans" w:hAnsi="Nunito Sans"/>
          <w:color w:val="102E3B"/>
          <w:sz w:val="20"/>
          <w:szCs w:val="20"/>
        </w:rPr>
        <w:t xml:space="preserve">La persona directora y la persona responsable de finanzas también revisan un breve resumen mensual. Enviamos los informes financieros a los financiadores a tiempo, según exija cada acuerdo.</w:t>
      </w:r>
    </w:p>
    <w:p>
      <w:pPr>
        <w:pStyle w:val="Heading2"/>
        <w:keepNext/>
        <w:spacing w:after="120" w:before="280"/>
      </w:pPr>
      <w:r>
        <w:rPr>
          <w:rFonts w:ascii="DM Serif Display" w:cs="DM Serif Display" w:eastAsia="DM Serif Display" w:hAnsi="DM Serif Display"/>
          <w:color w:val="123C48"/>
          <w:sz w:val="28"/>
          <w:szCs w:val="28"/>
        </w:rPr>
        <w:t xml:space="preserve">15. Cuentas anuales, auditoría y revisión independiente</w:t>
      </w:r>
    </w:p>
    <w:p>
      <w:pPr>
        <w:pStyle w:val="ListParagraph"/>
        <w:numPr>
          <w:ilvl w:val="0"/>
          <w:numId w:val="3"/>
        </w:numPr>
        <w:spacing w:after="80" w:line="290"/>
      </w:pPr>
      <w:r>
        <w:rPr>
          <w:rFonts w:ascii="Nunito Sans" w:cs="Nunito Sans" w:eastAsia="Nunito Sans" w:hAnsi="Nunito Sans"/>
          <w:color w:val="102E3B"/>
          <w:sz w:val="20"/>
          <w:szCs w:val="20"/>
        </w:rPr>
        <w:t xml:space="preserve">Preparamos las cuentas anuales en los </w:t>
      </w:r>
      <w:r>
        <w:rPr>
          <w:rFonts w:ascii="Nunito Sans" w:cs="Nunito Sans" w:eastAsia="Nunito Sans" w:hAnsi="Nunito Sans"/>
          <w:color w:val="102E3B"/>
          <w:sz w:val="20"/>
          <w:szCs w:val="20"/>
          <w:highlight w:val="yellow"/>
        </w:rPr>
        <w:t xml:space="preserve">[6 meses]</w:t>
      </w:r>
      <w:r>
        <w:rPr>
          <w:rFonts w:ascii="Nunito Sans" w:cs="Nunito Sans" w:eastAsia="Nunito Sans" w:hAnsi="Nunito Sans"/>
          <w:color w:val="102E3B"/>
          <w:sz w:val="20"/>
          <w:szCs w:val="20"/>
        </w:rPr>
        <w:t xml:space="preserve"> siguientes al cierre de nuestro ejercicio financiero.</w:t>
      </w:r>
    </w:p>
    <w:p>
      <w:pPr>
        <w:pStyle w:val="ListParagraph"/>
        <w:numPr>
          <w:ilvl w:val="0"/>
          <w:numId w:val="3"/>
        </w:numPr>
        <w:spacing w:after="80" w:line="290"/>
      </w:pPr>
      <w:r>
        <w:rPr>
          <w:rFonts w:ascii="Nunito Sans" w:cs="Nunito Sans" w:eastAsia="Nunito Sans" w:hAnsi="Nunito Sans"/>
          <w:color w:val="102E3B"/>
          <w:sz w:val="20"/>
          <w:szCs w:val="20"/>
        </w:rPr>
        <w:t xml:space="preserve">Nuestras cuentas son </w:t>
      </w:r>
      <w:r>
        <w:rPr>
          <w:rFonts w:ascii="Nunito Sans" w:cs="Nunito Sans" w:eastAsia="Nunito Sans" w:hAnsi="Nunito Sans"/>
          <w:color w:val="102E3B"/>
          <w:sz w:val="20"/>
          <w:szCs w:val="20"/>
          <w:highlight w:val="yellow"/>
        </w:rPr>
        <w:t xml:space="preserve">[auditadas por un auditor registrado / revisadas de forma independiente por una persona cualificada]</w:t>
      </w:r>
      <w:r>
        <w:rPr>
          <w:rFonts w:ascii="Nunito Sans" w:cs="Nunito Sans" w:eastAsia="Nunito Sans" w:hAnsi="Nunito Sans"/>
          <w:color w:val="102E3B"/>
          <w:sz w:val="20"/>
          <w:szCs w:val="20"/>
        </w:rPr>
        <w:t xml:space="preserve">, según exijan la ley, nuestro documento constitutivo o nuestros financiadores. El órgano de gobierno nombra al auditor o revisor.</w:t>
      </w:r>
    </w:p>
    <w:p>
      <w:pPr>
        <w:pStyle w:val="ListParagraph"/>
        <w:numPr>
          <w:ilvl w:val="0"/>
          <w:numId w:val="3"/>
        </w:numPr>
        <w:spacing w:after="80" w:line="290"/>
      </w:pPr>
      <w:r>
        <w:rPr>
          <w:rFonts w:ascii="Nunito Sans" w:cs="Nunito Sans" w:eastAsia="Nunito Sans" w:hAnsi="Nunito Sans"/>
          <w:color w:val="102E3B"/>
          <w:sz w:val="20"/>
          <w:szCs w:val="20"/>
        </w:rPr>
        <w:t xml:space="preserve">El órgano de gobierno aprueba las cuentas anuales y el informe del auditor o revisor, y revisa cualquier carta de recomendaciones y las medidas adoptadas.</w:t>
      </w:r>
    </w:p>
    <w:p>
      <w:pPr>
        <w:pStyle w:val="ListParagraph"/>
        <w:numPr>
          <w:ilvl w:val="0"/>
          <w:numId w:val="3"/>
        </w:numPr>
        <w:spacing w:after="80" w:line="290"/>
      </w:pPr>
      <w:r>
        <w:rPr>
          <w:rFonts w:ascii="Nunito Sans" w:cs="Nunito Sans" w:eastAsia="Nunito Sans" w:hAnsi="Nunito Sans"/>
          <w:color w:val="102E3B"/>
          <w:sz w:val="20"/>
          <w:szCs w:val="20"/>
        </w:rPr>
        <w:t xml:space="preserve">Presentamos las cuentas ante </w:t>
      </w:r>
      <w:r>
        <w:rPr>
          <w:rFonts w:ascii="Nunito Sans" w:cs="Nunito Sans" w:eastAsia="Nunito Sans" w:hAnsi="Nunito Sans"/>
          <w:color w:val="102E3B"/>
          <w:sz w:val="20"/>
          <w:szCs w:val="20"/>
          <w:highlight w:val="yellow"/>
        </w:rPr>
        <w:t xml:space="preserve">[regulador / autoridad tributaria]</w:t>
      </w:r>
      <w:r>
        <w:rPr>
          <w:rFonts w:ascii="Nunito Sans" w:cs="Nunito Sans" w:eastAsia="Nunito Sans" w:hAnsi="Nunito Sans"/>
          <w:color w:val="102E3B"/>
          <w:sz w:val="20"/>
          <w:szCs w:val="20"/>
        </w:rPr>
        <w:t xml:space="preserve"> a más tardar el </w:t>
      </w:r>
      <w:r>
        <w:rPr>
          <w:rFonts w:ascii="Nunito Sans" w:cs="Nunito Sans" w:eastAsia="Nunito Sans" w:hAnsi="Nunito Sans"/>
          <w:color w:val="102E3B"/>
          <w:sz w:val="20"/>
          <w:szCs w:val="20"/>
          <w:highlight w:val="yellow"/>
        </w:rPr>
        <w:t xml:space="preserve">[plazo]</w:t>
      </w:r>
      <w:r>
        <w:rPr>
          <w:rFonts w:ascii="Nunito Sans" w:cs="Nunito Sans" w:eastAsia="Nunito Sans" w:hAnsi="Nunito Sans"/>
          <w:color w:val="102E3B"/>
          <w:sz w:val="20"/>
          <w:szCs w:val="20"/>
        </w:rPr>
        <w:t xml:space="preserve">, y las compartimos con los financiadores que las pidan.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AUDITORÍA Y REVISIÓN INDEPENDIENTE</w:t>
            </w:r>
          </w:p>
          <w:p>
            <w:pPr>
              <w:spacing w:after="120" w:before="0" w:line="300"/>
            </w:pPr>
            <w:r>
              <w:rPr>
                <w:rFonts w:ascii="Nunito Sans" w:cs="Nunito Sans" w:eastAsia="Nunito Sans" w:hAnsi="Nunito Sans"/>
                <w:color w:val="102E3B"/>
                <w:sz w:val="19"/>
                <w:szCs w:val="19"/>
              </w:rPr>
              <w:t xml:space="preserve">Las normas dependen de tu país, tu forma jurídica y tus ingresos. Por ejemplo, en Inglaterra y Gales, que una entidad benéfica necesite una revisión independiente o una auditoría completa depende de sus ingresos y activos, y los umbrales cambian de vez en cuando; consulta las cifras vigentes con la Charity Commission. En muchos países, toda ONG registrada debe presentar cada año cuentas auditadas. Algunos financiadores también exigen una auditoría de proyecto de su subvención. Una revisión independiente es un examen más ligero que una auditoría. Consulta tu ley local sobre las cuentas de las ONG o las sociedades y tus acuerdos de subvención, y presupuesta el costo.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Roles y responsabilidades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6667"/>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QUIÉN</w:t>
            </w:r>
          </w:p>
        </w:tc>
        <w:tc>
          <w:tcPr>
            <w:tcW w:type="dxa" w:w="666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RESPONSABILIDADES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Aprueba esta política, el presupuesto anual, las cuentas bancarias y los firmantes, y las cuentas anuales; nombra al auditor; revisa las cuentas de gestión.</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tesorera</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Revisa mensualmente las conciliaciones y los extractos, dirige la supervisión financiera del órgano de gobierno y aprueba los pagos a la persona directora.</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directora</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 asegura de que se cumpla esta política, designa a las personas responsables del presupuesto y aprueba el gasto dentro de sus límites.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finanzas</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Lleva la contabilidad, prepara los pagos, las conciliaciones y los informes, y gestiona la caja chica y el registro de activos.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Personas responsables del presupuesto</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Aprueban el gasto dentro de su presupuesto y sus límites, comprueban que los costos sean reales y explican las desviaciones.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Todas las personas</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Cumplen esta política, guardan los recibos e informan de sus preocupaciones.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Registros, confidencialidad y datos</w:t>
      </w:r>
    </w:p>
    <w:p>
      <w:pPr>
        <w:pStyle w:val="ListParagraph"/>
        <w:numPr>
          <w:ilvl w:val="0"/>
          <w:numId w:val="3"/>
        </w:numPr>
        <w:spacing w:after="80" w:line="290"/>
      </w:pPr>
      <w:r>
        <w:rPr>
          <w:rFonts w:ascii="Nunito Sans" w:cs="Nunito Sans" w:eastAsia="Nunito Sans" w:hAnsi="Nunito Sans"/>
          <w:color w:val="102E3B"/>
          <w:sz w:val="20"/>
          <w:szCs w:val="20"/>
        </w:rPr>
        <w:t xml:space="preserve">Conservamos los registros financieros, incluidos recibos, comprobantes, extractos, nóminas y contratos, durante al menos </w:t>
      </w:r>
      <w:r>
        <w:rPr>
          <w:rFonts w:ascii="Nunito Sans" w:cs="Nunito Sans" w:eastAsia="Nunito Sans" w:hAnsi="Nunito Sans"/>
          <w:color w:val="102E3B"/>
          <w:sz w:val="20"/>
          <w:szCs w:val="20"/>
          <w:highlight w:val="yellow"/>
        </w:rPr>
        <w:t xml:space="preserve">[7 años]</w:t>
      </w:r>
      <w:r>
        <w:rPr>
          <w:rFonts w:ascii="Nunito Sans" w:cs="Nunito Sans" w:eastAsia="Nunito Sans" w:hAnsi="Nunito Sans"/>
          <w:color w:val="102E3B"/>
          <w:sz w:val="20"/>
          <w:szCs w:val="20"/>
        </w:rPr>
        <w:t xml:space="preserve"> después del cierre del ejercicio financiero, o más tiempo si la ley o un financiador lo exigen. Nuestro Calendario de Conservación de Registros da los detalles.</w:t>
      </w:r>
    </w:p>
    <w:p>
      <w:pPr>
        <w:pStyle w:val="ListParagraph"/>
        <w:numPr>
          <w:ilvl w:val="0"/>
          <w:numId w:val="3"/>
        </w:numPr>
        <w:spacing w:after="80" w:line="290"/>
      </w:pPr>
      <w:r>
        <w:rPr>
          <w:rFonts w:ascii="Nunito Sans" w:cs="Nunito Sans" w:eastAsia="Nunito Sans" w:hAnsi="Nunito Sans"/>
          <w:color w:val="102E3B"/>
          <w:sz w:val="20"/>
          <w:szCs w:val="20"/>
        </w:rPr>
        <w:t xml:space="preserve">Guardamos los documentos originales en papel en un lugar cerrado con llave y los escaneamos en </w:t>
      </w:r>
      <w:r>
        <w:rPr>
          <w:rFonts w:ascii="Nunito Sans" w:cs="Nunito Sans" w:eastAsia="Nunito Sans" w:hAnsi="Nunito Sans"/>
          <w:color w:val="102E3B"/>
          <w:sz w:val="20"/>
          <w:szCs w:val="20"/>
          <w:highlight w:val="yellow"/>
        </w:rPr>
        <w:t xml:space="preserve">[nuestra unidad compartida / el sistema contable]</w:t>
      </w:r>
      <w:r>
        <w:rPr>
          <w:rFonts w:ascii="Nunito Sans" w:cs="Nunito Sans" w:eastAsia="Nunito Sans" w:hAnsi="Nunito Sans"/>
          <w:color w:val="102E3B"/>
          <w:sz w:val="20"/>
          <w:szCs w:val="20"/>
        </w:rPr>
        <w:t xml:space="preserve">. Se hace una copia de seguridad de los registros electrónicos al menos </w:t>
      </w:r>
      <w:r>
        <w:rPr>
          <w:rFonts w:ascii="Nunito Sans" w:cs="Nunito Sans" w:eastAsia="Nunito Sans" w:hAnsi="Nunito Sans"/>
          <w:color w:val="102E3B"/>
          <w:sz w:val="20"/>
          <w:szCs w:val="20"/>
          <w:highlight w:val="yellow"/>
        </w:rPr>
        <w:t xml:space="preserve">[semanalmente]</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Cada documento lleva una referencia para que pueda vincularse con su transacción.</w:t>
      </w:r>
    </w:p>
    <w:p>
      <w:pPr>
        <w:pStyle w:val="ListParagraph"/>
        <w:numPr>
          <w:ilvl w:val="0"/>
          <w:numId w:val="3"/>
        </w:numPr>
        <w:spacing w:after="80" w:line="290"/>
      </w:pPr>
      <w:r>
        <w:rPr>
          <w:rFonts w:ascii="Nunito Sans" w:cs="Nunito Sans" w:eastAsia="Nunito Sans" w:hAnsi="Nunito Sans"/>
          <w:color w:val="102E3B"/>
          <w:sz w:val="20"/>
          <w:szCs w:val="20"/>
        </w:rPr>
        <w:t xml:space="preserve">Los registros de nómina y de pagos a participantes contienen información personal. El acceso se limita a las personas que lo necesitan, conforme a nuestra Política de Protección de Datos.</w:t>
      </w:r>
    </w:p>
    <w:p>
      <w:pPr>
        <w:pStyle w:val="Heading1"/>
        <w:keepNext/>
        <w:spacing w:after="160" w:before="360"/>
      </w:pPr>
      <w:r>
        <w:rPr>
          <w:rFonts w:ascii="DM Serif Display" w:cs="DM Serif Display" w:eastAsia="DM Serif Display" w:hAnsi="DM Serif Display"/>
          <w:color w:val="123C48"/>
          <w:sz w:val="40"/>
          <w:szCs w:val="40"/>
        </w:rPr>
        <w:t xml:space="preserve">Si se incumple esta política</w:t>
      </w:r>
    </w:p>
    <w:p>
      <w:pPr>
        <w:spacing w:after="120" w:before="0" w:line="300"/>
      </w:pPr>
      <w:r>
        <w:rPr>
          <w:rFonts w:ascii="Nunito Sans" w:cs="Nunito Sans" w:eastAsia="Nunito Sans" w:hAnsi="Nunito Sans"/>
          <w:color w:val="102E3B"/>
          <w:sz w:val="20"/>
          <w:szCs w:val="20"/>
        </w:rPr>
        <w:t xml:space="preserve">Un incumplimiento de esta política, como aprobar su propio pago, usar una cuenta personal u omitir una aprobación, puede dar lugar a medidas disciplinarias, al fin de un rol o de un contrato y a la recuperación de cualquier pérdida. Informe de cualquier incumplimiento o preocupación a la persona responsable de finanzas o a la persona tesorera. Si sospecha un fraude, siga nuestra Política y Procedimiento contra el Fraude, el Soborno y la Corrupción.</w:t>
      </w:r>
    </w:p>
    <w:p>
      <w:pPr>
        <w:pStyle w:val="Heading1"/>
        <w:keepNext/>
        <w:spacing w:after="160" w:before="360"/>
      </w:pPr>
      <w:r>
        <w:rPr>
          <w:rFonts w:ascii="DM Serif Display" w:cs="DM Serif Display" w:eastAsia="DM Serif Display" w:hAnsi="DM Serif Display"/>
          <w:color w:val="123C48"/>
          <w:sz w:val="40"/>
          <w:szCs w:val="40"/>
        </w:rPr>
        <w:t xml:space="preserve">Seguimiento y revisión</w:t>
      </w:r>
    </w:p>
    <w:p>
      <w:pPr>
        <w:spacing w:after="120" w:before="0" w:line="300"/>
      </w:pPr>
      <w:r>
        <w:rPr>
          <w:rFonts w:ascii="Nunito Sans" w:cs="Nunito Sans" w:eastAsia="Nunito Sans" w:hAnsi="Nunito Sans"/>
          <w:color w:val="102E3B"/>
          <w:sz w:val="20"/>
          <w:szCs w:val="20"/>
        </w:rPr>
        <w:t xml:space="preserve">La persona tesorera informa al órgano de gobierno </w:t>
      </w:r>
      <w:r>
        <w:rPr>
          <w:rFonts w:ascii="Nunito Sans" w:cs="Nunito Sans" w:eastAsia="Nunito Sans" w:hAnsi="Nunito Sans"/>
          <w:color w:val="102E3B"/>
          <w:sz w:val="20"/>
          <w:szCs w:val="20"/>
          <w:highlight w:val="yellow"/>
        </w:rPr>
        <w:t xml:space="preserve">[cada trimestre]</w:t>
      </w:r>
      <w:r>
        <w:rPr>
          <w:rFonts w:ascii="Nunito Sans" w:cs="Nunito Sans" w:eastAsia="Nunito Sans" w:hAnsi="Nunito Sans"/>
          <w:color w:val="102E3B"/>
          <w:sz w:val="20"/>
          <w:szCs w:val="20"/>
        </w:rPr>
        <w:t xml:space="preserve"> sobre si estos controles funcionan, incluidas las conciliaciones atrasadas y cualquier excepción aprobada. El órgano de gobierno revisa esta política </w:t>
      </w:r>
      <w:r>
        <w:rPr>
          <w:rFonts w:ascii="Nunito Sans" w:cs="Nunito Sans" w:eastAsia="Nunito Sans" w:hAnsi="Nunito Sans"/>
          <w:color w:val="102E3B"/>
          <w:sz w:val="20"/>
          <w:szCs w:val="20"/>
          <w:highlight w:val="yellow"/>
        </w:rPr>
        <w:t xml:space="preserve">[cada año]</w:t>
      </w:r>
      <w:r>
        <w:rPr>
          <w:rFonts w:ascii="Nunito Sans" w:cs="Nunito Sans" w:eastAsia="Nunito Sans" w:hAnsi="Nunito Sans"/>
          <w:color w:val="102E3B"/>
          <w:sz w:val="20"/>
          <w:szCs w:val="20"/>
        </w:rPr>
        <w:t xml:space="preserve">, y después de cualquier hallazgo de auditoría, pérdida o cambio importante en nuestra financiación.</w:t>
      </w:r>
    </w:p>
    <w:p>
      <w:pPr>
        <w:pStyle w:val="Heading1"/>
        <w:keepNext/>
        <w:spacing w:after="160" w:before="360"/>
      </w:pPr>
      <w:r>
        <w:rPr>
          <w:rFonts w:ascii="DM Serif Display" w:cs="DM Serif Display" w:eastAsia="DM Serif Display" w:hAnsi="DM Serif Display"/>
          <w:color w:val="123C48"/>
          <w:sz w:val="40"/>
          <w:szCs w:val="40"/>
        </w:rPr>
        <w:t xml:space="preserve">Documentos relacionados</w:t>
      </w:r>
    </w:p>
    <w:p>
      <w:pPr>
        <w:pStyle w:val="ListParagraph"/>
        <w:numPr>
          <w:ilvl w:val="0"/>
          <w:numId w:val="3"/>
        </w:numPr>
        <w:spacing w:after="80" w:line="290"/>
      </w:pPr>
      <w:r>
        <w:rPr>
          <w:rFonts w:ascii="Nunito Sans" w:cs="Nunito Sans" w:eastAsia="Nunito Sans" w:hAnsi="Nunito Sans"/>
          <w:color w:val="102E3B"/>
          <w:sz w:val="20"/>
          <w:szCs w:val="20"/>
        </w:rPr>
        <w:t xml:space="preserve">Matriz de Delegación de Autoridad</w:t>
      </w:r>
    </w:p>
    <w:p>
      <w:pPr>
        <w:pStyle w:val="ListParagraph"/>
        <w:numPr>
          <w:ilvl w:val="0"/>
          <w:numId w:val="3"/>
        </w:numPr>
        <w:spacing w:after="80" w:line="290"/>
      </w:pPr>
      <w:r>
        <w:rPr>
          <w:rFonts w:ascii="Nunito Sans" w:cs="Nunito Sans" w:eastAsia="Nunito Sans" w:hAnsi="Nunito Sans"/>
          <w:color w:val="102E3B"/>
          <w:sz w:val="20"/>
          <w:szCs w:val="20"/>
        </w:rPr>
        <w:t xml:space="preserve">Política y Procedimiento contra el Fraude, el Soborno y la Corrupción</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Compras y Contrataciones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Gastos y Viáticos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Reservas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Aceptación de Regalos y Donaciones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Conflictos de Interés</w:t>
      </w:r>
    </w:p>
    <w:p>
      <w:pPr>
        <w:pStyle w:val="ListParagraph"/>
        <w:numPr>
          <w:ilvl w:val="0"/>
          <w:numId w:val="3"/>
        </w:numPr>
        <w:spacing w:after="80" w:line="290"/>
      </w:pPr>
      <w:r>
        <w:rPr>
          <w:rFonts w:ascii="Nunito Sans" w:cs="Nunito Sans" w:eastAsia="Nunito Sans" w:hAnsi="Nunito Sans"/>
          <w:color w:val="102E3B"/>
          <w:sz w:val="20"/>
          <w:szCs w:val="20"/>
        </w:rPr>
        <w:t xml:space="preserve">Calendario de Conservación de Registros</w:t>
      </w:r>
    </w:p>
    <w:p>
      <w:pPr>
        <w:pStyle w:val="ListParagraph"/>
        <w:numPr>
          <w:ilvl w:val="0"/>
          <w:numId w:val="3"/>
        </w:numPr>
        <w:spacing w:after="80" w:line="290"/>
      </w:pPr>
      <w:r>
        <w:rPr>
          <w:rFonts w:ascii="Nunito Sans" w:cs="Nunito Sans" w:eastAsia="Nunito Sans" w:hAnsi="Nunito Sans"/>
          <w:color w:val="102E3B"/>
          <w:sz w:val="20"/>
          <w:szCs w:val="20"/>
        </w:rPr>
        <w:t xml:space="preserve">Registro de Riesgos</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[Acuerdos de subvención y normas financieras de los financiadores]</w:t>
      </w:r>
    </w:p>
    <w:p>
      <w:pPr>
        <w:pStyle w:val="ListParagraph"/>
        <w:numPr>
          <w:ilvl w:val="0"/>
          <w:numId w:val="3"/>
        </w:numPr>
        <w:spacing w:after="80" w:line="290"/>
      </w:pPr>
      <w:r>
        <w:rPr>
          <w:rFonts w:ascii="Nunito Sans" w:cs="Nunito Sans" w:eastAsia="Nunito Sans" w:hAnsi="Nunito Sans"/>
          <w:color w:val="102E3B"/>
          <w:sz w:val="20"/>
          <w:szCs w:val="20"/>
        </w:rPr>
        <w:t xml:space="preserve">Procedimientos Financieros</w:t>
      </w:r>
    </w:p>
    <w:p>
      <w:pPr>
        <w:pStyle w:val="Heading1"/>
        <w:keepNext/>
        <w:spacing w:after="160" w:before="360"/>
      </w:pPr>
      <w:r>
        <w:rPr>
          <w:rFonts w:ascii="DM Serif Display" w:cs="DM Serif Display" w:eastAsia="DM Serif Display" w:hAnsi="DM Serif Display"/>
          <w:color w:val="123C48"/>
          <w:sz w:val="40"/>
          <w:szCs w:val="40"/>
        </w:rPr>
        <w:t xml:space="preserve">Reconocimiento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DECLARACIÓN</w:t>
            </w:r>
          </w:p>
          <w:p>
            <w:pPr>
              <w:spacing w:after="120" w:before="0" w:line="300"/>
            </w:pPr>
            <w:r>
              <w:rPr>
                <w:rFonts w:ascii="Nunito Sans" w:cs="Nunito Sans" w:eastAsia="Nunito Sans" w:hAnsi="Nunito Sans"/>
                <w:color w:val="102E3B"/>
                <w:sz w:val="19"/>
                <w:szCs w:val="19"/>
              </w:rPr>
              <w:t xml:space="preserve">He leído la Política de Controles Financieros de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La cumpliré siempre que presupueste, gaste, apruebe, reciba o registre dinero para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Nunca usaré una cuenta personal para nuestros fondos ni aprobaré un pago a mi favor, e informaré de inmediato de cualquier preocupación.</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Cargo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A: Resumen de límites</w:t>
      </w:r>
    </w:p>
    <w:p>
      <w:pPr>
        <w:spacing w:after="120" w:before="0" w:line="300"/>
      </w:pPr>
      <w:r>
        <w:rPr>
          <w:rFonts w:ascii="Nunito Sans" w:cs="Nunito Sans" w:eastAsia="Nunito Sans" w:hAnsi="Nunito Sans"/>
          <w:color w:val="102E3B"/>
          <w:sz w:val="20"/>
          <w:szCs w:val="20"/>
        </w:rPr>
        <w:t xml:space="preserve">Todos los importes son ilustrativos. Fíjelos con su contador y haga que coincidan con su Matriz de Delegación de Autoridad.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14"/>
        <w:gridCol w:w="3810"/>
      </w:tblGrid>
      <w:tr>
        <w:trPr>
          <w:cantSplit/>
          <w:tblHeader/>
        </w:trPr>
        <w:tc>
          <w:tcPr>
            <w:tcW w:type="dxa" w:w="5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CONTROL</w:t>
            </w:r>
          </w:p>
        </w:tc>
        <w:tc>
          <w:tcPr>
            <w:tcW w:type="dxa" w:w="381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LÍMITE (ILUSTRATIVO)</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Fondo de caja chica</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[300 USD]</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Pago individual de caja chica</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[50 USD]</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Activos anotados en el registro</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Más de </w:t>
            </w:r>
            <w:r>
              <w:rPr>
                <w:rFonts w:ascii="Nunito Sans" w:cs="Nunito Sans" w:eastAsia="Nunito Sans" w:hAnsi="Nunito Sans"/>
                <w:color w:val="102E3B"/>
                <w:sz w:val="18"/>
                <w:szCs w:val="18"/>
                <w:highlight w:val="yellow"/>
              </w:rPr>
              <w:t xml:space="preserve">[300 USD]</w:t>
            </w:r>
            <w:r>
              <w:rPr>
                <w:rFonts w:ascii="Nunito Sans" w:cs="Nunito Sans" w:eastAsia="Nunito Sans" w:hAnsi="Nunito Sans"/>
                <w:color w:val="102E3B"/>
                <w:sz w:val="18"/>
                <w:szCs w:val="18"/>
              </w:rPr>
              <w:t xml:space="preserve">, y todos los portátiles, teléfonos y vehículos</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Pagos incluidos en la lista para el órgano de gobierno</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Más de </w:t>
            </w:r>
            <w:r>
              <w:rPr>
                <w:rFonts w:ascii="Nunito Sans" w:cs="Nunito Sans" w:eastAsia="Nunito Sans" w:hAnsi="Nunito Sans"/>
                <w:color w:val="102E3B"/>
                <w:sz w:val="18"/>
                <w:szCs w:val="18"/>
                <w:highlight w:val="yellow"/>
              </w:rPr>
              <w:t xml:space="preserve">[500 USD]</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Exceso de gasto en una partida presupuestaria que necesita aprobación</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Más del </w:t>
            </w:r>
            <w:r>
              <w:rPr>
                <w:rFonts w:ascii="Nunito Sans" w:cs="Nunito Sans" w:eastAsia="Nunito Sans" w:hAnsi="Nunito Sans"/>
                <w:color w:val="102E3B"/>
                <w:sz w:val="18"/>
                <w:szCs w:val="18"/>
                <w:highlight w:val="yellow"/>
              </w:rPr>
              <w:t xml:space="preserve">[10 %]</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Depósito en el banco del efectivo recibido</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[3 días hábiles]</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Justificación de los anticipos</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los </w:t>
            </w:r>
            <w:r>
              <w:rPr>
                <w:rFonts w:ascii="Nunito Sans" w:cs="Nunito Sans" w:eastAsia="Nunito Sans" w:hAnsi="Nunito Sans"/>
                <w:color w:val="102E3B"/>
                <w:sz w:val="18"/>
                <w:szCs w:val="18"/>
                <w:highlight w:val="yellow"/>
              </w:rPr>
              <w:t xml:space="preserve">[5 días hábiles]</w:t>
            </w:r>
            <w:r>
              <w:rPr>
                <w:rFonts w:ascii="Nunito Sans" w:cs="Nunito Sans" w:eastAsia="Nunito Sans" w:hAnsi="Nunito Sans"/>
                <w:color w:val="102E3B"/>
                <w:sz w:val="18"/>
                <w:szCs w:val="18"/>
              </w:rPr>
              <w:t xml:space="preserve"> siguientes a la actividad o el viaje</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Conciliaciones mensuales completadas</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más tardar el </w:t>
            </w:r>
            <w:r>
              <w:rPr>
                <w:rFonts w:ascii="Nunito Sans" w:cs="Nunito Sans" w:eastAsia="Nunito Sans" w:hAnsi="Nunito Sans"/>
                <w:color w:val="102E3B"/>
                <w:sz w:val="18"/>
                <w:szCs w:val="18"/>
                <w:highlight w:val="yellow"/>
              </w:rPr>
              <w:t xml:space="preserve">[10.º]</w:t>
            </w:r>
            <w:r>
              <w:rPr>
                <w:rFonts w:ascii="Nunito Sans" w:cs="Nunito Sans" w:eastAsia="Nunito Sans" w:hAnsi="Nunito Sans"/>
                <w:color w:val="102E3B"/>
                <w:sz w:val="18"/>
                <w:szCs w:val="18"/>
              </w:rPr>
              <w:t xml:space="preserve"> día hábil</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Revisión de las conciliaciones por la persona tesorera</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[5 días hábiles]</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Conservación de los registros</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 menos </w:t>
            </w:r>
            <w:r>
              <w:rPr>
                <w:rFonts w:ascii="Nunito Sans" w:cs="Nunito Sans" w:eastAsia="Nunito Sans" w:hAnsi="Nunito Sans"/>
                <w:color w:val="102E3B"/>
                <w:sz w:val="18"/>
                <w:szCs w:val="18"/>
                <w:highlight w:val="yellow"/>
              </w:rPr>
              <w:t xml:space="preserve">[7 años]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Anexo B: Lista de pagos a participantes</w:t>
      </w:r>
    </w:p>
    <w:p>
      <w:pPr>
        <w:spacing w:after="120" w:before="0" w:line="300"/>
      </w:pPr>
      <w:r>
        <w:rPr>
          <w:rFonts w:ascii="Nunito Sans" w:cs="Nunito Sans" w:eastAsia="Nunito Sans" w:hAnsi="Nunito Sans"/>
          <w:color w:val="102E3B"/>
          <w:sz w:val="20"/>
          <w:szCs w:val="20"/>
        </w:rPr>
        <w:t xml:space="preserve">Use una lista por actividad. Adjúntela al comprobante de pago y a la lista de asistencia.</w:t>
      </w:r>
    </w:p>
    <w:p>
      <w:pPr>
        <w:spacing w:after="120" w:before="0" w:line="300"/>
      </w:pPr>
      <w:r>
        <w:rPr>
          <w:rFonts w:ascii="Nunito Sans" w:cs="Nunito Sans" w:eastAsia="Nunito Sans" w:hAnsi="Nunito Sans"/>
          <w:color w:val="102E3B"/>
          <w:sz w:val="20"/>
          <w:szCs w:val="20"/>
        </w:rPr>
        <w:t xml:space="preserve">Actividad: </w:t>
      </w:r>
      <w:r>
        <w:rPr>
          <w:rFonts w:ascii="Nunito Sans" w:cs="Nunito Sans" w:eastAsia="Nunito Sans" w:hAnsi="Nunito Sans"/>
          <w:color w:val="102E3B"/>
          <w:sz w:val="20"/>
          <w:szCs w:val="20"/>
          <w:highlight w:val="yellow"/>
        </w:rPr>
        <w:t xml:space="preserve">[nombre]</w:t>
      </w:r>
      <w:r>
        <w:rPr>
          <w:rFonts w:ascii="Nunito Sans" w:cs="Nunito Sans" w:eastAsia="Nunito Sans" w:hAnsi="Nunito Sans"/>
          <w:color w:val="102E3B"/>
          <w:sz w:val="20"/>
          <w:szCs w:val="20"/>
        </w:rPr>
        <w:t xml:space="preserve"> · Fecha: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 · Lugar: </w:t>
      </w:r>
      <w:r>
        <w:rPr>
          <w:rFonts w:ascii="Nunito Sans" w:cs="Nunito Sans" w:eastAsia="Nunito Sans" w:hAnsi="Nunito Sans"/>
          <w:color w:val="102E3B"/>
          <w:sz w:val="20"/>
          <w:szCs w:val="20"/>
          <w:highlight w:val="yellow"/>
        </w:rPr>
        <w:t xml:space="preserve">[lugar]</w:t>
      </w:r>
      <w:r>
        <w:rPr>
          <w:rFonts w:ascii="Nunito Sans" w:cs="Nunito Sans" w:eastAsia="Nunito Sans" w:hAnsi="Nunito Sans"/>
          <w:color w:val="102E3B"/>
          <w:sz w:val="20"/>
          <w:szCs w:val="20"/>
        </w:rPr>
        <w:t xml:space="preserve"> · Partida presupuestaria: </w:t>
      </w:r>
      <w:r>
        <w:rPr>
          <w:rFonts w:ascii="Nunito Sans" w:cs="Nunito Sans" w:eastAsia="Nunito Sans" w:hAnsi="Nunito Sans"/>
          <w:color w:val="102E3B"/>
          <w:sz w:val="20"/>
          <w:szCs w:val="20"/>
          <w:highlight w:val="yellow"/>
        </w:rPr>
        <w:t xml:space="preserve">[código]</w:t>
      </w:r>
      <w:r>
        <w:rPr>
          <w:rFonts w:ascii="Nunito Sans" w:cs="Nunito Sans" w:eastAsia="Nunito Sans" w:hAnsi="Nunito Sans"/>
          <w:color w:val="102E3B"/>
          <w:sz w:val="20"/>
          <w:szCs w:val="20"/>
        </w:rPr>
        <w:t xml:space="preserve"> · Pagado por: </w:t>
      </w:r>
      <w:r>
        <w:rPr>
          <w:rFonts w:ascii="Nunito Sans" w:cs="Nunito Sans" w:eastAsia="Nunito Sans" w:hAnsi="Nunito Sans"/>
          <w:color w:val="102E3B"/>
          <w:sz w:val="20"/>
          <w:szCs w:val="20"/>
          <w:highlight w:val="yellow"/>
        </w:rPr>
        <w:t xml:space="preserve">[nombre]</w:t>
      </w:r>
      <w:r>
        <w:rPr>
          <w:rFonts w:ascii="Nunito Sans" w:cs="Nunito Sans" w:eastAsia="Nunito Sans" w:hAnsi="Nunito Sans"/>
          <w:color w:val="102E3B"/>
          <w:sz w:val="20"/>
          <w:szCs w:val="20"/>
        </w:rPr>
        <w:t xml:space="preserve"> · Método: </w:t>
      </w:r>
      <w:r>
        <w:rPr>
          <w:rFonts w:ascii="Nunito Sans" w:cs="Nunito Sans" w:eastAsia="Nunito Sans" w:hAnsi="Nunito Sans"/>
          <w:color w:val="102E3B"/>
          <w:sz w:val="20"/>
          <w:szCs w:val="20"/>
          <w:highlight w:val="yellow"/>
        </w:rPr>
        <w:t xml:space="preserve">[efectivo / dinero móvil]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1"/>
        <w:gridCol w:w="3047"/>
        <w:gridCol w:w="1904"/>
        <w:gridCol w:w="1428"/>
        <w:gridCol w:w="2384"/>
      </w:tblGrid>
      <w:tr>
        <w:trPr>
          <w:cantSplit/>
          <w:tblHeader/>
        </w:trPr>
        <w:tc>
          <w:tcPr>
            <w:tcW w:type="dxa" w:w="76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N.º</w:t>
            </w:r>
          </w:p>
        </w:tc>
        <w:tc>
          <w:tcPr>
            <w:tcW w:type="dxa" w:w="304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NOMBRE COMPLETO</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TELÉFONO (SI ES DINERO MÓVIL)</w:t>
            </w:r>
          </w:p>
        </w:tc>
        <w:tc>
          <w:tcPr>
            <w:tcW w:type="dxa" w:w="142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IMPORTE</w:t>
            </w:r>
          </w:p>
        </w:tc>
        <w:tc>
          <w:tcPr>
            <w:tcW w:type="dxa" w:w="238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FIRMA O HUELLA DACTILAR</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38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38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4</w:t>
            </w:r>
          </w:p>
        </w:tc>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5</w:t>
            </w:r>
          </w:p>
        </w:tc>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38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spacing w:after="120" w:before="0" w:line="300"/>
      </w:pPr>
      <w:r>
        <w:rPr>
          <w:rFonts w:ascii="Nunito Sans" w:cs="Nunito Sans" w:eastAsia="Nunito Sans" w:hAnsi="Nunito Sans"/>
          <w:color w:val="102E3B"/>
          <w:sz w:val="20"/>
          <w:szCs w:val="20"/>
        </w:rPr>
        <w:t xml:space="preserve">Total pagado: </w:t>
      </w:r>
      <w:r>
        <w:rPr>
          <w:rFonts w:ascii="Nunito Sans" w:cs="Nunito Sans" w:eastAsia="Nunito Sans" w:hAnsi="Nunito Sans"/>
          <w:color w:val="102E3B"/>
          <w:sz w:val="20"/>
          <w:szCs w:val="20"/>
          <w:highlight w:val="yellow"/>
        </w:rPr>
        <w:t xml:space="preserve">[importe]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Pagado por: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Testigo: nombre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Historial del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CAMBIÓ</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APROBADO POR</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de mes de AAAA]</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versión, adaptada de la plantilla Política de Controles Financieros de Method into Impact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AA077359-F214-6FFE-DA24-E160808774F4}"/>
  </w:font>
  <w:font w:name="DM Serif Display">
    <w:family w:val="auto"/>
    <w:pitch w:val="variable"/>
    <w:sig w:usb0="E0002AFF" w:usb1="C000247B" w:usb2="00000009" w:usb3="00000000" w:csb0="000001FF" w:csb1="00000000"/>
    <w:embedRegular r:id="rId2" w:fontKey="{283C2003-B217-327F-62C2-19CCED0CEE0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Política de Controles Financieros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POLÍTICA DE CONTROLES FINANCIEROS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Controles Financieros</dc:title>
  <dc:creator>Method into Impact</dc:creator>
  <dc:description>Las normas que sigue [[Nombre de la organización]] para planificar, aprobar, pagar, registrar e informar de cada unidad de dinero, de modo que los fondos estén seguros, se usen según lo acordado y sea fácil rendir cuentas de ellos.</dc:description>
  <cp:lastModifiedBy>Un-named</cp:lastModifiedBy>
  <cp:revision>1</cp:revision>
  <dcterms:created xsi:type="dcterms:W3CDTF">2026-10-29T06:09:24.594Z</dcterms:created>
  <dcterms:modified xsi:type="dcterms:W3CDTF">2026-10-29T06:09:24.594Z</dcterms:modified>
</cp:coreProperties>
</file>

<file path=docProps/custom.xml><?xml version="1.0" encoding="utf-8"?>
<Properties xmlns="http://schemas.openxmlformats.org/officeDocument/2006/custom-properties" xmlns:vt="http://schemas.openxmlformats.org/officeDocument/2006/docPropsVTypes"/>
</file>