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NOTA DE ROL</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Nota sobre el Rol de Contacto Independiente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Establece el rol de la persona independiente y de confianza que recibe las inquietudes sobre la persona fundadora o la persona responsable de salvaguarda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y que atiende los casos urgentes cuando no se puede localizar a la persona responsable.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Tus políticas de salvaguarda, contra el acoso, contra el fraude y de denuncia de irregularidades prometen que una inquietud sobre la persona al mando se dirige a otra persona. En una organización pequeña, esa otra persona es el contacto independiente. Esta nota explica el rol, para que puedas pedírselo a la persona adecuada, acordar qué hará y qué no, y demostrar a los financiadores que tus canales de denuncia funcionan de verdad.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que revisan tus mecanismos de salvaguarda y de denuncia de irregularidades; la persona a la que invitas a asumir el rol;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hora para adaptarla; reserva tiempo para encontrar a la persona adecuada e informarla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 lección 10.5 (salvaguarda); 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y Procedimiento de Salvaguarda · Política y Procedimiento de Denuncia de Irregularidades · Política y Procedimiento contra el Acoso, la Intimidación y el Hostigamiento · Política y Procedimiento contra el Fraude, el Soborno y la Corrupción · Código de Conducta · Términos de Referencia del Órgano de Gobierno · Política de Protección de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Nota sobre el Rol de Contacto Independiente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Nota de rol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contacto independiente, la persona fundadora o directora, la persona responsable de salvaguarda y el órgano de gobierno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[contacto.independiente@tuorganizacion.org]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Por qué existe este rol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Obtener asesoramiento externo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 esta nota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Conflictos de interés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Quién puede ser el contacto independiente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Dedicación y apoyo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hace el contacto independiente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Canales de contacto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no hace el contacto independiente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Carta de nombramiento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Suplencia cuando la persona responsable no está disponible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Confidencialidad e información personal</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El contacto independiente garantiza que nadie tenga que comunicar una inquietud sobre la persona fundadora o la persona responsable de salvaguarda a esa misma persona.</w:t>
            </w:r>
          </w:p>
          <w:p>
            <w:pPr>
              <w:pStyle w:val="ListParagraph"/>
              <w:numPr>
                <w:ilvl w:val="0"/>
                <w:numId w:val="3"/>
              </w:numPr>
              <w:spacing w:after="80" w:line="290"/>
            </w:pPr>
            <w:r>
              <w:rPr>
                <w:rFonts w:ascii="Nunito Sans" w:cs="Nunito Sans" w:eastAsia="Nunito Sans" w:hAnsi="Nunito Sans"/>
                <w:color w:val="102E3B"/>
                <w:sz w:val="19"/>
                <w:szCs w:val="19"/>
              </w:rPr>
              <w:t xml:space="preserve">También atiende los casos urgentes de salvaguarda cuando no se puede localizar a la persona responsable durante más de </w:t>
            </w:r>
            <w:r>
              <w:rPr>
                <w:rFonts w:ascii="Nunito Sans" w:cs="Nunito Sans" w:eastAsia="Nunito Sans" w:hAnsi="Nunito Sans"/>
                <w:color w:val="102E3B"/>
                <w:sz w:val="19"/>
                <w:szCs w:val="19"/>
                <w:highlight w:val="yellow"/>
              </w:rPr>
              <w:t xml:space="preserve">[48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El rol es reducido: recibir una inquietud, acusar recibo, asegurarse de que se gestione con equidad y obtener asesoramiento externo cuando sea necesario.</w:t>
            </w:r>
          </w:p>
          <w:p>
            <w:pPr>
              <w:pStyle w:val="ListParagraph"/>
              <w:numPr>
                <w:ilvl w:val="0"/>
                <w:numId w:val="3"/>
              </w:numPr>
              <w:spacing w:after="80" w:line="290"/>
            </w:pPr>
            <w:r>
              <w:rPr>
                <w:rFonts w:ascii="Nunito Sans" w:cs="Nunito Sans" w:eastAsia="Nunito Sans" w:hAnsi="Nunito Sans"/>
                <w:color w:val="102E3B"/>
                <w:sz w:val="19"/>
                <w:szCs w:val="19"/>
              </w:rPr>
              <w:t xml:space="preserve">No dirige la organización, no investiga en solitario ni asume sus obligaciones legales.</w:t>
            </w:r>
          </w:p>
          <w:p>
            <w:pPr>
              <w:pStyle w:val="ListParagraph"/>
              <w:numPr>
                <w:ilvl w:val="0"/>
                <w:numId w:val="3"/>
              </w:numPr>
              <w:spacing w:after="80" w:line="290"/>
            </w:pPr>
            <w:r>
              <w:rPr>
                <w:rFonts w:ascii="Nunito Sans" w:cs="Nunito Sans" w:eastAsia="Nunito Sans" w:hAnsi="Nunito Sans"/>
                <w:color w:val="102E3B"/>
                <w:sz w:val="19"/>
                <w:szCs w:val="19"/>
              </w:rPr>
              <w:t xml:space="preserve">Puede que se use rara vez, quizá nunca. Prevemos </w:t>
            </w:r>
            <w:r>
              <w:rPr>
                <w:rFonts w:ascii="Nunito Sans" w:cs="Nunito Sans" w:eastAsia="Nunito Sans" w:hAnsi="Nunito Sans"/>
                <w:color w:val="102E3B"/>
                <w:sz w:val="19"/>
                <w:szCs w:val="19"/>
                <w:highlight w:val="yellow"/>
              </w:rPr>
              <w:t xml:space="preserve">[unas pocas horas al año]</w:t>
            </w:r>
            <w:r>
              <w:rPr>
                <w:rFonts w:ascii="Nunito Sans" w:cs="Nunito Sans" w:eastAsia="Nunito Sans" w:hAnsi="Nunito Sans"/>
                <w:color w:val="102E3B"/>
                <w:sz w:val="19"/>
                <w:szCs w:val="19"/>
              </w:rPr>
              <w:t xml:space="preserve">, y más solo si surge un caso.</w:t>
            </w:r>
          </w:p>
          <w:p>
            <w:pPr>
              <w:pStyle w:val="ListParagraph"/>
              <w:numPr>
                <w:ilvl w:val="0"/>
                <w:numId w:val="3"/>
              </w:numPr>
              <w:spacing w:after="80" w:line="290"/>
            </w:pPr>
            <w:r>
              <w:rPr>
                <w:rFonts w:ascii="Nunito Sans" w:cs="Nunito Sans" w:eastAsia="Nunito Sans" w:hAnsi="Nunito Sans"/>
                <w:color w:val="102E3B"/>
                <w:sz w:val="19"/>
                <w:szCs w:val="19"/>
              </w:rPr>
              <w:t xml:space="preserve">Todo lo que conoce es confidencial.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paga el asesoramiento externo que necesite.</w:t>
            </w:r>
          </w:p>
          <w:p>
            <w:pPr>
              <w:pStyle w:val="ListParagraph"/>
              <w:numPr>
                <w:ilvl w:val="0"/>
                <w:numId w:val="3"/>
              </w:numPr>
              <w:spacing w:after="80" w:line="290"/>
            </w:pPr>
            <w:r>
              <w:rPr>
                <w:rFonts w:ascii="Nunito Sans" w:cs="Nunito Sans" w:eastAsia="Nunito Sans" w:hAnsi="Nunito Sans"/>
                <w:color w:val="102E3B"/>
                <w:sz w:val="19"/>
                <w:szCs w:val="19"/>
              </w:rPr>
              <w:t xml:space="preserve">Cualquiera de las partes puede poner fin al acuerdo con un preaviso por escrito de </w:t>
            </w:r>
            <w:r>
              <w:rPr>
                <w:rFonts w:ascii="Nunito Sans" w:cs="Nunito Sans" w:eastAsia="Nunito Sans" w:hAnsi="Nunito Sans"/>
                <w:color w:val="102E3B"/>
                <w:sz w:val="19"/>
                <w:szCs w:val="19"/>
                <w:highlight w:val="yellow"/>
              </w:rPr>
              <w:t xml:space="preserve">[un mes]</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Por qué existe este rol</w:t>
      </w:r>
    </w:p>
    <w:p>
      <w:pPr>
        <w:spacing w:after="120" w:before="0" w:line="300"/>
      </w:pPr>
      <w:r>
        <w:rPr>
          <w:rFonts w:ascii="Nunito Sans" w:cs="Nunito Sans" w:eastAsia="Nunito Sans" w:hAnsi="Nunito Sans"/>
          <w:color w:val="102E3B"/>
          <w:sz w:val="20"/>
          <w:szCs w:val="20"/>
        </w:rPr>
        <w:t xml:space="preserve">En una organización pequeña, a menudo una sola persona dirige el trabajo, maneja el dinero, gestiona al equipo y recibe todas las inquietudes de salvaguarda o de denuncia de irregularidades. Eso crea un vacío: si la inquietud es sobre esa persona, o si está implicada, quien informa no tiene un lugar seguro al que acudir.</w:t>
      </w:r>
    </w:p>
    <w:p>
      <w:pPr>
        <w:spacing w:after="120" w:before="0" w:line="300"/>
      </w:pPr>
      <w:r>
        <w:rPr>
          <w:rFonts w:ascii="Nunito Sans" w:cs="Nunito Sans" w:eastAsia="Nunito Sans" w:hAnsi="Nunito Sans"/>
          <w:color w:val="102E3B"/>
          <w:sz w:val="20"/>
          <w:szCs w:val="20"/>
        </w:rPr>
        <w:t xml:space="preserve">El contacto independiente cubre ese vacío. Nuestras políticas establecen que las inquietudes sobre </w:t>
      </w:r>
      <w:r>
        <w:rPr>
          <w:rFonts w:ascii="Nunito Sans" w:cs="Nunito Sans" w:eastAsia="Nunito Sans" w:hAnsi="Nunito Sans"/>
          <w:color w:val="102E3B"/>
          <w:sz w:val="20"/>
          <w:szCs w:val="20"/>
          <w:highlight w:val="yellow"/>
        </w:rPr>
        <w:t xml:space="preserve">[la persona fundadora / la persona directora / la persona responsable de salvaguarda]</w:t>
      </w:r>
      <w:r>
        <w:rPr>
          <w:rFonts w:ascii="Nunito Sans" w:cs="Nunito Sans" w:eastAsia="Nunito Sans" w:hAnsi="Nunito Sans"/>
          <w:color w:val="102E3B"/>
          <w:sz w:val="20"/>
          <w:szCs w:val="20"/>
        </w:rPr>
        <w:t xml:space="preserve"> ("la persona responsable"), o los casos en los que la persona responsable está implicada o tiene un conflicto, se dirigen al contacto independiente. El contacto independiente también atiende los casos urgentes de salvaguarda cuando no se puede localizar a la persona responsable durante más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Cómo usar esta nota</w:t>
      </w:r>
    </w:p>
    <w:p>
      <w:pPr>
        <w:pStyle w:val="ListParagraph"/>
        <w:numPr>
          <w:ilvl w:val="0"/>
          <w:numId w:val="4"/>
        </w:numPr>
        <w:spacing w:after="80" w:line="290"/>
      </w:pPr>
      <w:r>
        <w:rPr>
          <w:rFonts w:ascii="Nunito Sans" w:cs="Nunito Sans" w:eastAsia="Nunito Sans" w:hAnsi="Nunito Sans"/>
          <w:color w:val="102E3B"/>
          <w:sz w:val="20"/>
          <w:szCs w:val="20"/>
        </w:rPr>
        <w:t xml:space="preserve">Adapta esta nota y compártela con la persona a la que te gustaría invitar.</w:t>
      </w:r>
    </w:p>
    <w:p>
      <w:pPr>
        <w:pStyle w:val="ListParagraph"/>
        <w:numPr>
          <w:ilvl w:val="0"/>
          <w:numId w:val="4"/>
        </w:numPr>
        <w:spacing w:after="80" w:line="290"/>
      </w:pPr>
      <w:r>
        <w:rPr>
          <w:rFonts w:ascii="Nunito Sans" w:cs="Nunito Sans" w:eastAsia="Nunito Sans" w:hAnsi="Nunito Sans"/>
          <w:color w:val="102E3B"/>
          <w:sz w:val="20"/>
          <w:szCs w:val="20"/>
        </w:rPr>
        <w:t xml:space="preserve">Reúnete con ella, explícale la organización y las políticas, y responde a sus preguntas.</w:t>
      </w:r>
    </w:p>
    <w:p>
      <w:pPr>
        <w:pStyle w:val="ListParagraph"/>
        <w:numPr>
          <w:ilvl w:val="0"/>
          <w:numId w:val="4"/>
        </w:numPr>
        <w:spacing w:after="80" w:line="290"/>
      </w:pPr>
      <w:r>
        <w:rPr>
          <w:rFonts w:ascii="Nunito Sans" w:cs="Nunito Sans" w:eastAsia="Nunito Sans" w:hAnsi="Nunito Sans"/>
          <w:color w:val="102E3B"/>
          <w:sz w:val="20"/>
          <w:szCs w:val="20"/>
        </w:rPr>
        <w:t xml:space="preserve">Si acepta, ambas partes firman la carta de nombramiento que figura al final, y el órgano de gobierno deja constancia del nombramiento.</w:t>
      </w:r>
    </w:p>
    <w:p>
      <w:pPr>
        <w:pStyle w:val="ListParagraph"/>
        <w:numPr>
          <w:ilvl w:val="0"/>
          <w:numId w:val="4"/>
        </w:numPr>
        <w:spacing w:after="80" w:line="290"/>
      </w:pPr>
      <w:r>
        <w:rPr>
          <w:rFonts w:ascii="Nunito Sans" w:cs="Nunito Sans" w:eastAsia="Nunito Sans" w:hAnsi="Nunito Sans"/>
          <w:color w:val="102E3B"/>
          <w:sz w:val="20"/>
          <w:szCs w:val="20"/>
        </w:rPr>
        <w:t xml:space="preserve">Publica los datos de contacto en todas las políticas que mencionan el rol e informa a tu equipo, a tus socios y a tus financiadores.</w:t>
      </w:r>
    </w:p>
    <w:p>
      <w:pPr>
        <w:pStyle w:val="ListParagraph"/>
        <w:numPr>
          <w:ilvl w:val="0"/>
          <w:numId w:val="4"/>
        </w:numPr>
        <w:spacing w:after="80" w:line="290"/>
      </w:pPr>
      <w:r>
        <w:rPr>
          <w:rFonts w:ascii="Nunito Sans" w:cs="Nunito Sans" w:eastAsia="Nunito Sans" w:hAnsi="Nunito Sans"/>
          <w:color w:val="102E3B"/>
          <w:sz w:val="20"/>
          <w:szCs w:val="20"/>
        </w:rPr>
        <w:t xml:space="preserve">Revisa el acuerdo cada año.</w:t>
      </w:r>
    </w:p>
    <w:p>
      <w:pPr>
        <w:pStyle w:val="Heading1"/>
        <w:keepNext/>
        <w:spacing w:after="160" w:before="360"/>
      </w:pPr>
      <w:r>
        <w:rPr>
          <w:rFonts w:ascii="DM Serif Display" w:cs="DM Serif Display" w:eastAsia="DM Serif Display" w:hAnsi="DM Serif Display"/>
          <w:color w:val="123C48"/>
          <w:sz w:val="40"/>
          <w:szCs w:val="40"/>
        </w:rPr>
        <w:t xml:space="preserve">Quién puede ser el contacto independiente</w:t>
      </w:r>
    </w:p>
    <w:p>
      <w:pPr>
        <w:spacing w:after="120" w:before="0" w:line="300"/>
      </w:pPr>
      <w:r>
        <w:rPr>
          <w:rFonts w:ascii="Nunito Sans" w:cs="Nunito Sans" w:eastAsia="Nunito Sans" w:hAnsi="Nunito Sans"/>
          <w:color w:val="102E3B"/>
          <w:sz w:val="20"/>
          <w:szCs w:val="20"/>
        </w:rPr>
        <w:t xml:space="preserve">El contacto independiente debe ser una persona:</w:t>
      </w:r>
    </w:p>
    <w:p>
      <w:pPr>
        <w:pStyle w:val="ListParagraph"/>
        <w:numPr>
          <w:ilvl w:val="0"/>
          <w:numId w:val="3"/>
        </w:numPr>
        <w:spacing w:after="80" w:line="290"/>
      </w:pPr>
      <w:r>
        <w:rPr>
          <w:rFonts w:ascii="Nunito Sans" w:cs="Nunito Sans" w:eastAsia="Nunito Sans" w:hAnsi="Nunito Sans"/>
          <w:b/>
          <w:bCs/>
          <w:color w:val="102E3B"/>
          <w:sz w:val="20"/>
          <w:szCs w:val="20"/>
        </w:rPr>
        <w:t xml:space="preserve">independiente de la persona responsable:</w:t>
      </w:r>
      <w:r>
        <w:rPr>
          <w:rFonts w:ascii="Nunito Sans" w:cs="Nunito Sans" w:eastAsia="Nunito Sans" w:hAnsi="Nunito Sans"/>
          <w:color w:val="102E3B"/>
          <w:sz w:val="20"/>
          <w:szCs w:val="20"/>
        </w:rPr>
        <w:t xml:space="preserve"> que no esté bajo su gestión ni reciba pagos de ella, y sin vínculos comerciales, familiares o personales estrechos con ella;</w:t>
      </w:r>
    </w:p>
    <w:p>
      <w:pPr>
        <w:pStyle w:val="ListParagraph"/>
        <w:numPr>
          <w:ilvl w:val="0"/>
          <w:numId w:val="3"/>
        </w:numPr>
        <w:spacing w:after="80" w:line="290"/>
      </w:pPr>
      <w:r>
        <w:rPr>
          <w:rFonts w:ascii="Nunito Sans" w:cs="Nunito Sans" w:eastAsia="Nunito Sans" w:hAnsi="Nunito Sans"/>
          <w:b/>
          <w:bCs/>
          <w:color w:val="102E3B"/>
          <w:sz w:val="20"/>
          <w:szCs w:val="20"/>
        </w:rPr>
        <w:t xml:space="preserve">de confianza:</w:t>
      </w:r>
      <w:r>
        <w:rPr>
          <w:rFonts w:ascii="Nunito Sans" w:cs="Nunito Sans" w:eastAsia="Nunito Sans" w:hAnsi="Nunito Sans"/>
          <w:color w:val="102E3B"/>
          <w:sz w:val="20"/>
          <w:szCs w:val="20"/>
        </w:rPr>
        <w:t xml:space="preserve"> alguien a quien la gente se sentiría segura de contar una inquietud delicada;</w:t>
      </w:r>
    </w:p>
    <w:p>
      <w:pPr>
        <w:pStyle w:val="ListParagraph"/>
        <w:numPr>
          <w:ilvl w:val="0"/>
          <w:numId w:val="3"/>
        </w:numPr>
        <w:spacing w:after="80" w:line="290"/>
      </w:pPr>
      <w:r>
        <w:rPr>
          <w:rFonts w:ascii="Nunito Sans" w:cs="Nunito Sans" w:eastAsia="Nunito Sans" w:hAnsi="Nunito Sans"/>
          <w:b/>
          <w:bCs/>
          <w:color w:val="102E3B"/>
          <w:sz w:val="20"/>
          <w:szCs w:val="20"/>
        </w:rPr>
        <w:t xml:space="preserve">con experiencia:</w:t>
      </w:r>
      <w:r>
        <w:rPr>
          <w:rFonts w:ascii="Nunito Sans" w:cs="Nunito Sans" w:eastAsia="Nunito Sans" w:hAnsi="Nunito Sans"/>
          <w:color w:val="102E3B"/>
          <w:sz w:val="20"/>
          <w:szCs w:val="20"/>
        </w:rPr>
        <w:t xml:space="preserve"> con buen criterio y, idealmente, experiencia en salvaguarda, recursos humanos, derecho, auditoría o gobernanza de organizaciones sin fines de lucro;</w:t>
      </w:r>
    </w:p>
    <w:p>
      <w:pPr>
        <w:pStyle w:val="ListParagraph"/>
        <w:numPr>
          <w:ilvl w:val="0"/>
          <w:numId w:val="3"/>
        </w:numPr>
        <w:spacing w:after="80" w:line="290"/>
      </w:pPr>
      <w:r>
        <w:rPr>
          <w:rFonts w:ascii="Nunito Sans" w:cs="Nunito Sans" w:eastAsia="Nunito Sans" w:hAnsi="Nunito Sans"/>
          <w:b/>
          <w:bCs/>
          <w:color w:val="102E3B"/>
          <w:sz w:val="20"/>
          <w:szCs w:val="20"/>
        </w:rPr>
        <w:t xml:space="preserve">localizable:</w:t>
      </w:r>
      <w:r>
        <w:rPr>
          <w:rFonts w:ascii="Nunito Sans" w:cs="Nunito Sans" w:eastAsia="Nunito Sans" w:hAnsi="Nunito Sans"/>
          <w:color w:val="102E3B"/>
          <w:sz w:val="20"/>
          <w:szCs w:val="20"/>
        </w:rPr>
        <w:t xml:space="preserve"> capaz de responder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y el mismo día en cualquier asunto urgente;</w:t>
      </w:r>
    </w:p>
    <w:p>
      <w:pPr>
        <w:pStyle w:val="ListParagraph"/>
        <w:numPr>
          <w:ilvl w:val="0"/>
          <w:numId w:val="3"/>
        </w:numPr>
        <w:spacing w:after="80" w:line="290"/>
      </w:pPr>
      <w:r>
        <w:rPr>
          <w:rFonts w:ascii="Nunito Sans" w:cs="Nunito Sans" w:eastAsia="Nunito Sans" w:hAnsi="Nunito Sans"/>
          <w:b/>
          <w:bCs/>
          <w:color w:val="102E3B"/>
          <w:sz w:val="20"/>
          <w:szCs w:val="20"/>
        </w:rPr>
        <w:t xml:space="preserve">dispuesta a mantener la confidencialidad</w:t>
      </w:r>
      <w:r>
        <w:rPr>
          <w:rFonts w:ascii="Nunito Sans" w:cs="Nunito Sans" w:eastAsia="Nunito Sans" w:hAnsi="Nunito Sans"/>
          <w:color w:val="102E3B"/>
          <w:sz w:val="20"/>
          <w:szCs w:val="20"/>
        </w:rPr>
        <w:t xml:space="preserve"> y a tratar la información personal con cuidado.</w:t>
      </w:r>
    </w:p>
    <w:p>
      <w:pPr>
        <w:spacing w:after="120" w:before="0" w:line="300"/>
      </w:pPr>
      <w:r>
        <w:rPr>
          <w:rFonts w:ascii="Nunito Sans" w:cs="Nunito Sans" w:eastAsia="Nunito Sans" w:hAnsi="Nunito Sans"/>
          <w:color w:val="102E3B"/>
          <w:sz w:val="20"/>
          <w:szCs w:val="20"/>
        </w:rPr>
        <w:t xml:space="preserve">No debe ser: familiar, pareja o amistad cercana de la persona responsable; una persona empleada de la organización, ni contratista o consultora que realice otros trabajos para ella; un donante importante, ni la persona de un financiador que gestiona nuestra subvención; ni alguien con una relación comercial con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A LA PERSONA</w:t>
            </w:r>
          </w:p>
          <w:p>
            <w:pPr>
              <w:spacing w:after="120" w:before="0" w:line="300"/>
            </w:pPr>
            <w:r>
              <w:rPr>
                <w:rFonts w:ascii="Nunito Sans" w:cs="Nunito Sans" w:eastAsia="Nunito Sans" w:hAnsi="Nunito Sans"/>
                <w:color w:val="102E3B"/>
                <w:sz w:val="19"/>
                <w:szCs w:val="19"/>
              </w:rPr>
              <w:t xml:space="preserve">Buenas opciones para una organización pequeña:</w:t>
            </w:r>
          </w:p>
          <w:p>
            <w:pPr>
              <w:pStyle w:val="ListParagraph"/>
              <w:numPr>
                <w:ilvl w:val="0"/>
                <w:numId w:val="3"/>
              </w:numPr>
              <w:spacing w:after="80" w:line="290"/>
            </w:pPr>
            <w:r>
              <w:rPr>
                <w:rFonts w:ascii="Nunito Sans" w:cs="Nunito Sans" w:eastAsia="Nunito Sans" w:hAnsi="Nunito Sans"/>
                <w:color w:val="102E3B"/>
                <w:sz w:val="19"/>
                <w:szCs w:val="19"/>
              </w:rPr>
              <w:t xml:space="preserve">un miembro del órgano de gobierno que no sea parte del personal ni tenga una relación cercana con la persona fundadora (es habitual y fácil de entender para los financiadores);</w:t>
            </w:r>
          </w:p>
          <w:p>
            <w:pPr>
              <w:pStyle w:val="ListParagraph"/>
              <w:numPr>
                <w:ilvl w:val="0"/>
                <w:numId w:val="3"/>
              </w:numPr>
              <w:spacing w:after="80" w:line="290"/>
            </w:pPr>
            <w:r>
              <w:rPr>
                <w:rFonts w:ascii="Nunito Sans" w:cs="Nunito Sans" w:eastAsia="Nunito Sans" w:hAnsi="Nunito Sans"/>
                <w:color w:val="102E3B"/>
                <w:sz w:val="19"/>
                <w:szCs w:val="19"/>
              </w:rPr>
              <w:t xml:space="preserve">una profesional o un profesional de confianza ajeno a la organización, como una abogada jubilada, un responsable de recursos humanos, una auditora o un asesor de salvaguarda;</w:t>
            </w:r>
          </w:p>
          <w:p>
            <w:pPr>
              <w:pStyle w:val="ListParagraph"/>
              <w:numPr>
                <w:ilvl w:val="0"/>
                <w:numId w:val="3"/>
              </w:numPr>
              <w:spacing w:after="80" w:line="290"/>
            </w:pPr>
            <w:r>
              <w:rPr>
                <w:rFonts w:ascii="Nunito Sans" w:cs="Nunito Sans" w:eastAsia="Nunito Sans" w:hAnsi="Nunito Sans"/>
                <w:color w:val="102E3B"/>
                <w:sz w:val="19"/>
                <w:szCs w:val="19"/>
              </w:rPr>
              <w:t xml:space="preserve">la persona que dirige o se encarga de la salvaguarda en una organización afín, en un acuerdo recíproco (cada una actúa para la otra);</w:t>
            </w:r>
          </w:p>
          <w:p>
            <w:pPr>
              <w:pStyle w:val="ListParagraph"/>
              <w:numPr>
                <w:ilvl w:val="0"/>
                <w:numId w:val="3"/>
              </w:numPr>
              <w:spacing w:after="80" w:line="290"/>
            </w:pPr>
            <w:r>
              <w:rPr>
                <w:rFonts w:ascii="Nunito Sans" w:cs="Nunito Sans" w:eastAsia="Nunito Sans" w:hAnsi="Nunito Sans"/>
                <w:color w:val="102E3B"/>
                <w:sz w:val="19"/>
                <w:szCs w:val="19"/>
              </w:rPr>
              <w:t xml:space="preserve">un servicio remunerado de salvaguarda o de denuncia de irregularidades, si tu presupuesto lo permite.</w:t>
            </w:r>
          </w:p>
          <w:p>
            <w:pPr>
              <w:spacing w:after="120" w:before="0" w:line="300"/>
            </w:pPr>
            <w:r>
              <w:rPr>
                <w:rFonts w:ascii="Nunito Sans" w:cs="Nunito Sans" w:eastAsia="Nunito Sans" w:hAnsi="Nunito Sans"/>
                <w:color w:val="102E3B"/>
                <w:sz w:val="19"/>
                <w:szCs w:val="19"/>
              </w:rPr>
              <w:t xml:space="preserve">Ten en cuenta el idioma, la zona horaria y el género: por ejemplo, alguien que denuncia acoso sexual puede preferir hablar con una mujer. Si puedes, nombra a una segunda persona como suplente. Si la persona fundadora es el único miembro del órgano de gobierno, o si este está formado por familiares, este rol es aún más importante, y es posible que un financiador pregunte por él.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hace el contacto independiente</w:t>
      </w:r>
    </w:p>
    <w:p>
      <w:pPr>
        <w:pStyle w:val="ListParagraph"/>
        <w:numPr>
          <w:ilvl w:val="0"/>
          <w:numId w:val="5"/>
        </w:numPr>
        <w:spacing w:after="80" w:line="290"/>
      </w:pPr>
      <w:r>
        <w:rPr>
          <w:rFonts w:ascii="Nunito Sans" w:cs="Nunito Sans" w:eastAsia="Nunito Sans" w:hAnsi="Nunito Sans"/>
          <w:b/>
          <w:bCs/>
          <w:color w:val="102E3B"/>
          <w:sz w:val="20"/>
          <w:szCs w:val="20"/>
        </w:rPr>
        <w:t xml:space="preserve">Recibe</w:t>
      </w:r>
      <w:r>
        <w:rPr>
          <w:rFonts w:ascii="Nunito Sans" w:cs="Nunito Sans" w:eastAsia="Nunito Sans" w:hAnsi="Nunito Sans"/>
          <w:color w:val="102E3B"/>
          <w:sz w:val="20"/>
          <w:szCs w:val="20"/>
        </w:rPr>
        <w:t xml:space="preserve"> las inquietudes enviadas a </w:t>
      </w:r>
      <w:r>
        <w:rPr>
          <w:rFonts w:ascii="Nunito Sans" w:cs="Nunito Sans" w:eastAsia="Nunito Sans" w:hAnsi="Nunito Sans"/>
          <w:color w:val="102E3B"/>
          <w:sz w:val="20"/>
          <w:szCs w:val="20"/>
          <w:highlight w:val="yellow"/>
        </w:rPr>
        <w:t xml:space="preserve">[contacto.independiente@tuorganizacion.org]</w:t>
      </w:r>
      <w:r>
        <w:rPr>
          <w:rFonts w:ascii="Nunito Sans" w:cs="Nunito Sans" w:eastAsia="Nunito Sans" w:hAnsi="Nunito Sans"/>
          <w:color w:val="102E3B"/>
          <w:sz w:val="20"/>
          <w:szCs w:val="20"/>
        </w:rPr>
        <w:t xml:space="preserve">, una dirección que solo puede leer el contacto independiente, o por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b/>
          <w:bCs/>
          <w:color w:val="102E3B"/>
          <w:sz w:val="20"/>
          <w:szCs w:val="20"/>
        </w:rPr>
        <w:t xml:space="preserve">Acusa recibo</w:t>
      </w:r>
      <w:r>
        <w:rPr>
          <w:rFonts w:ascii="Nunito Sans" w:cs="Nunito Sans" w:eastAsia="Nunito Sans" w:hAnsi="Nunito Sans"/>
          <w:color w:val="102E3B"/>
          <w:sz w:val="20"/>
          <w:szCs w:val="20"/>
        </w:rPr>
        <w:t xml:space="preserve"> de cada inquietud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y el mismo día si alguien puede estar en riesgo. Asigna un número de referencia y explica qué ocurrirá a continuación.</w:t>
      </w:r>
    </w:p>
    <w:p>
      <w:pPr>
        <w:pStyle w:val="ListParagraph"/>
        <w:numPr>
          <w:ilvl w:val="0"/>
          <w:numId w:val="5"/>
        </w:numPr>
        <w:spacing w:after="80" w:line="290"/>
      </w:pPr>
      <w:r>
        <w:rPr>
          <w:rFonts w:ascii="Nunito Sans" w:cs="Nunito Sans" w:eastAsia="Nunito Sans" w:hAnsi="Nunito Sans"/>
          <w:b/>
          <w:bCs/>
          <w:color w:val="102E3B"/>
          <w:sz w:val="20"/>
          <w:szCs w:val="20"/>
        </w:rPr>
        <w:t xml:space="preserve">Evalúa</w:t>
      </w:r>
      <w:r>
        <w:rPr>
          <w:rFonts w:ascii="Nunito Sans" w:cs="Nunito Sans" w:eastAsia="Nunito Sans" w:hAnsi="Nunito Sans"/>
          <w:color w:val="102E3B"/>
          <w:sz w:val="20"/>
          <w:szCs w:val="20"/>
        </w:rPr>
        <w:t xml:space="preserve"> la inquietud: ¿hay alguien en riesgo ahora?; ¿qué política se aplica?; ¿exige la ley comunicarlo a las autoridades?</w:t>
      </w:r>
    </w:p>
    <w:p>
      <w:pPr>
        <w:pStyle w:val="ListParagraph"/>
        <w:numPr>
          <w:ilvl w:val="0"/>
          <w:numId w:val="5"/>
        </w:numPr>
        <w:spacing w:after="80" w:line="290"/>
      </w:pPr>
      <w:r>
        <w:rPr>
          <w:rFonts w:ascii="Nunito Sans" w:cs="Nunito Sans" w:eastAsia="Nunito Sans" w:hAnsi="Nunito Sans"/>
          <w:b/>
          <w:bCs/>
          <w:color w:val="102E3B"/>
          <w:sz w:val="20"/>
          <w:szCs w:val="20"/>
        </w:rPr>
        <w:t xml:space="preserve">Solicita medidas de protección</w:t>
      </w:r>
      <w:r>
        <w:rPr>
          <w:rFonts w:ascii="Nunito Sans" w:cs="Nunito Sans" w:eastAsia="Nunito Sans" w:hAnsi="Nunito Sans"/>
          <w:color w:val="102E3B"/>
          <w:sz w:val="20"/>
          <w:szCs w:val="20"/>
        </w:rPr>
        <w:t xml:space="preserve"> cuando sea necesario: por ejemplo, suspender el acceso de la persona responsable a un sistema, pausar una actividad o pedir a la persona responsable que se aparte de una decisión. La organización debe atender estas solicitudes, y la persona responsable no puede ver el caso mientras sea objeto de él.</w:t>
      </w:r>
    </w:p>
    <w:p>
      <w:pPr>
        <w:pStyle w:val="ListParagraph"/>
        <w:numPr>
          <w:ilvl w:val="0"/>
          <w:numId w:val="5"/>
        </w:numPr>
        <w:spacing w:after="80" w:line="290"/>
      </w:pPr>
      <w:r>
        <w:rPr>
          <w:rFonts w:ascii="Nunito Sans" w:cs="Nunito Sans" w:eastAsia="Nunito Sans" w:hAnsi="Nunito Sans"/>
          <w:b/>
          <w:bCs/>
          <w:color w:val="102E3B"/>
          <w:sz w:val="20"/>
          <w:szCs w:val="20"/>
        </w:rPr>
        <w:t xml:space="preserve">Se asegura de que la inquietud se gestione con equidad.</w:t>
      </w:r>
      <w:r>
        <w:rPr>
          <w:rFonts w:ascii="Nunito Sans" w:cs="Nunito Sans" w:eastAsia="Nunito Sans" w:hAnsi="Nunito Sans"/>
          <w:color w:val="102E3B"/>
          <w:sz w:val="20"/>
          <w:szCs w:val="20"/>
        </w:rPr>
        <w:t xml:space="preserve"> Para cualquier asunto grave, designa a una persona asesora o investigadora externa con experiencia. Acuerda sus términos de referencia y recibe su informe.</w:t>
      </w:r>
    </w:p>
    <w:p>
      <w:pPr>
        <w:pStyle w:val="ListParagraph"/>
        <w:numPr>
          <w:ilvl w:val="0"/>
          <w:numId w:val="5"/>
        </w:numPr>
        <w:spacing w:after="80" w:line="290"/>
      </w:pPr>
      <w:r>
        <w:rPr>
          <w:rFonts w:ascii="Nunito Sans" w:cs="Nunito Sans" w:eastAsia="Nunito Sans" w:hAnsi="Nunito Sans"/>
          <w:b/>
          <w:bCs/>
          <w:color w:val="102E3B"/>
          <w:sz w:val="20"/>
          <w:szCs w:val="20"/>
        </w:rPr>
        <w:t xml:space="preserve">Remite</w:t>
      </w:r>
      <w:r>
        <w:rPr>
          <w:rFonts w:ascii="Nunito Sans" w:cs="Nunito Sans" w:eastAsia="Nunito Sans" w:hAnsi="Nunito Sans"/>
          <w:color w:val="102E3B"/>
          <w:sz w:val="20"/>
          <w:szCs w:val="20"/>
        </w:rPr>
        <w:t xml:space="preserve"> el asunto a la policía u otras autoridades cuando alguien esté en riesgo o la ley lo exija, cuidando de no poner a la persona sobreviviente en mayor riesgo.</w:t>
      </w:r>
    </w:p>
    <w:p>
      <w:pPr>
        <w:pStyle w:val="ListParagraph"/>
        <w:numPr>
          <w:ilvl w:val="0"/>
          <w:numId w:val="5"/>
        </w:numPr>
        <w:spacing w:after="80" w:line="290"/>
      </w:pPr>
      <w:r>
        <w:rPr>
          <w:rFonts w:ascii="Nunito Sans" w:cs="Nunito Sans" w:eastAsia="Nunito Sans" w:hAnsi="Nunito Sans"/>
          <w:b/>
          <w:bCs/>
          <w:color w:val="102E3B"/>
          <w:sz w:val="20"/>
          <w:szCs w:val="20"/>
        </w:rPr>
        <w:t xml:space="preserve">Informa</w:t>
      </w:r>
      <w:r>
        <w:rPr>
          <w:rFonts w:ascii="Nunito Sans" w:cs="Nunito Sans" w:eastAsia="Nunito Sans" w:hAnsi="Nunito Sans"/>
          <w:color w:val="102E3B"/>
          <w:sz w:val="20"/>
          <w:szCs w:val="20"/>
        </w:rPr>
        <w:t xml:space="preserve"> a quien comunicó la inquietud, en la medida en que lo permita la confidencialidad, y comunica el resultado al órgano de gobierno sin identificar a quien informó.</w:t>
      </w:r>
    </w:p>
    <w:p>
      <w:pPr>
        <w:pStyle w:val="ListParagraph"/>
        <w:numPr>
          <w:ilvl w:val="0"/>
          <w:numId w:val="5"/>
        </w:numPr>
        <w:spacing w:after="80" w:line="290"/>
      </w:pPr>
      <w:r>
        <w:rPr>
          <w:rFonts w:ascii="Nunito Sans" w:cs="Nunito Sans" w:eastAsia="Nunito Sans" w:hAnsi="Nunito Sans"/>
          <w:b/>
          <w:bCs/>
          <w:color w:val="102E3B"/>
          <w:sz w:val="20"/>
          <w:szCs w:val="20"/>
        </w:rPr>
        <w:t xml:space="preserve">Lleva un registro breve:</w:t>
      </w:r>
      <w:r>
        <w:rPr>
          <w:rFonts w:ascii="Nunito Sans" w:cs="Nunito Sans" w:eastAsia="Nunito Sans" w:hAnsi="Nunito Sans"/>
          <w:color w:val="102E3B"/>
          <w:sz w:val="20"/>
          <w:szCs w:val="20"/>
        </w:rPr>
        <w:t xml:space="preserve"> fecha, referencia, qué se planteó, qué hizo, decisiones y resultado. Lo guarda separado de los sistemas de la organización.</w:t>
      </w:r>
    </w:p>
    <w:p>
      <w:pPr>
        <w:spacing w:after="120" w:before="0" w:line="300"/>
      </w:pPr>
      <w:r>
        <w:rPr>
          <w:rFonts w:ascii="Nunito Sans" w:cs="Nunito Sans" w:eastAsia="Nunito Sans" w:hAnsi="Nunito Sans"/>
          <w:color w:val="102E3B"/>
          <w:sz w:val="20"/>
          <w:szCs w:val="20"/>
        </w:rPr>
        <w:t xml:space="preserve">El contacto independiente también atiende las solicitudes de revisión de decisiones tomadas en virtud de nuestras políticas, cuando la decisión original fue de la persona responsable.</w:t>
      </w:r>
    </w:p>
    <w:p>
      <w:pPr>
        <w:pStyle w:val="Heading1"/>
        <w:keepNext/>
        <w:spacing w:after="160" w:before="360"/>
      </w:pPr>
      <w:r>
        <w:rPr>
          <w:rFonts w:ascii="DM Serif Display" w:cs="DM Serif Display" w:eastAsia="DM Serif Display" w:hAnsi="DM Serif Display"/>
          <w:color w:val="123C48"/>
          <w:sz w:val="40"/>
          <w:szCs w:val="40"/>
        </w:rPr>
        <w:t xml:space="preserve">Qué no hace el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No investiga en solitario ni actúa como juez. Para cualquier asunto grave, recurre a una persona investigadora con experiencia.</w:t>
      </w:r>
    </w:p>
    <w:p>
      <w:pPr>
        <w:pStyle w:val="ListParagraph"/>
        <w:numPr>
          <w:ilvl w:val="0"/>
          <w:numId w:val="3"/>
        </w:numPr>
        <w:spacing w:after="80" w:line="290"/>
      </w:pPr>
      <w:r>
        <w:rPr>
          <w:rFonts w:ascii="Nunito Sans" w:cs="Nunito Sans" w:eastAsia="Nunito Sans" w:hAnsi="Nunito Sans"/>
          <w:color w:val="102E3B"/>
          <w:sz w:val="20"/>
          <w:szCs w:val="20"/>
        </w:rPr>
        <w:t xml:space="preserve">No dirige la organización, no gestiona al personal, no aprueba gastos por encima del límite acordado ni habla públicamente en nombre de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No asume las obligaciones legales de la organización. La responsabilidad en materia de salvaguarda, empleo y cumplimiento sigue siendo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de su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No ofrece asesoramiento psicológico ni jurídico a ninguna de las personas implicadas.</w:t>
      </w:r>
    </w:p>
    <w:p>
      <w:pPr>
        <w:pStyle w:val="ListParagraph"/>
        <w:numPr>
          <w:ilvl w:val="0"/>
          <w:numId w:val="3"/>
        </w:numPr>
        <w:spacing w:after="80" w:line="290"/>
      </w:pPr>
      <w:r>
        <w:rPr>
          <w:rFonts w:ascii="Nunito Sans" w:cs="Nunito Sans" w:eastAsia="Nunito Sans" w:hAnsi="Nunito Sans"/>
          <w:color w:val="102E3B"/>
          <w:sz w:val="20"/>
          <w:szCs w:val="20"/>
        </w:rPr>
        <w:t xml:space="preserve">No gestiona quejas rutinarias ni conflictos que no impliquen a la persona responsable.</w:t>
      </w:r>
    </w:p>
    <w:p>
      <w:pPr>
        <w:pStyle w:val="Heading1"/>
        <w:keepNext/>
        <w:spacing w:after="160" w:before="360"/>
      </w:pPr>
      <w:r>
        <w:rPr>
          <w:rFonts w:ascii="DM Serif Display" w:cs="DM Serif Display" w:eastAsia="DM Serif Display" w:hAnsi="DM Serif Display"/>
          <w:color w:val="123C48"/>
          <w:sz w:val="40"/>
          <w:szCs w:val="40"/>
        </w:rPr>
        <w:t xml:space="preserve">Suplencia cuando la persona responsable no está disponible</w:t>
      </w:r>
    </w:p>
    <w:p>
      <w:pPr>
        <w:spacing w:after="120" w:before="0" w:line="300"/>
      </w:pPr>
      <w:r>
        <w:rPr>
          <w:rFonts w:ascii="Nunito Sans" w:cs="Nunito Sans" w:eastAsia="Nunito Sans" w:hAnsi="Nunito Sans"/>
          <w:color w:val="102E3B"/>
          <w:sz w:val="20"/>
          <w:szCs w:val="20"/>
        </w:rPr>
        <w:t xml:space="preserve">Si no se puede localizar a la persona responsable de salvaguarda durante más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por ejemplo por enfermedad, viaje o permiso, el contacto independiente atiende los casos urgentes de salvaguarda. La persona responsable avisa al contacto independiente antes de cualquier ausencia prevista de más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Durante la suplencia, el contacto independiente sigue los pasos anteriores y devuelve el caso cuando la persona responsable regresa, salvo que esta esté implicada.</w:t>
      </w:r>
    </w:p>
    <w:p>
      <w:pPr>
        <w:pStyle w:val="Heading1"/>
        <w:keepNext/>
        <w:spacing w:after="160" w:before="360"/>
      </w:pPr>
      <w:r>
        <w:rPr>
          <w:rFonts w:ascii="DM Serif Display" w:cs="DM Serif Display" w:eastAsia="DM Serif Display" w:hAnsi="DM Serif Display"/>
          <w:color w:val="123C48"/>
          <w:sz w:val="40"/>
          <w:szCs w:val="40"/>
        </w:rPr>
        <w:t xml:space="preserve">Confidencialidad e información personal</w:t>
      </w:r>
    </w:p>
    <w:p>
      <w:pPr>
        <w:spacing w:after="120" w:before="0" w:line="300"/>
      </w:pPr>
      <w:r>
        <w:rPr>
          <w:rFonts w:ascii="Nunito Sans" w:cs="Nunito Sans" w:eastAsia="Nunito Sans" w:hAnsi="Nunito Sans"/>
          <w:color w:val="102E3B"/>
          <w:sz w:val="20"/>
          <w:szCs w:val="20"/>
        </w:rPr>
        <w:t xml:space="preserve">El contacto independiente comparte lo que conoce solo con quienes necesitan saberlo para proteger a alguien o para gestionar la inquietud con equidad. En concreto:</w:t>
      </w:r>
    </w:p>
    <w:p>
      <w:pPr>
        <w:pStyle w:val="ListParagraph"/>
        <w:numPr>
          <w:ilvl w:val="0"/>
          <w:numId w:val="3"/>
        </w:numPr>
        <w:spacing w:after="80" w:line="290"/>
      </w:pPr>
      <w:r>
        <w:rPr>
          <w:rFonts w:ascii="Nunito Sans" w:cs="Nunito Sans" w:eastAsia="Nunito Sans" w:hAnsi="Nunito Sans"/>
          <w:color w:val="102E3B"/>
          <w:sz w:val="20"/>
          <w:szCs w:val="20"/>
        </w:rPr>
        <w:t xml:space="preserve">usa una cuenta de correo electrónico protegida con contraseña y dispositivos que no comparte con otras personas;</w:t>
      </w:r>
    </w:p>
    <w:p>
      <w:pPr>
        <w:pStyle w:val="ListParagraph"/>
        <w:numPr>
          <w:ilvl w:val="0"/>
          <w:numId w:val="3"/>
        </w:numPr>
        <w:spacing w:after="80" w:line="290"/>
      </w:pPr>
      <w:r>
        <w:rPr>
          <w:rFonts w:ascii="Nunito Sans" w:cs="Nunito Sans" w:eastAsia="Nunito Sans" w:hAnsi="Nunito Sans"/>
          <w:color w:val="102E3B"/>
          <w:sz w:val="20"/>
          <w:szCs w:val="20"/>
        </w:rPr>
        <w:t xml:space="preserve">no usa la información para ningún otro fin;</w:t>
      </w:r>
    </w:p>
    <w:p>
      <w:pPr>
        <w:pStyle w:val="ListParagraph"/>
        <w:numPr>
          <w:ilvl w:val="0"/>
          <w:numId w:val="3"/>
        </w:numPr>
        <w:spacing w:after="80" w:line="290"/>
      </w:pPr>
      <w:r>
        <w:rPr>
          <w:rFonts w:ascii="Nunito Sans" w:cs="Nunito Sans" w:eastAsia="Nunito Sans" w:hAnsi="Nunito Sans"/>
          <w:color w:val="102E3B"/>
          <w:sz w:val="20"/>
          <w:szCs w:val="20"/>
        </w:rPr>
        <w:t xml:space="preserve">conserva los registros solo durante el tiempo que permite nuestro Calendario de Conservación de Registros y después los elimina de forma segura, o los entrega al siguiente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actúa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únicamente para este fin, conforme a nuestra Política de Protección de Datos.</w:t>
      </w:r>
    </w:p>
    <w:p>
      <w:pPr>
        <w:spacing w:after="120" w:before="0" w:line="300"/>
      </w:pPr>
      <w:r>
        <w:rPr>
          <w:rFonts w:ascii="Nunito Sans" w:cs="Nunito Sans" w:eastAsia="Nunito Sans" w:hAnsi="Nunito Sans"/>
          <w:color w:val="102E3B"/>
          <w:sz w:val="20"/>
          <w:szCs w:val="20"/>
        </w:rPr>
        <w:t xml:space="preserve">Puede revelar información cuando la ley lo exija o cuando alguien corra un riesgo grave.</w:t>
      </w:r>
    </w:p>
    <w:p>
      <w:pPr>
        <w:pStyle w:val="Heading1"/>
        <w:keepNext/>
        <w:spacing w:after="160" w:before="360"/>
      </w:pPr>
      <w:r>
        <w:rPr>
          <w:rFonts w:ascii="DM Serif Display" w:cs="DM Serif Display" w:eastAsia="DM Serif Display" w:hAnsi="DM Serif Display"/>
          <w:color w:val="123C48"/>
          <w:sz w:val="40"/>
          <w:szCs w:val="40"/>
        </w:rPr>
        <w:t xml:space="preserve">Obtener asesoramiento externo</w:t>
      </w:r>
    </w:p>
    <w:p>
      <w:pPr>
        <w:spacing w:after="120" w:before="0" w:line="300"/>
      </w:pPr>
      <w:r>
        <w:rPr>
          <w:rFonts w:ascii="Nunito Sans" w:cs="Nunito Sans" w:eastAsia="Nunito Sans" w:hAnsi="Nunito Sans"/>
          <w:color w:val="102E3B"/>
          <w:sz w:val="20"/>
          <w:szCs w:val="20"/>
        </w:rPr>
        <w:t xml:space="preserve">El contacto independiente puede obtener asesoramiento externo siempre que lo necesite: de una abogada o un abogado, de especialistas en recursos humanos o en salvaguarda, o de una persona investigadora externa.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lo paga. El contacto independiente puede comprometer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por caso sin consultar a la persona responsable. Por encima de esa cantidad, acuerda los costos con </w:t>
      </w:r>
      <w:r>
        <w:rPr>
          <w:rFonts w:ascii="Nunito Sans" w:cs="Nunito Sans" w:eastAsia="Nunito Sans" w:hAnsi="Nunito Sans"/>
          <w:color w:val="102E3B"/>
          <w:sz w:val="20"/>
          <w:szCs w:val="20"/>
          <w:highlight w:val="yellow"/>
        </w:rPr>
        <w:t xml:space="preserve">[la presidencia del órgano de gobierno / otro miembro del órgano de gobierno]</w:t>
      </w:r>
      <w:r>
        <w:rPr>
          <w:rFonts w:ascii="Nunito Sans" w:cs="Nunito Sans" w:eastAsia="Nunito Sans" w:hAnsi="Nunito Sans"/>
          <w:color w:val="102E3B"/>
          <w:sz w:val="20"/>
          <w:szCs w:val="20"/>
        </w:rPr>
        <w:t xml:space="preserve">, nunca con la persona responsable si esta es objeto del caso.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PRESUPUESTO Y ASESORES</w:t>
            </w:r>
          </w:p>
          <w:p>
            <w:pPr>
              <w:spacing w:after="120" w:before="0" w:line="300"/>
            </w:pPr>
            <w:r>
              <w:rPr>
                <w:rFonts w:ascii="Nunito Sans" w:cs="Nunito Sans" w:eastAsia="Nunito Sans" w:hAnsi="Nunito Sans"/>
                <w:color w:val="102E3B"/>
                <w:sz w:val="19"/>
                <w:szCs w:val="19"/>
              </w:rPr>
              <w:t xml:space="preserve">Fija un límite de gasto realista para tu contexto: suficiente para una primera consulta jurídica o unos días de una persona investigadora externa. Designa de antemano a una o dos personas o entidades asesoras a las que el contacto independiente pueda llamar, por ejemplo un despacho local de derecho laboral o una consultora de salvaguarda, y comprueba sus tarifas. Algunos financiadores cubren los costos de investigación en los proyectos que financian, o exigen recurrir a una persona investigadora aprobada por ellos: revisa tus acuerdos de subvención.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Conflictos de interés</w:t>
      </w:r>
    </w:p>
    <w:p>
      <w:pPr>
        <w:spacing w:after="120" w:before="0" w:line="300"/>
      </w:pPr>
      <w:r>
        <w:rPr>
          <w:rFonts w:ascii="Nunito Sans" w:cs="Nunito Sans" w:eastAsia="Nunito Sans" w:hAnsi="Nunito Sans"/>
          <w:color w:val="102E3B"/>
          <w:sz w:val="20"/>
          <w:szCs w:val="20"/>
        </w:rPr>
        <w:t xml:space="preserve">Si el contacto independiente tiene un conflicto en un caso concreto (por ejemplo, conoce bien a quien informa o a la persona afectada), se lo dice a quien informa, se aparta y traslada la inquietud a </w:t>
      </w:r>
      <w:r>
        <w:rPr>
          <w:rFonts w:ascii="Nunito Sans" w:cs="Nunito Sans" w:eastAsia="Nunito Sans" w:hAnsi="Nunito Sans"/>
          <w:color w:val="102E3B"/>
          <w:sz w:val="20"/>
          <w:szCs w:val="20"/>
          <w:highlight w:val="yellow"/>
        </w:rPr>
        <w:t xml:space="preserve">[el contacto independiente suplente / la presidencia del órgano de gobierno / una persona asesora externa]</w:t>
      </w:r>
      <w:r>
        <w:rPr>
          <w:rFonts w:ascii="Nunito Sans" w:cs="Nunito Sans" w:eastAsia="Nunito Sans" w:hAnsi="Nunito Sans"/>
          <w:color w:val="102E3B"/>
          <w:sz w:val="20"/>
          <w:szCs w:val="20"/>
        </w:rPr>
        <w:t xml:space="preserve">. Declara cualquier interés que pueda afectar al rol en el momento de su nombramiento, y cada año, mediante la Declaración de Intereses del Órgano de Gobierno si es miembro de este.</w:t>
      </w:r>
    </w:p>
    <w:p>
      <w:pPr>
        <w:pStyle w:val="Heading1"/>
        <w:keepNext/>
        <w:spacing w:after="160" w:before="360"/>
      </w:pPr>
      <w:r>
        <w:rPr>
          <w:rFonts w:ascii="DM Serif Display" w:cs="DM Serif Display" w:eastAsia="DM Serif Display" w:hAnsi="DM Serif Display"/>
          <w:color w:val="123C48"/>
          <w:sz w:val="40"/>
          <w:szCs w:val="40"/>
        </w:rPr>
        <w:t xml:space="preserve">Dedicación y apoyo</w:t>
      </w:r>
    </w:p>
    <w:p>
      <w:pPr>
        <w:spacing w:after="120" w:before="0" w:line="300"/>
      </w:pPr>
      <w:r>
        <w:rPr>
          <w:rFonts w:ascii="Nunito Sans" w:cs="Nunito Sans" w:eastAsia="Nunito Sans" w:hAnsi="Nunito Sans"/>
          <w:color w:val="102E3B"/>
          <w:sz w:val="20"/>
          <w:szCs w:val="20"/>
        </w:rPr>
        <w:t xml:space="preserve">Prevemos </w:t>
      </w:r>
      <w:r>
        <w:rPr>
          <w:rFonts w:ascii="Nunito Sans" w:cs="Nunito Sans" w:eastAsia="Nunito Sans" w:hAnsi="Nunito Sans"/>
          <w:color w:val="102E3B"/>
          <w:sz w:val="20"/>
          <w:szCs w:val="20"/>
          <w:highlight w:val="yellow"/>
        </w:rPr>
        <w:t xml:space="preserve">[unas pocas horas al año]</w:t>
      </w:r>
      <w:r>
        <w:rPr>
          <w:rFonts w:ascii="Nunito Sans" w:cs="Nunito Sans" w:eastAsia="Nunito Sans" w:hAnsi="Nunito Sans"/>
          <w:color w:val="102E3B"/>
          <w:sz w:val="20"/>
          <w:szCs w:val="20"/>
        </w:rPr>
        <w:t xml:space="preserve">: una sesión informativa al ser nombrado, una revisión anual y los casos que surjan. Un caso grave puede requerir varias horas a lo largo de unas semanas, sobre todo para coordinar a las personas asesoras externas.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ofrecerá al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una sesión informativa sobre la organización y sus políticas, y nuestra formación en salvaguarda </w:t>
      </w:r>
      <w:r>
        <w:rPr>
          <w:rFonts w:ascii="Nunito Sans" w:cs="Nunito Sans" w:eastAsia="Nunito Sans" w:hAnsi="Nunito Sans"/>
          <w:color w:val="102E3B"/>
          <w:sz w:val="20"/>
          <w:szCs w:val="20"/>
          <w:highlight w:val="yellow"/>
        </w:rPr>
        <w:t xml:space="preserve">[o la oferta de una formación externa reconocida]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pago del asesoramiento externo o de la persona investigadora que necesite;</w:t>
      </w:r>
    </w:p>
    <w:p>
      <w:pPr>
        <w:pStyle w:val="ListParagraph"/>
        <w:numPr>
          <w:ilvl w:val="0"/>
          <w:numId w:val="3"/>
        </w:numPr>
        <w:spacing w:after="80" w:line="290"/>
      </w:pPr>
      <w:r>
        <w:rPr>
          <w:rFonts w:ascii="Nunito Sans" w:cs="Nunito Sans" w:eastAsia="Nunito Sans" w:hAnsi="Nunito Sans"/>
          <w:color w:val="102E3B"/>
          <w:sz w:val="20"/>
          <w:szCs w:val="20"/>
        </w:rPr>
        <w:t xml:space="preserve">el reembolso de los gastos razonables conforme a nuestra 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un resumen anual anonimizado de las inquietudes gestionadas por la persona responsable, para que pueda detectar patrones.</w:t>
      </w:r>
    </w:p>
    <w:p>
      <w:pPr>
        <w:pStyle w:val="Heading1"/>
        <w:keepNext/>
        <w:spacing w:after="160" w:before="360"/>
      </w:pPr>
      <w:r>
        <w:rPr>
          <w:rFonts w:ascii="DM Serif Display" w:cs="DM Serif Display" w:eastAsia="DM Serif Display" w:hAnsi="DM Serif Display"/>
          <w:color w:val="123C48"/>
          <w:sz w:val="40"/>
          <w:szCs w:val="40"/>
        </w:rPr>
        <w:t xml:space="preserve">Canales de contacto</w:t>
      </w:r>
    </w:p>
    <w:p>
      <w:pPr>
        <w:spacing w:after="120" w:before="0" w:line="300"/>
      </w:pPr>
      <w:r>
        <w:rPr>
          <w:rFonts w:ascii="Nunito Sans" w:cs="Nunito Sans" w:eastAsia="Nunito Sans" w:hAnsi="Nunito Sans"/>
          <w:color w:val="102E3B"/>
          <w:sz w:val="20"/>
          <w:szCs w:val="20"/>
        </w:rPr>
        <w:t xml:space="preserve">Publica esta tabla, o una versión más sencilla, en todos los lugares donde se explique a las personas cómo plantear una inquietud.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142"/>
        <w:gridCol w:w="3144"/>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INQUIETUD</w:t>
            </w:r>
          </w:p>
        </w:tc>
        <w:tc>
          <w:tcPr>
            <w:tcW w:type="dxa" w:w="3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CANAL HABITUAL</w:t>
            </w:r>
          </w:p>
        </w:tc>
        <w:tc>
          <w:tcPr>
            <w:tcW w:type="dxa" w:w="314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 ES SOBRE LA PERSONA RESPONSABLE, O ESTA ESTÁ IMPLICADA</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incluidos la explotación, el abuso o el acoso sexuales</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 </w:t>
            </w:r>
            <w:r>
              <w:rPr>
                <w:rFonts w:ascii="Nunito Sans" w:cs="Nunito Sans" w:eastAsia="Nunito Sans" w:hAnsi="Nunito Sans"/>
                <w:color w:val="102E3B"/>
                <w:sz w:val="18"/>
                <w:szCs w:val="18"/>
                <w:highlight w:val="yellow"/>
              </w:rPr>
              <w:t xml:space="preserve">[correo electrónico]</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 </w:t>
            </w: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Acoso, intimidación u hostigamiento</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soborno o corrupción</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finanzas o dirección]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Denuncia de irregularidades</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denuncias]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Caso urgente de salvaguarda, persona responsable no localizable durante más de </w:t>
            </w:r>
            <w:r>
              <w:rPr>
                <w:rFonts w:ascii="Nunito Sans" w:cs="Nunito Sans" w:eastAsia="Nunito Sans" w:hAnsi="Nunito Sans"/>
                <w:color w:val="102E3B"/>
                <w:sz w:val="18"/>
                <w:szCs w:val="18"/>
                <w:highlight w:val="yellow"/>
              </w:rPr>
              <w:t xml:space="preserve">[48 horas]</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Inquietud sobre el contacto independiente</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[Presidencia del órgano de gobierno]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[Presidencia del órgano de gobierno]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PUBLICAR LOS DATOS DE CONTACTO</w:t>
            </w:r>
          </w:p>
          <w:p>
            <w:pPr>
              <w:spacing w:after="120" w:before="0" w:line="300"/>
            </w:pPr>
            <w:r>
              <w:rPr>
                <w:rFonts w:ascii="Nunito Sans" w:cs="Nunito Sans" w:eastAsia="Nunito Sans" w:hAnsi="Nunito Sans"/>
                <w:color w:val="102E3B"/>
                <w:sz w:val="19"/>
                <w:szCs w:val="19"/>
              </w:rPr>
              <w:t xml:space="preserve">Usa una dirección de correo electrónico exclusiva que solo pueda leer el contacto independiente. No uses una dirección del dominio de la organización salvo que la persona responsable no tenga acceso de administración a él; una cuenta independiente en un servicio de correo de confianza puede ser más segura. Si el contacto independiente está fuera de tu país, añade un teléfono o una opción de mensajería que funcione en el ámbito local. Actualiza todas las políticas y tu sitio web cuando cambie la persona.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Carta de nombramiento</w:t>
      </w:r>
    </w:p>
    <w:p>
      <w:pPr>
        <w:spacing w:after="120" w:before="0" w:line="300"/>
      </w:pPr>
      <w:r>
        <w:rPr>
          <w:rFonts w:ascii="Nunito Sans" w:cs="Nunito Sans" w:eastAsia="Nunito Sans" w:hAnsi="Nunito Sans"/>
          <w:color w:val="102E3B"/>
          <w:sz w:val="20"/>
          <w:szCs w:val="20"/>
        </w:rPr>
        <w:t xml:space="preserve">Estimada/Estimado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Gracias por aceptar actuar como contacto independiente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a partir del </w:t>
      </w:r>
      <w:r>
        <w:rPr>
          <w:rFonts w:ascii="Nunito Sans" w:cs="Nunito Sans" w:eastAsia="Nunito Sans" w:hAnsi="Nunito Sans"/>
          <w:color w:val="102E3B"/>
          <w:sz w:val="20"/>
          <w:szCs w:val="20"/>
          <w:highlight w:val="yellow"/>
        </w:rPr>
        <w:t xml:space="preserve">[fecha de inicio]</w:t>
      </w:r>
      <w:r>
        <w:rPr>
          <w:rFonts w:ascii="Nunito Sans" w:cs="Nunito Sans" w:eastAsia="Nunito Sans" w:hAnsi="Nunito Sans"/>
          <w:color w:val="102E3B"/>
          <w:sz w:val="20"/>
          <w:szCs w:val="20"/>
        </w:rPr>
        <w:t xml:space="preserve">. Esta carta confirma el acuerdo. El rol se describe en la Nota sobre el Rol de Contacto Independiente adjunta, que forma parte de esta carta.</w:t>
      </w:r>
    </w:p>
    <w:p>
      <w:pPr>
        <w:spacing w:after="120" w:before="0" w:line="300"/>
      </w:pPr>
      <w:r>
        <w:rPr>
          <w:rFonts w:ascii="Nunito Sans" w:cs="Nunito Sans" w:eastAsia="Nunito Sans" w:hAnsi="Nunito Sans"/>
          <w:color w:val="102E3B"/>
          <w:sz w:val="20"/>
          <w:szCs w:val="20"/>
        </w:rPr>
        <w:t xml:space="preserve">Recibirá las inquietudes sobre </w:t>
      </w:r>
      <w:r>
        <w:rPr>
          <w:rFonts w:ascii="Nunito Sans" w:cs="Nunito Sans" w:eastAsia="Nunito Sans" w:hAnsi="Nunito Sans"/>
          <w:color w:val="102E3B"/>
          <w:sz w:val="20"/>
          <w:szCs w:val="20"/>
          <w:highlight w:val="yellow"/>
        </w:rPr>
        <w:t xml:space="preserve">[la persona fundadora / la persona directora / la persona responsable de salvaguarda]</w:t>
      </w:r>
      <w:r>
        <w:rPr>
          <w:rFonts w:ascii="Nunito Sans" w:cs="Nunito Sans" w:eastAsia="Nunito Sans" w:hAnsi="Nunito Sans"/>
          <w:color w:val="102E3B"/>
          <w:sz w:val="20"/>
          <w:szCs w:val="20"/>
        </w:rPr>
        <w:t xml:space="preserve">, y los casos en los que esté implicada o tenga un conflicto, en virtud de nuestras políticas de salvaguarda, contra el acoso, contra el fraude y de denuncia de irregularidades. También atenderá los casos urgentes de salvaguarda cuando no se pueda localizar a nuestra persona responsable de salvaguarda durante más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Este rol es </w:t>
      </w:r>
      <w:r>
        <w:rPr>
          <w:rFonts w:ascii="Nunito Sans" w:cs="Nunito Sans" w:eastAsia="Nunito Sans" w:hAnsi="Nunito Sans"/>
          <w:color w:val="102E3B"/>
          <w:sz w:val="20"/>
          <w:szCs w:val="20"/>
          <w:highlight w:val="yellow"/>
        </w:rPr>
        <w:t xml:space="preserve">[voluntario / remunerado]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pagará el asesoramiento externo que necesite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por caso sin necesidad de otra aprobación, y le reembolsará los gastos razonables. Mantendrá la confidencialidad de todo lo que conozca en el ejercicio del rol, durante su nombramiento y después de él, salvo cuando la ley exija revelarlo o alguien corra un riesgo grave. Actúa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únicamente para este fin, y la responsabilidad de nuestras obligaciones legales sigue siendo nuestra.</w:t>
      </w:r>
    </w:p>
    <w:p>
      <w:pPr>
        <w:spacing w:after="120" w:before="0" w:line="300"/>
      </w:pPr>
      <w:r>
        <w:rPr>
          <w:rFonts w:ascii="Nunito Sans" w:cs="Nunito Sans" w:eastAsia="Nunito Sans" w:hAnsi="Nunito Sans"/>
          <w:color w:val="102E3B"/>
          <w:sz w:val="20"/>
          <w:szCs w:val="20"/>
        </w:rPr>
        <w:t xml:space="preserve">Cualquiera de las partes puede poner fin a este acuerdo con un preaviso por escrito de </w:t>
      </w: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Nombraremos un nuevo contacto independiente antes de que termine el preaviso, y usted entregará de forma segura los casos abiertos y los registros.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SITUACIÓN JURÍDICA DEL ROL</w:t>
            </w:r>
          </w:p>
          <w:p>
            <w:pPr>
              <w:spacing w:after="120" w:before="0" w:line="300"/>
            </w:pPr>
            <w:r>
              <w:rPr>
                <w:rFonts w:ascii="Nunito Sans" w:cs="Nunito Sans" w:eastAsia="Nunito Sans" w:hAnsi="Nunito Sans"/>
                <w:color w:val="102E3B"/>
                <w:sz w:val="19"/>
                <w:szCs w:val="19"/>
              </w:rPr>
              <w:t xml:space="preserve">Decide si el rol es voluntario o remunerado, y si hace falta un contrato breve. Si pagas al contacto independiente, revisa las normas fiscales y laborales locales: en la mayoría de los países, un rol de asesoramiento ocasional es una prestación de servicios, no una relación laboral, pero compruébalo. Confirma que tu seguro de responsabilidad del órgano de gobierno o de sus directivos, si lo tienes, cubre al contacto independiente cuando actúa en tu nombre. Según el Reglamento General de Protección de Datos (RGPD) y leyes similares, un contacto independiente que actúa en tu nombre suele considerarse parte de tu organización, o un encargado del tratamiento que actúa siguiendo tus instrucciones: consulta tu legislación local y deja constancia del acuerdo.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Contacto independiente: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Correo electrónico para inquietudes</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Revisión</w:t>
      </w:r>
    </w:p>
    <w:p>
      <w:pPr>
        <w:spacing w:after="120" w:before="0" w:line="300"/>
      </w:pPr>
      <w:r>
        <w:rPr>
          <w:rFonts w:ascii="Nunito Sans" w:cs="Nunito Sans" w:eastAsia="Nunito Sans" w:hAnsi="Nunito Sans"/>
          <w:color w:val="102E3B"/>
          <w:sz w:val="20"/>
          <w:szCs w:val="20"/>
        </w:rPr>
        <w:t xml:space="preserve">Revisamos esta nota y el acuerdo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cuando cambian nuestro equipo o nuestra estructura, y después de cualquier caso que haya gestionado el contacto independiente. El órgano de gobierno deja constancia del nombramiento y de cada revisión en sus actas.</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Nota sobre el Rol de Contacto Independiente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7EFD0FF-4CF4-9129-E8A3-5F989F852015}"/>
  </w:font>
  <w:font w:name="DM Serif Display">
    <w:family w:val="auto"/>
    <w:pitch w:val="variable"/>
    <w:sig w:usb0="E0002AFF" w:usb1="C000247B" w:usb2="00000009" w:usb3="00000000" w:csb0="000001FF" w:csb1="00000000"/>
    <w:embedRegular r:id="rId2" w:fontKey="{D302865E-20D9-666A-0F2E-9D71529F5A6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Nota sobre el Rol de Contacto Independiente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NOTA SOBRE EL ROL DE CONTACTO INDEPENDIENTE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sobre el Rol de Contacto Independiente</dc:title>
  <dc:creator>Method into Impact</dc:creator>
  <dc:description>Establece el rol de la persona independiente y de confianza que recibe las inquietudes sobre la persona fundadora o la persona responsable de salvaguarda de [[Nombre de la organización]], y que atiende los casos urgentes cuando no se puede localizar a la persona responsable.</dc:description>
  <cp:lastModifiedBy>Un-named</cp:lastModifiedBy>
  <cp:revision>1</cp:revision>
  <dcterms:created xsi:type="dcterms:W3CDTF">2026-10-29T06:09:25.427Z</dcterms:created>
  <dcterms:modified xsi:type="dcterms:W3CDTF">2026-10-29T06:09:25.427Z</dcterms:modified>
</cp:coreProperties>
</file>

<file path=docProps/custom.xml><?xml version="1.0" encoding="utf-8"?>
<Properties xmlns="http://schemas.openxmlformats.org/officeDocument/2006/custom-properties" xmlns:vt="http://schemas.openxmlformats.org/officeDocument/2006/docPropsVTypes"/>
</file>