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SOCIOS Y CUMPLIMIENTO</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de Debida Diligencia de Socios y Control de Sanciones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conoce a sus socios, subreceptores de fondos, proveedores principales y grandes donantes, los contrasta con las listas de sanciones y apoya a los pequeños socios locales en lugar de excluirlos.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La debida diligencia consiste en comprobar, antes de comprometerte, que una organización o una persona es quien dice ser y que puede gestionar el dinero, las personas y los riesgos en juego. Los financiadores la esperan, las leyes de sanciones pueden convertirla en una necesidad legal y protege a las comunidades a las que sirves. Bien hecha, también genera confianza y muestra en qué necesita apoyo un socio.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gubernamentales, fundaciones, bancos, ONG internacionales, auditores y tu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horas para adaptarla; 1 hora para preparar tu registro de control</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Cuestionario de Debida Diligencia para Socios · Política de Compras y Contrataciones · Política de Aceptación de Regalos y Donaciones · Política y Procedimiento contra el Fraude, el Soborno y la Corrupción · Política y Procedimiento de Salvaguarda · Acuerdo de Subvención a Socios · Memorando de Entendimiento de Alianza · Matriz de Delegación de Autoridad · Registro de Riesgos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de Debida Diligencia de Socios y Control de Sanciones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Política y 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Personal, personas voluntarias y miembros del órgano de gobierno que inician o gestionan alianzas, subvenciones a socios, contratos con proveedores principales o grandes donaciones para </w:t>
            </w:r>
            <w:r>
              <w:rPr>
                <w:rFonts w:ascii="Nunito Sans" w:cs="Nunito Sans" w:eastAsia="Nunito Sans" w:hAnsi="Nunito Sans"/>
                <w:color w:val="102E3B"/>
                <w:sz w:val="19"/>
                <w:szCs w:val="19"/>
                <w:highlight w:val="yellow"/>
              </w:rPr>
              <w:t xml:space="preserve">[Nombre de la organización]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[cumplimiento@tuorganizacion.org]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se incumple esta política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Procedimiento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nuevos controles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1: Registro de control de sanciones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Funciones y responsabilidades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2: Registro de decisión sobre una posible coincidencia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confidencialidad y datos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una </w:t>
            </w:r>
            <w:r>
              <w:rPr>
                <w:rFonts w:ascii="Nunito Sans" w:cs="Nunito Sans" w:eastAsia="Nunito Sans" w:hAnsi="Nunito Sans"/>
                <w:color w:val="102E3B"/>
                <w:sz w:val="19"/>
                <w:szCs w:val="19"/>
                <w:highlight w:val="yellow"/>
              </w:rPr>
              <w:t xml:space="preserve">[organización pequeña de X personas / organización emergente dirigida por sus fundadores]</w:t>
            </w:r>
            <w:r>
              <w:rPr>
                <w:rFonts w:ascii="Nunito Sans" w:cs="Nunito Sans" w:eastAsia="Nunito Sans" w:hAnsi="Nunito Sans"/>
                <w:color w:val="102E3B"/>
                <w:sz w:val="19"/>
                <w:szCs w:val="19"/>
              </w:rPr>
              <w:t xml:space="preserve">. Trabajamos con </w:t>
            </w:r>
            <w:r>
              <w:rPr>
                <w:rFonts w:ascii="Nunito Sans" w:cs="Nunito Sans" w:eastAsia="Nunito Sans" w:hAnsi="Nunito Sans"/>
                <w:color w:val="102E3B"/>
                <w:sz w:val="19"/>
                <w:szCs w:val="19"/>
                <w:highlight w:val="yellow"/>
              </w:rPr>
              <w:t xml:space="preserve">[unos pocos / varios]</w:t>
            </w:r>
            <w:r>
              <w:rPr>
                <w:rFonts w:ascii="Nunito Sans" w:cs="Nunito Sans" w:eastAsia="Nunito Sans" w:hAnsi="Nunito Sans"/>
                <w:color w:val="102E3B"/>
                <w:sz w:val="19"/>
                <w:szCs w:val="19"/>
              </w:rPr>
              <w:t xml:space="preserve"> socios y proveedores, y no tenemos un equipo de cumplimiento. Esta política establece comprobaciones sencillas y proporcionadas que podemos realizar por nuestra cuenta. Hasta que crezcamos: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responsable de debida diligencia.</w:t>
            </w:r>
            <w:r>
              <w:rPr>
                <w:rFonts w:ascii="Nunito Sans" w:cs="Nunito Sans" w:eastAsia="Nunito Sans" w:hAnsi="Nunito Sans"/>
                <w:color w:val="102E3B"/>
                <w:sz w:val="19"/>
                <w:szCs w:val="19"/>
              </w:rPr>
              <w:t xml:space="preserve"> Realiza las comprobaciones, lleva a cabo el control de sanciones, mantiene el registro de control y recomienda una decisión.</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aprueba las nuevas alianzas y subvenciones a socios</w:t>
            </w:r>
            <w:r>
              <w:rPr>
                <w:rFonts w:ascii="Nunito Sans" w:cs="Nunito Sans" w:eastAsia="Nunito Sans" w:hAnsi="Nunito Sans"/>
                <w:color w:val="102E3B"/>
                <w:sz w:val="19"/>
                <w:szCs w:val="19"/>
              </w:rPr>
              <w:t xml:space="preserve"> dentro de los límites de nuestra Matriz de Delegación de Autoridad. No es la persona que realizó las comprobaciones.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 por ejemplo un miembro del órgano de gobierno]</w:t>
            </w:r>
            <w:r>
              <w:rPr>
                <w:rFonts w:ascii="Nunito Sans" w:cs="Nunito Sans" w:eastAsia="Nunito Sans" w:hAnsi="Nunito Sans"/>
                <w:b/>
                <w:bCs/>
                <w:color w:val="102E3B"/>
                <w:sz w:val="19"/>
                <w:szCs w:val="19"/>
              </w:rPr>
              <w:t xml:space="preserve"> decide sobre cualquier posible coincidencia en las listas de sanciones</w:t>
            </w:r>
            <w:r>
              <w:rPr>
                <w:rFonts w:ascii="Nunito Sans" w:cs="Nunito Sans" w:eastAsia="Nunito Sans" w:hAnsi="Nunito Sans"/>
                <w:color w:val="102E3B"/>
                <w:sz w:val="19"/>
                <w:szCs w:val="19"/>
              </w:rPr>
              <w:t xml:space="preserve"> y sobre cualquier alianza calificada de alto riesgo.</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esta política</w:t>
            </w:r>
            <w:r>
              <w:rPr>
                <w:rFonts w:ascii="Nunito Sans" w:cs="Nunito Sans" w:eastAsia="Nunito Sans" w:hAnsi="Nunito Sans"/>
                <w:color w:val="102E3B"/>
                <w:sz w:val="19"/>
                <w:szCs w:val="19"/>
              </w:rPr>
              <w:t xml:space="preserve"> al menos una vez al año, cuando un financiador establece nuevos requisitos y después de cualquier incidente grave relacionado con un socio.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ESTAS FUNCIONES</w:t>
            </w:r>
          </w:p>
          <w:p>
            <w:pPr>
              <w:spacing w:after="120" w:before="0" w:line="300"/>
            </w:pPr>
            <w:r>
              <w:rPr>
                <w:rFonts w:ascii="Nunito Sans" w:cs="Nunito Sans" w:eastAsia="Nunito Sans" w:hAnsi="Nunito Sans"/>
                <w:color w:val="102E3B"/>
                <w:sz w:val="19"/>
                <w:szCs w:val="19"/>
              </w:rPr>
              <w:t xml:space="preserve">Nombra a personas reales. En un equipo muy pequeño, la persona fundadora puede realizar las comprobaciones y querer también aprobar la alianza. Siempre que sea posible, separa ambas funciones: pide a un miembro del órgano de gobierno o a una persona asesora de confianza que apruebe, o al menos que revise las decisiones de alto riesgo y cada posible coincidencia en las listas de sanciones. La persona que gestiona la relación en el día a día no debería ser la única que decide si el socio supera la evaluación.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Comprobamos a los socios, subreceptores de fondos, proveedores principales y grandes donantes antes de comprometernos, en proporción al riesgo y al importe en juego.</w:t>
            </w:r>
          </w:p>
          <w:p>
            <w:pPr>
              <w:pStyle w:val="ListParagraph"/>
              <w:numPr>
                <w:ilvl w:val="0"/>
                <w:numId w:val="3"/>
              </w:numPr>
              <w:spacing w:after="80" w:line="290"/>
            </w:pPr>
            <w:r>
              <w:rPr>
                <w:rFonts w:ascii="Nunito Sans" w:cs="Nunito Sans" w:eastAsia="Nunito Sans" w:hAnsi="Nunito Sans"/>
                <w:color w:val="102E3B"/>
                <w:sz w:val="19"/>
                <w:szCs w:val="19"/>
              </w:rPr>
              <w:t xml:space="preserve">Contrastamos a todos ellos con la lista consolidada de sanciones del Consejo de Seguridad de las Naciones Unidas y con las listas que exigen nuestros financiadores, y registramos cada comprobación.</w:t>
            </w:r>
          </w:p>
          <w:p>
            <w:pPr>
              <w:pStyle w:val="ListParagraph"/>
              <w:numPr>
                <w:ilvl w:val="0"/>
                <w:numId w:val="3"/>
              </w:numPr>
              <w:spacing w:after="80" w:line="290"/>
            </w:pPr>
            <w:r>
              <w:rPr>
                <w:rFonts w:ascii="Nunito Sans" w:cs="Nunito Sans" w:eastAsia="Nunito Sans" w:hAnsi="Nunito Sans"/>
                <w:color w:val="102E3B"/>
                <w:sz w:val="19"/>
                <w:szCs w:val="19"/>
              </w:rPr>
              <w:t xml:space="preserve">Si un nombre puede coincidir, nos detenemos, no pagamos ni firmamos, comprobamos con cuidado si es una falsa coincidencia y lo escalamos en un plazo de </w:t>
            </w:r>
            <w:r>
              <w:rPr>
                <w:rFonts w:ascii="Nunito Sans" w:cs="Nunito Sans" w:eastAsia="Nunito Sans" w:hAnsi="Nunito Sans"/>
                <w:color w:val="102E3B"/>
                <w:sz w:val="19"/>
                <w:szCs w:val="19"/>
                <w:highlight w:val="yellow"/>
              </w:rPr>
              <w:t xml:space="preserve">[1 día hábil]</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Seguimos un enfoque basado en el riesgo, como espera la Recomendación 8 del GAFI. Ser pequeño, local o trabajar en un contexto frágil no es, por sí solo, un motivo para excluir a un socio.</w:t>
            </w:r>
          </w:p>
          <w:p>
            <w:pPr>
              <w:pStyle w:val="ListParagraph"/>
              <w:numPr>
                <w:ilvl w:val="0"/>
                <w:numId w:val="3"/>
              </w:numPr>
              <w:spacing w:after="80" w:line="290"/>
            </w:pPr>
            <w:r>
              <w:rPr>
                <w:rFonts w:ascii="Nunito Sans" w:cs="Nunito Sans" w:eastAsia="Nunito Sans" w:hAnsi="Nunito Sans"/>
                <w:color w:val="102E3B"/>
                <w:sz w:val="19"/>
                <w:szCs w:val="19"/>
              </w:rPr>
              <w:t xml:space="preserve">Cuando un socio tiene carencias, nuestra primera respuesta es el apoyo, con un plan claro y recursos, no la exclusión.</w:t>
            </w:r>
          </w:p>
          <w:p>
            <w:pPr>
              <w:pStyle w:val="ListParagraph"/>
              <w:numPr>
                <w:ilvl w:val="0"/>
                <w:numId w:val="3"/>
              </w:numPr>
              <w:spacing w:after="80" w:line="290"/>
            </w:pPr>
            <w:r>
              <w:rPr>
                <w:rFonts w:ascii="Nunito Sans" w:cs="Nunito Sans" w:eastAsia="Nunito Sans" w:hAnsi="Nunito Sans"/>
                <w:color w:val="102E3B"/>
                <w:sz w:val="19"/>
                <w:szCs w:val="19"/>
              </w:rPr>
              <w:t xml:space="preserve">No trasladamos riesgos ni costes de cumplimiento a los socios sin darles los medios para gestionarlos.</w:t>
            </w:r>
          </w:p>
          <w:p>
            <w:pPr>
              <w:pStyle w:val="ListParagraph"/>
              <w:numPr>
                <w:ilvl w:val="0"/>
                <w:numId w:val="3"/>
              </w:numPr>
              <w:spacing w:after="80" w:line="290"/>
            </w:pPr>
            <w:r>
              <w:rPr>
                <w:rFonts w:ascii="Nunito Sans" w:cs="Nunito Sans" w:eastAsia="Nunito Sans" w:hAnsi="Nunito Sans"/>
                <w:color w:val="102E3B"/>
                <w:sz w:val="19"/>
                <w:szCs w:val="19"/>
              </w:rPr>
              <w:t xml:space="preserve">Repetimos el control con regularidad y conservamos los registros durante </w:t>
            </w:r>
            <w:r>
              <w:rPr>
                <w:rFonts w:ascii="Nunito Sans" w:cs="Nunito Sans" w:eastAsia="Nunito Sans" w:hAnsi="Nunito Sans"/>
                <w:color w:val="102E3B"/>
                <w:sz w:val="19"/>
                <w:szCs w:val="19"/>
                <w:highlight w:val="yellow"/>
              </w:rPr>
              <w:t xml:space="preserve">[7 años]</w:t>
            </w:r>
            <w:r>
              <w:rPr>
                <w:rFonts w:ascii="Nunito Sans" w:cs="Nunito Sans" w:eastAsia="Nunito Sans" w:hAnsi="Nunito Sans"/>
                <w:color w:val="102E3B"/>
                <w:sz w:val="19"/>
                <w:szCs w:val="19"/>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esta política</w:t>
      </w:r>
    </w:p>
    <w:p>
      <w:pPr>
        <w:spacing w:after="120" w:before="0" w:line="300"/>
      </w:pPr>
      <w:r>
        <w:rPr>
          <w:rFonts w:ascii="Nunito Sans" w:cs="Nunito Sans" w:eastAsia="Nunito Sans" w:hAnsi="Nunito Sans"/>
          <w:color w:val="102E3B"/>
          <w:sz w:val="20"/>
          <w:szCs w:val="20"/>
        </w:rPr>
        <w:t xml:space="preserve">Esta política se aplica al personal, a las personas voluntarias, a las personas en prácticas y a los miembros del órgano de gobierno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que inician, gestionan o aprueban las relaciones que se indican a continuación.</w:t>
      </w:r>
    </w:p>
    <w:p>
      <w:pPr>
        <w:spacing w:after="120" w:before="0" w:line="300"/>
      </w:pPr>
      <w:r>
        <w:rPr>
          <w:rFonts w:ascii="Nunito Sans" w:cs="Nunito Sans" w:eastAsia="Nunito Sans" w:hAnsi="Nunito Sans"/>
          <w:color w:val="102E3B"/>
          <w:sz w:val="20"/>
          <w:szCs w:val="20"/>
        </w:rPr>
        <w:t xml:space="preserve">Abarca nuestras relaciones con:</w:t>
      </w:r>
    </w:p>
    <w:p>
      <w:pPr>
        <w:pStyle w:val="ListParagraph"/>
        <w:numPr>
          <w:ilvl w:val="0"/>
          <w:numId w:val="3"/>
        </w:numPr>
        <w:spacing w:after="80" w:line="290"/>
      </w:pPr>
      <w:r>
        <w:rPr>
          <w:rFonts w:ascii="Nunito Sans" w:cs="Nunito Sans" w:eastAsia="Nunito Sans" w:hAnsi="Nunito Sans"/>
          <w:b/>
          <w:bCs/>
          <w:color w:val="102E3B"/>
          <w:sz w:val="20"/>
          <w:szCs w:val="20"/>
        </w:rPr>
        <w:t xml:space="preserve">socios ejecutores y subreceptores de fondos</w:t>
      </w:r>
      <w:r>
        <w:rPr>
          <w:rFonts w:ascii="Nunito Sans" w:cs="Nunito Sans" w:eastAsia="Nunito Sans" w:hAnsi="Nunito Sans"/>
          <w:color w:val="102E3B"/>
          <w:sz w:val="20"/>
          <w:szCs w:val="20"/>
        </w:rPr>
        <w:t xml:space="preserve">: organizaciones que reciben nuestros fondos, bienes o equipos para llevar a cabo actividades;</w:t>
      </w:r>
    </w:p>
    <w:p>
      <w:pPr>
        <w:pStyle w:val="ListParagraph"/>
        <w:numPr>
          <w:ilvl w:val="0"/>
          <w:numId w:val="3"/>
        </w:numPr>
        <w:spacing w:after="80" w:line="290"/>
      </w:pPr>
      <w:r>
        <w:rPr>
          <w:rFonts w:ascii="Nunito Sans" w:cs="Nunito Sans" w:eastAsia="Nunito Sans" w:hAnsi="Nunito Sans"/>
          <w:b/>
          <w:bCs/>
          <w:color w:val="102E3B"/>
          <w:sz w:val="20"/>
          <w:szCs w:val="20"/>
        </w:rPr>
        <w:t xml:space="preserve">socios estratégicos</w:t>
      </w:r>
      <w:r>
        <w:rPr>
          <w:rFonts w:ascii="Nunito Sans" w:cs="Nunito Sans" w:eastAsia="Nunito Sans" w:hAnsi="Nunito Sans"/>
          <w:color w:val="102E3B"/>
          <w:sz w:val="20"/>
          <w:szCs w:val="20"/>
        </w:rPr>
        <w:t xml:space="preserve"> que comparten con nosotros la responsabilidad de un proyecto, aunque no haya transferencia de dinero entre nosotros;</w:t>
      </w:r>
    </w:p>
    <w:p>
      <w:pPr>
        <w:pStyle w:val="ListParagraph"/>
        <w:numPr>
          <w:ilvl w:val="0"/>
          <w:numId w:val="3"/>
        </w:numPr>
        <w:spacing w:after="80" w:line="290"/>
      </w:pPr>
      <w:r>
        <w:rPr>
          <w:rFonts w:ascii="Nunito Sans" w:cs="Nunito Sans" w:eastAsia="Nunito Sans" w:hAnsi="Nunito Sans"/>
          <w:b/>
          <w:bCs/>
          <w:color w:val="102E3B"/>
          <w:sz w:val="20"/>
          <w:szCs w:val="20"/>
        </w:rPr>
        <w:t xml:space="preserve">proveedores principales y consultores</w:t>
      </w:r>
      <w:r>
        <w:rPr>
          <w:rFonts w:ascii="Nunito Sans" w:cs="Nunito Sans" w:eastAsia="Nunito Sans" w:hAnsi="Nunito Sans"/>
          <w:color w:val="102E3B"/>
          <w:sz w:val="20"/>
          <w:szCs w:val="20"/>
        </w:rPr>
        <w:t xml:space="preserve">, según lo establecido en nuestra Política de Compras y Contrataciones;</w:t>
      </w:r>
    </w:p>
    <w:p>
      <w:pPr>
        <w:pStyle w:val="ListParagraph"/>
        <w:numPr>
          <w:ilvl w:val="0"/>
          <w:numId w:val="3"/>
        </w:numPr>
        <w:spacing w:after="80" w:line="290"/>
      </w:pPr>
      <w:r>
        <w:rPr>
          <w:rFonts w:ascii="Nunito Sans" w:cs="Nunito Sans" w:eastAsia="Nunito Sans" w:hAnsi="Nunito Sans"/>
          <w:b/>
          <w:bCs/>
          <w:color w:val="102E3B"/>
          <w:sz w:val="20"/>
          <w:szCs w:val="20"/>
        </w:rPr>
        <w:t xml:space="preserve">grandes donantes y patrocinadores</w:t>
      </w:r>
      <w:r>
        <w:rPr>
          <w:rFonts w:ascii="Nunito Sans" w:cs="Nunito Sans" w:eastAsia="Nunito Sans" w:hAnsi="Nunito Sans"/>
          <w:color w:val="102E3B"/>
          <w:sz w:val="20"/>
          <w:szCs w:val="20"/>
        </w:rPr>
        <w:t xml:space="preserve">: organizaciones o personas que nos donan más de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 al año, según lo establecido en nuestra Política de Aceptación de Regalos y Donaciones;</w:t>
      </w:r>
    </w:p>
    <w:p>
      <w:pPr>
        <w:pStyle w:val="ListParagraph"/>
        <w:numPr>
          <w:ilvl w:val="0"/>
          <w:numId w:val="3"/>
        </w:numPr>
        <w:spacing w:after="80" w:line="290"/>
      </w:pPr>
      <w:r>
        <w:rPr>
          <w:rFonts w:ascii="Nunito Sans" w:cs="Nunito Sans" w:eastAsia="Nunito Sans" w:hAnsi="Nunito Sans"/>
          <w:b/>
          <w:bCs/>
          <w:color w:val="102E3B"/>
          <w:sz w:val="20"/>
          <w:szCs w:val="20"/>
        </w:rPr>
        <w:t xml:space="preserve">cualquier otra persona u organización</w:t>
      </w:r>
      <w:r>
        <w:rPr>
          <w:rFonts w:ascii="Nunito Sans" w:cs="Nunito Sans" w:eastAsia="Nunito Sans" w:hAnsi="Nunito Sans"/>
          <w:color w:val="102E3B"/>
          <w:sz w:val="20"/>
          <w:szCs w:val="20"/>
        </w:rPr>
        <w:t xml:space="preserve"> que vaya a custodiar nuestros fondos, tratar datos personales sensibles por cuenta nuestra o tener contacto en nuestro nombre con las personas a las que servimos.</w:t>
      </w:r>
    </w:p>
    <w:p>
      <w:pPr>
        <w:spacing w:after="120" w:before="0" w:line="300"/>
      </w:pPr>
      <w:r>
        <w:rPr>
          <w:rFonts w:ascii="Nunito Sans" w:cs="Nunito Sans" w:eastAsia="Nunito Sans" w:hAnsi="Nunito Sans"/>
          <w:b/>
          <w:bCs/>
          <w:color w:val="102E3B"/>
          <w:sz w:val="20"/>
          <w:szCs w:val="20"/>
        </w:rPr>
        <w:t xml:space="preserve">Ley y normas más estrictas.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cumple sus leyes, incluidas las leyes nacionales sobre sanciones y contra la financiación del terrorismo. También cumplimos los regímenes de sanciones que se nos aplican por los lugares donde operamos, las monedas que usamos y las condiciones de nuestros financiadores. Cuando el acuerdo de subvención de un financiador establece normas de debida diligencia o de control más estrictas, esas normas se aplican a todas las relaciones financiadas con esa subvención. Cuando las normas difieren, seguimos la más estricta.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LEY Y PAÍSES</w:t>
            </w:r>
          </w:p>
          <w:p>
            <w:pPr>
              <w:spacing w:after="120" w:before="0" w:line="300"/>
            </w:pPr>
            <w:r>
              <w:rPr>
                <w:rFonts w:ascii="Nunito Sans" w:cs="Nunito Sans" w:eastAsia="Nunito Sans" w:hAnsi="Nunito Sans"/>
                <w:color w:val="102E3B"/>
                <w:sz w:val="19"/>
                <w:szCs w:val="19"/>
              </w:rPr>
              <w:t xml:space="preserve">Indica el país donde está registrada tu organización y cualquier otro donde trabajes. Muchos países tienen leyes nacionales sobre financiación del terrorismo y sanciones, y algunos publican sus propias listas nacionales de designación además de la lista de la ONU. Comprueba en tu ley local si debes realizar el control, qué listas se aplican y si debes comunicar una coincidencia a una autoridad nacional, como una unidad de inteligencia financiera. Tu banco también puede tener requisitos: pregúntale. Si recibes financiación de Estados Unidos, pagas en dólares estadounidenses o tienes personas con ciudadanía estadounidense en tu equipo, pueden aplicársete las normas de sanciones de Estados Unidos. Las sanciones de la UE y del Reino Unido se aplican a las personas nacionales y a las organizaciones de la UE y del Reino Unido, y a las actividades realizadas en esos lugares. Busca asesoramiento jurídico local si tienes dudas.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Política</w:t>
      </w:r>
    </w:p>
    <w:p>
      <w:pPr>
        <w:pStyle w:val="Heading2"/>
        <w:keepNext/>
        <w:spacing w:after="120" w:before="280"/>
      </w:pPr>
      <w:r>
        <w:rPr>
          <w:rFonts w:ascii="DM Serif Display" w:cs="DM Serif Display" w:eastAsia="DM Serif Display" w:hAnsi="DM Serif Display"/>
          <w:color w:val="123C48"/>
          <w:sz w:val="28"/>
          <w:szCs w:val="28"/>
        </w:rPr>
        <w:t xml:space="preserve">1. Por qué realizamos la debida diligencia</w:t>
      </w:r>
    </w:p>
    <w:p>
      <w:pPr>
        <w:spacing w:after="120" w:before="0" w:line="300"/>
      </w:pPr>
      <w:r>
        <w:rPr>
          <w:rFonts w:ascii="Nunito Sans" w:cs="Nunito Sans" w:eastAsia="Nunito Sans" w:hAnsi="Nunito Sans"/>
          <w:color w:val="102E3B"/>
          <w:sz w:val="20"/>
          <w:szCs w:val="20"/>
        </w:rPr>
        <w:t xml:space="preserve">Realizamos la debida diligencia para:</w:t>
      </w:r>
    </w:p>
    <w:p>
      <w:pPr>
        <w:pStyle w:val="ListParagraph"/>
        <w:numPr>
          <w:ilvl w:val="0"/>
          <w:numId w:val="3"/>
        </w:numPr>
        <w:spacing w:after="80" w:line="290"/>
      </w:pPr>
      <w:r>
        <w:rPr>
          <w:rFonts w:ascii="Nunito Sans" w:cs="Nunito Sans" w:eastAsia="Nunito Sans" w:hAnsi="Nunito Sans"/>
          <w:color w:val="102E3B"/>
          <w:sz w:val="20"/>
          <w:szCs w:val="20"/>
        </w:rPr>
        <w:t xml:space="preserve">asegurarnos de que las personas y organizaciones con las que trabajamos son reales, pueden trabajar legalmente con nosotros y no están implicadas en fraude, abuso, terrorismo ni infracciones de sanciones;</w:t>
      </w:r>
    </w:p>
    <w:p>
      <w:pPr>
        <w:pStyle w:val="ListParagraph"/>
        <w:numPr>
          <w:ilvl w:val="0"/>
          <w:numId w:val="3"/>
        </w:numPr>
        <w:spacing w:after="80" w:line="290"/>
      </w:pPr>
      <w:r>
        <w:rPr>
          <w:rFonts w:ascii="Nunito Sans" w:cs="Nunito Sans" w:eastAsia="Nunito Sans" w:hAnsi="Nunito Sans"/>
          <w:color w:val="102E3B"/>
          <w:sz w:val="20"/>
          <w:szCs w:val="20"/>
        </w:rPr>
        <w:t xml:space="preserve">proteger a las personas a las que servimos, comprobando que los socios que tienen contacto con ellas las mantienen a salvo;</w:t>
      </w:r>
    </w:p>
    <w:p>
      <w:pPr>
        <w:pStyle w:val="ListParagraph"/>
        <w:numPr>
          <w:ilvl w:val="0"/>
          <w:numId w:val="3"/>
        </w:numPr>
        <w:spacing w:after="80" w:line="290"/>
      </w:pPr>
      <w:r>
        <w:rPr>
          <w:rFonts w:ascii="Nunito Sans" w:cs="Nunito Sans" w:eastAsia="Nunito Sans" w:hAnsi="Nunito Sans"/>
          <w:color w:val="102E3B"/>
          <w:sz w:val="20"/>
          <w:szCs w:val="20"/>
        </w:rPr>
        <w:t xml:space="preserve">proteger nuestros fondos y los de nuestros financiadores;</w:t>
      </w:r>
    </w:p>
    <w:p>
      <w:pPr>
        <w:pStyle w:val="ListParagraph"/>
        <w:numPr>
          <w:ilvl w:val="0"/>
          <w:numId w:val="3"/>
        </w:numPr>
        <w:spacing w:after="80" w:line="290"/>
      </w:pPr>
      <w:r>
        <w:rPr>
          <w:rFonts w:ascii="Nunito Sans" w:cs="Nunito Sans" w:eastAsia="Nunito Sans" w:hAnsi="Nunito Sans"/>
          <w:color w:val="102E3B"/>
          <w:sz w:val="20"/>
          <w:szCs w:val="20"/>
        </w:rPr>
        <w:t xml:space="preserve">entender las fortalezas y las carencias de un socio, para acordar el apoyo y el nivel de supervisión adecuados;</w:t>
      </w:r>
    </w:p>
    <w:p>
      <w:pPr>
        <w:pStyle w:val="ListParagraph"/>
        <w:numPr>
          <w:ilvl w:val="0"/>
          <w:numId w:val="3"/>
        </w:numPr>
        <w:spacing w:after="80" w:line="290"/>
      </w:pPr>
      <w:r>
        <w:rPr>
          <w:rFonts w:ascii="Nunito Sans" w:cs="Nunito Sans" w:eastAsia="Nunito Sans" w:hAnsi="Nunito Sans"/>
          <w:color w:val="102E3B"/>
          <w:sz w:val="20"/>
          <w:szCs w:val="20"/>
        </w:rPr>
        <w:t xml:space="preserve">cumplir la ley y las condiciones de nuestros financiadores.</w:t>
      </w:r>
    </w:p>
    <w:p>
      <w:pPr>
        <w:spacing w:after="120" w:before="0" w:line="300"/>
      </w:pPr>
      <w:r>
        <w:rPr>
          <w:rFonts w:ascii="Nunito Sans" w:cs="Nunito Sans" w:eastAsia="Nunito Sans" w:hAnsi="Nunito Sans"/>
          <w:color w:val="102E3B"/>
          <w:sz w:val="20"/>
          <w:szCs w:val="20"/>
        </w:rPr>
        <w:t xml:space="preserve">La debida diligencia forma parte de la construcción de una alianza; no es un examen que se aprueba o se suspende. Explicamos por qué hacemos cada pregunta. Aceptamos que los socios también quieran comprobarnos a nosotros, y respondemos a sus preguntas con transparencia.</w:t>
      </w:r>
    </w:p>
    <w:p>
      <w:pPr>
        <w:pStyle w:val="Heading2"/>
        <w:keepNext/>
        <w:spacing w:after="120" w:before="280"/>
      </w:pPr>
      <w:r>
        <w:rPr>
          <w:rFonts w:ascii="DM Serif Display" w:cs="DM Serif Display" w:eastAsia="DM Serif Display" w:hAnsi="DM Serif Display"/>
          <w:color w:val="123C48"/>
          <w:sz w:val="28"/>
          <w:szCs w:val="28"/>
        </w:rPr>
        <w:t xml:space="preserve">2. Nuestros principios</w:t>
      </w:r>
    </w:p>
    <w:p>
      <w:pPr>
        <w:pStyle w:val="ListParagraph"/>
        <w:numPr>
          <w:ilvl w:val="0"/>
          <w:numId w:val="4"/>
        </w:numPr>
        <w:spacing w:after="80" w:line="290"/>
      </w:pPr>
      <w:r>
        <w:rPr>
          <w:rFonts w:ascii="Nunito Sans" w:cs="Nunito Sans" w:eastAsia="Nunito Sans" w:hAnsi="Nunito Sans"/>
          <w:b/>
          <w:bCs/>
          <w:color w:val="102E3B"/>
          <w:sz w:val="20"/>
          <w:szCs w:val="20"/>
        </w:rPr>
        <w:t xml:space="preserve">Proporcionalidad.</w:t>
      </w:r>
      <w:r>
        <w:rPr>
          <w:rFonts w:ascii="Nunito Sans" w:cs="Nunito Sans" w:eastAsia="Nunito Sans" w:hAnsi="Nunito Sans"/>
          <w:color w:val="102E3B"/>
          <w:sz w:val="20"/>
          <w:szCs w:val="20"/>
        </w:rPr>
        <w:t xml:space="preserve"> La profundidad de las comprobaciones se ajusta al riesgo y al importe en juego. No pedimos a un pequeño grupo comunitario que recibe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las mismas pruebas que a un socio que gestiona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b/>
          <w:bCs/>
          <w:color w:val="102E3B"/>
          <w:sz w:val="20"/>
          <w:szCs w:val="20"/>
        </w:rPr>
        <w:t xml:space="preserve">Basado en el riesgo, sin prejuicios.</w:t>
      </w:r>
      <w:r>
        <w:rPr>
          <w:rFonts w:ascii="Nunito Sans" w:cs="Nunito Sans" w:eastAsia="Nunito Sans" w:hAnsi="Nunito Sans"/>
          <w:color w:val="102E3B"/>
          <w:sz w:val="20"/>
          <w:szCs w:val="20"/>
        </w:rPr>
        <w:t xml:space="preserve"> Valoramos los riesgos reales, con pruebas. No consideramos que una organización es de alto riesgo simplemente porque sea pequeña, informal, confesional, esté dirigida por un grupo concreto o trabaje en una zona frágil o afectada por conflictos.</w:t>
      </w:r>
    </w:p>
    <w:p>
      <w:pPr>
        <w:pStyle w:val="ListParagraph"/>
        <w:numPr>
          <w:ilvl w:val="0"/>
          <w:numId w:val="4"/>
        </w:numPr>
        <w:spacing w:after="80" w:line="290"/>
      </w:pPr>
      <w:r>
        <w:rPr>
          <w:rFonts w:ascii="Nunito Sans" w:cs="Nunito Sans" w:eastAsia="Nunito Sans" w:hAnsi="Nunito Sans"/>
          <w:b/>
          <w:bCs/>
          <w:color w:val="102E3B"/>
          <w:sz w:val="20"/>
          <w:szCs w:val="20"/>
        </w:rPr>
        <w:t xml:space="preserve">Justo con los socios locales.</w:t>
      </w:r>
      <w:r>
        <w:rPr>
          <w:rFonts w:ascii="Nunito Sans" w:cs="Nunito Sans" w:eastAsia="Nunito Sans" w:hAnsi="Nunito Sans"/>
          <w:color w:val="102E3B"/>
          <w:sz w:val="20"/>
          <w:szCs w:val="20"/>
        </w:rPr>
        <w:t xml:space="preserve"> No trasladamos riesgos ni costes a los socios sin darles el tiempo, el dinero y el apoyo necesarios para gestionarlos.</w:t>
      </w:r>
    </w:p>
    <w:p>
      <w:pPr>
        <w:pStyle w:val="ListParagraph"/>
        <w:numPr>
          <w:ilvl w:val="0"/>
          <w:numId w:val="4"/>
        </w:numPr>
        <w:spacing w:after="80" w:line="290"/>
      </w:pPr>
      <w:r>
        <w:rPr>
          <w:rFonts w:ascii="Nunito Sans" w:cs="Nunito Sans" w:eastAsia="Nunito Sans" w:hAnsi="Nunito Sans"/>
          <w:b/>
          <w:bCs/>
          <w:color w:val="102E3B"/>
          <w:sz w:val="20"/>
          <w:szCs w:val="20"/>
        </w:rPr>
        <w:t xml:space="preserve">Apoyo antes que exclusión.</w:t>
      </w:r>
      <w:r>
        <w:rPr>
          <w:rFonts w:ascii="Nunito Sans" w:cs="Nunito Sans" w:eastAsia="Nunito Sans" w:hAnsi="Nunito Sans"/>
          <w:color w:val="102E3B"/>
          <w:sz w:val="20"/>
          <w:szCs w:val="20"/>
        </w:rPr>
        <w:t xml:space="preserve"> Cuando detectamos carencias, acordamos un plan para subsanarlas, salvo que el riesgo sea demasiado grave para gestionarlo.</w:t>
      </w:r>
    </w:p>
    <w:p>
      <w:pPr>
        <w:pStyle w:val="ListParagraph"/>
        <w:numPr>
          <w:ilvl w:val="0"/>
          <w:numId w:val="4"/>
        </w:numPr>
        <w:spacing w:after="80" w:line="290"/>
      </w:pPr>
      <w:r>
        <w:rPr>
          <w:rFonts w:ascii="Nunito Sans" w:cs="Nunito Sans" w:eastAsia="Nunito Sans" w:hAnsi="Nunito Sans"/>
          <w:b/>
          <w:bCs/>
          <w:color w:val="102E3B"/>
          <w:sz w:val="20"/>
          <w:szCs w:val="20"/>
        </w:rPr>
        <w:t xml:space="preserve">Reutilizar, no repetir.</w:t>
      </w:r>
      <w:r>
        <w:rPr>
          <w:rFonts w:ascii="Nunito Sans" w:cs="Nunito Sans" w:eastAsia="Nunito Sans" w:hAnsi="Nunito Sans"/>
          <w:color w:val="102E3B"/>
          <w:sz w:val="20"/>
          <w:szCs w:val="20"/>
        </w:rPr>
        <w:t xml:space="preserve"> Aceptamos evaluaciones recientes de otros financiadores o redes de prestigio cuando cubren lo que necesitamos, para que no se hagan a los socios las mismas preguntas una y otra vez.</w:t>
      </w:r>
    </w:p>
    <w:p>
      <w:pPr>
        <w:pStyle w:val="ListParagraph"/>
        <w:numPr>
          <w:ilvl w:val="0"/>
          <w:numId w:val="4"/>
        </w:numPr>
        <w:spacing w:after="80" w:line="290"/>
      </w:pPr>
      <w:r>
        <w:rPr>
          <w:rFonts w:ascii="Nunito Sans" w:cs="Nunito Sans" w:eastAsia="Nunito Sans" w:hAnsi="Nunito Sans"/>
          <w:b/>
          <w:bCs/>
          <w:color w:val="102E3B"/>
          <w:sz w:val="20"/>
          <w:szCs w:val="20"/>
        </w:rPr>
        <w:t xml:space="preserve">Confidencialidad y respeto.</w:t>
      </w:r>
      <w:r>
        <w:rPr>
          <w:rFonts w:ascii="Nunito Sans" w:cs="Nunito Sans" w:eastAsia="Nunito Sans" w:hAnsi="Nunito Sans"/>
          <w:color w:val="102E3B"/>
          <w:sz w:val="20"/>
          <w:szCs w:val="20"/>
        </w:rPr>
        <w:t xml:space="preserve"> Recogemos solo la información que necesitamos, la guardamos de forma segura y la usamos solo para la debida diligencia y la gestión de la alianza.</w:t>
      </w:r>
    </w:p>
    <w:p>
      <w:pPr>
        <w:pStyle w:val="Heading2"/>
        <w:keepNext/>
        <w:spacing w:after="120" w:before="280"/>
      </w:pPr>
      <w:r>
        <w:rPr>
          <w:rFonts w:ascii="DM Serif Display" w:cs="DM Serif Display" w:eastAsia="DM Serif Display" w:hAnsi="DM Serif Display"/>
          <w:color w:val="123C48"/>
          <w:sz w:val="28"/>
          <w:szCs w:val="28"/>
        </w:rPr>
        <w:t xml:space="preserve">3. La Recomendación 8 del GAFI y cómo evitar la reducción injusta de riesgos</w:t>
      </w:r>
    </w:p>
    <w:p>
      <w:pPr>
        <w:spacing w:after="120" w:before="0" w:line="300"/>
      </w:pPr>
      <w:r>
        <w:rPr>
          <w:rFonts w:ascii="Nunito Sans" w:cs="Nunito Sans" w:eastAsia="Nunito Sans" w:hAnsi="Nunito Sans"/>
          <w:color w:val="102E3B"/>
          <w:sz w:val="20"/>
          <w:szCs w:val="20"/>
        </w:rPr>
        <w:t xml:space="preserve">El Grupo de Acción Financiera Internacional (GAFI) establece normas internacionales contra el blanqueo de capitales y la financiación del terrorismo. Su Recomendación 8 se refiere a las organizaciones sin fines de lucro. Pide a los gobiernos que adopten un enfoque focalizado y basado en el riesgo que proteja a las organizaciones sin fines de lucro frente a su uso indebido para financiar el terrorismo, sin perturbar la labor benéfica legítima. El GAFI ha reconocido que unas normas mal aplicadas han llevado a bancos, financiadores y gobiernos a cortar la relación con grupos enteros de organizaciones sin fines de lucro, una práctica conocida como reducción de riesgos (de-risking), y que esto perjudica a las comunidades y a la sociedad civil local.</w:t>
      </w:r>
    </w:p>
    <w:p>
      <w:pPr>
        <w:spacing w:after="120" w:before="0" w:line="300"/>
      </w:pPr>
      <w:r>
        <w:rPr>
          <w:rFonts w:ascii="Nunito Sans" w:cs="Nunito Sans" w:eastAsia="Nunito Sans" w:hAnsi="Nunito Sans"/>
          <w:color w:val="102E3B"/>
          <w:sz w:val="20"/>
          <w:szCs w:val="20"/>
        </w:rPr>
        <w:t xml:space="preserve">Aplicamos el mismo criterio. La mayoría de las organizaciones sin fines de lucro tienen un riesgo bajo de financiación del terrorismo. Concentramos nuestro esfuerzo donde hay un riesgo real e identificado, por ejemplo en actividades basadas en efectivo en zonas donde opera un grupo incluido en una lista. No nos negamos a trabajar con un socio solo por su ubicación o su perfil. Cuando los riesgos son mayores, los gestionamos con controles razonables, como pagos en cuotas, un seguimiento más estrecho o controles adicionales, en lugar de retirarnos.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EL GAFI Y TU PAÍS</w:t>
            </w:r>
          </w:p>
          <w:p>
            <w:pPr>
              <w:spacing w:after="120" w:before="0" w:line="300"/>
            </w:pPr>
            <w:r>
              <w:rPr>
                <w:rFonts w:ascii="Nunito Sans" w:cs="Nunito Sans" w:eastAsia="Nunito Sans" w:hAnsi="Nunito Sans"/>
                <w:color w:val="102E3B"/>
                <w:sz w:val="19"/>
                <w:szCs w:val="19"/>
              </w:rPr>
              <w:t xml:space="preserve">El GAFI actualizó en noviembre de 2023 la Recomendación 8 y su guía para las organizaciones sin fines de lucro para reforzar este enfoque basado en el riesgo. Consulta el texto vigente en el sitio web del GAFI. La evaluación mutua más reciente del GAFI sobre tu país, o la evaluación nacional de riesgos del sector sin fines de lucro si tu gobierno la ha publicado, muestra cómo ven tus autoridades el riesgo en tu sector. Úsala para explicar tu enfoque a los financiadores. Si un requisito de un financiador excluiría a un socio local capaz, dilo y propón en su lugar controles proporcionados.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Cuándo es necesaria la debida diligencia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3333"/>
        <w:gridCol w:w="2858"/>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RELACIÓN</w:t>
            </w:r>
          </w:p>
        </w:tc>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CUÁNDO COMPROBAMOS</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Subreceptor de fondos o socio ejecutor</w:t>
            </w:r>
          </w:p>
        </w:tc>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Antes de firmar un Acuerdo de Subvención a Socios, y antes de cualquier renovación</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el riesgo y el importe (sección 5)</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Socio estratégico, sin transferencia de fondos</w:t>
            </w:r>
          </w:p>
        </w:tc>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Antes de firmar un Memorando de Entendimiento de Alianza</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Básico, o estándar si va a trabajar con niñas, niños o personas adultas en situación de riesgo</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Proveedor principal o consultor</w:t>
            </w:r>
          </w:p>
        </w:tc>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Por encima de </w:t>
            </w:r>
            <w:r>
              <w:rPr>
                <w:rFonts w:ascii="Nunito Sans" w:cs="Nunito Sans" w:eastAsia="Nunito Sans" w:hAnsi="Nunito Sans"/>
                <w:color w:val="102E3B"/>
                <w:sz w:val="18"/>
                <w:szCs w:val="18"/>
                <w:highlight w:val="yellow"/>
              </w:rPr>
              <w:t xml:space="preserve">[importe]</w:t>
            </w:r>
            <w:r>
              <w:rPr>
                <w:rFonts w:ascii="Nunito Sans" w:cs="Nunito Sans" w:eastAsia="Nunito Sans" w:hAnsi="Nunito Sans"/>
                <w:color w:val="102E3B"/>
                <w:sz w:val="18"/>
                <w:szCs w:val="18"/>
              </w:rPr>
              <w:t xml:space="preserve">, según lo establecido en nuestra Política de Compras y Contrataciones</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Básico o estándar</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Gran donante o patrocinador</w:t>
            </w:r>
          </w:p>
        </w:tc>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Antes de aceptar donaciones superiores a </w:t>
            </w:r>
            <w:r>
              <w:rPr>
                <w:rFonts w:ascii="Nunito Sans" w:cs="Nunito Sans" w:eastAsia="Nunito Sans" w:hAnsi="Nunito Sans"/>
                <w:color w:val="102E3B"/>
                <w:sz w:val="18"/>
                <w:szCs w:val="18"/>
                <w:highlight w:val="yellow"/>
              </w:rPr>
              <w:t xml:space="preserve">[importe]</w:t>
            </w:r>
            <w:r>
              <w:rPr>
                <w:rFonts w:ascii="Nunito Sans" w:cs="Nunito Sans" w:eastAsia="Nunito Sans" w:hAnsi="Nunito Sans"/>
                <w:color w:val="102E3B"/>
                <w:sz w:val="18"/>
                <w:szCs w:val="18"/>
              </w:rPr>
              <w:t xml:space="preserve"> en un año</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Básico, con comprobaciones reforzadas si surgen preocupaciones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 relación</w:t>
            </w:r>
          </w:p>
        </w:tc>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Siempre que conozcamos una preocupación grave, como un fraude, un abuso o un posible vínculo con sanciones</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Reforzado</w:t>
            </w:r>
          </w:p>
        </w:tc>
      </w:tr>
    </w:tbl>
    <w:p>
      <w:pPr>
        <w:spacing w:after="120"/>
      </w:pPr>
    </w:p>
    <w:p>
      <w:pPr>
        <w:spacing w:after="120" w:before="0" w:line="300"/>
      </w:pPr>
      <w:r>
        <w:rPr>
          <w:rFonts w:ascii="Nunito Sans" w:cs="Nunito Sans" w:eastAsia="Nunito Sans" w:hAnsi="Nunito Sans"/>
          <w:color w:val="102E3B"/>
          <w:sz w:val="20"/>
          <w:szCs w:val="20"/>
        </w:rPr>
        <w:t xml:space="preserve">El control de sanciones se aplica en todos los niveles, incluidas las comprobaciones básicas.</w:t>
      </w:r>
    </w:p>
    <w:p>
      <w:pPr>
        <w:pStyle w:val="Heading2"/>
        <w:keepNext/>
        <w:spacing w:after="120" w:before="280"/>
      </w:pPr>
      <w:r>
        <w:rPr>
          <w:rFonts w:ascii="DM Serif Display" w:cs="DM Serif Display" w:eastAsia="DM Serif Display" w:hAnsi="DM Serif Display"/>
          <w:color w:val="123C48"/>
          <w:sz w:val="28"/>
          <w:szCs w:val="28"/>
        </w:rPr>
        <w:t xml:space="preserve">5. Niveles proporcionados de comprobación</w:t>
      </w:r>
    </w:p>
    <w:p>
      <w:pPr>
        <w:spacing w:after="120" w:before="0" w:line="300"/>
      </w:pPr>
      <w:r>
        <w:rPr>
          <w:rFonts w:ascii="Nunito Sans" w:cs="Nunito Sans" w:eastAsia="Nunito Sans" w:hAnsi="Nunito Sans"/>
          <w:color w:val="102E3B"/>
          <w:sz w:val="20"/>
          <w:szCs w:val="20"/>
        </w:rPr>
        <w:t xml:space="preserve">Fijamos el nivel con dos preguntas: cuánto dinero o responsabilidad está en juego, y cuán arriesgados son la actividad y el contexto. Cuando las respuestas apuntan a niveles distintos, aplicamos el más alto.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3047"/>
        <w:gridCol w:w="4763"/>
      </w:tblGrid>
      <w:tr>
        <w:trPr>
          <w:cantSplit/>
          <w:tblHeader/>
        </w:trPr>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w:t>
            </w:r>
          </w:p>
        </w:tc>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 APLICA NORMALMENTE CUANDO</w:t>
            </w:r>
          </w:p>
        </w:tc>
        <w:tc>
          <w:tcPr>
            <w:tcW w:type="dxa" w:w="476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HACEMOS</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Básico</w:t>
            </w:r>
          </w:p>
        </w:tc>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Valor total de hasta </w:t>
            </w:r>
            <w:r>
              <w:rPr>
                <w:rFonts w:ascii="Nunito Sans" w:cs="Nunito Sans" w:eastAsia="Nunito Sans" w:hAnsi="Nunito Sans"/>
                <w:color w:val="102E3B"/>
                <w:sz w:val="18"/>
                <w:szCs w:val="18"/>
                <w:highlight w:val="yellow"/>
              </w:rPr>
              <w:t xml:space="preserve">[importe]</w:t>
            </w:r>
            <w:r>
              <w:rPr>
                <w:rFonts w:ascii="Nunito Sans" w:cs="Nunito Sans" w:eastAsia="Nunito Sans" w:hAnsi="Nunito Sans"/>
                <w:color w:val="102E3B"/>
                <w:sz w:val="18"/>
                <w:szCs w:val="18"/>
              </w:rPr>
              <w:t xml:space="preserve"> al año; actividad de bajo riesgo; sin contacto directo con niñas, niños o personas adultas en situación de riesgo</w:t>
            </w:r>
          </w:p>
        </w:tc>
        <w:tc>
          <w:tcPr>
            <w:tcW w:type="dxa" w:w="476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Control de sanciones; prueba de existencia legal o, en el caso de grupos informales, una referencia de una fuente de confianza; datos bancarios a nombre de la organización; compromiso firmado con nuestro Código de Conducta</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Estándar</w:t>
            </w:r>
          </w:p>
        </w:tc>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Valor de </w:t>
            </w:r>
            <w:r>
              <w:rPr>
                <w:rFonts w:ascii="Nunito Sans" w:cs="Nunito Sans" w:eastAsia="Nunito Sans" w:hAnsi="Nunito Sans"/>
                <w:color w:val="102E3B"/>
                <w:sz w:val="18"/>
                <w:szCs w:val="18"/>
                <w:highlight w:val="yellow"/>
              </w:rPr>
              <w:t xml:space="preserve">[importe]</w:t>
            </w:r>
            <w:r>
              <w:rPr>
                <w:rFonts w:ascii="Nunito Sans" w:cs="Nunito Sans" w:eastAsia="Nunito Sans" w:hAnsi="Nunito Sans"/>
                <w:color w:val="102E3B"/>
                <w:sz w:val="18"/>
                <w:szCs w:val="18"/>
              </w:rPr>
              <w:t xml:space="preserve"> a </w:t>
            </w:r>
            <w:r>
              <w:rPr>
                <w:rFonts w:ascii="Nunito Sans" w:cs="Nunito Sans" w:eastAsia="Nunito Sans" w:hAnsi="Nunito Sans"/>
                <w:color w:val="102E3B"/>
                <w:sz w:val="18"/>
                <w:szCs w:val="18"/>
                <w:highlight w:val="yellow"/>
              </w:rPr>
              <w:t xml:space="preserve">[importe]</w:t>
            </w:r>
            <w:r>
              <w:rPr>
                <w:rFonts w:ascii="Nunito Sans" w:cs="Nunito Sans" w:eastAsia="Nunito Sans" w:hAnsi="Nunito Sans"/>
                <w:color w:val="102E3B"/>
                <w:sz w:val="18"/>
                <w:szCs w:val="18"/>
              </w:rPr>
              <w:t xml:space="preserve">; o contacto con niñas, niños o personas adultas en situación de riesgo; o tratamiento de datos personales por cuenta nuestra</w:t>
            </w:r>
          </w:p>
        </w:tc>
        <w:tc>
          <w:tcPr>
            <w:tcW w:type="dxa" w:w="476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Todo lo del nivel básico, más el Cuestionario de Debida Diligencia para Socios, los documentos clave, una llamada o visita y una calificación de riesgo por escrito</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Reforzado</w:t>
            </w:r>
          </w:p>
        </w:tc>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Valor superior a </w:t>
            </w:r>
            <w:r>
              <w:rPr>
                <w:rFonts w:ascii="Nunito Sans" w:cs="Nunito Sans" w:eastAsia="Nunito Sans" w:hAnsi="Nunito Sans"/>
                <w:color w:val="102E3B"/>
                <w:sz w:val="18"/>
                <w:szCs w:val="18"/>
                <w:highlight w:val="yellow"/>
              </w:rPr>
              <w:t xml:space="preserve">[importe]</w:t>
            </w:r>
            <w:r>
              <w:rPr>
                <w:rFonts w:ascii="Nunito Sans" w:cs="Nunito Sans" w:eastAsia="Nunito Sans" w:hAnsi="Nunito Sans"/>
                <w:color w:val="102E3B"/>
                <w:sz w:val="18"/>
                <w:szCs w:val="18"/>
              </w:rPr>
              <w:t xml:space="preserve">; o actividad o contexto de alto riesgo (por ejemplo, distribuciones de efectivo, zonas donde operan grupos incluidos en listas); o una preocupación grave</w:t>
            </w:r>
          </w:p>
        </w:tc>
        <w:tc>
          <w:tcPr>
            <w:tcW w:type="dxa" w:w="476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Todo lo del nivel estándar, más una visita, la revisión de cuentas auditadas o verificadas de forma independiente, referencias de al menos </w:t>
            </w:r>
            <w:r>
              <w:rPr>
                <w:rFonts w:ascii="Nunito Sans" w:cs="Nunito Sans" w:eastAsia="Nunito Sans" w:hAnsi="Nunito Sans"/>
                <w:color w:val="102E3B"/>
                <w:sz w:val="18"/>
                <w:szCs w:val="18"/>
                <w:highlight w:val="yellow"/>
              </w:rPr>
              <w:t xml:space="preserve">[dos]</w:t>
            </w:r>
            <w:r>
              <w:rPr>
                <w:rFonts w:ascii="Nunito Sans" w:cs="Nunito Sans" w:eastAsia="Nunito Sans" w:hAnsi="Nunito Sans"/>
                <w:color w:val="102E3B"/>
                <w:sz w:val="18"/>
                <w:szCs w:val="18"/>
              </w:rPr>
              <w:t xml:space="preserve"> financiadores o socios, el control de todos los miembros del órgano de gobierno y del personal clave, y la aprobación de </w:t>
            </w:r>
            <w:r>
              <w:rPr>
                <w:rFonts w:ascii="Nunito Sans" w:cs="Nunito Sans" w:eastAsia="Nunito Sans" w:hAnsi="Nunito Sans"/>
                <w:color w:val="102E3B"/>
                <w:sz w:val="18"/>
                <w:szCs w:val="18"/>
                <w:highlight w:val="yellow"/>
              </w:rPr>
              <w:t xml:space="preserve">[Nombre, cargo]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FIJAR TUS NIVELES</w:t>
            </w:r>
          </w:p>
          <w:p>
            <w:pPr>
              <w:spacing w:after="120" w:before="0" w:line="300"/>
            </w:pPr>
            <w:r>
              <w:rPr>
                <w:rFonts w:ascii="Nunito Sans" w:cs="Nunito Sans" w:eastAsia="Nunito Sans" w:hAnsi="Nunito Sans"/>
                <w:color w:val="102E3B"/>
                <w:sz w:val="19"/>
                <w:szCs w:val="19"/>
              </w:rPr>
              <w:t xml:space="preserve">Fija importes que se ajusten a tu presupuesto y al tamaño de tus socios. Un punto de partida razonable es que el nivel básico cubra las pequeñas subvenciones para actividades y los eventos puntuales, y que el nivel reforzado cubra a cualquier socio que vaya a recibir una parte importante de una misma subvención. Añade aquí cualquier norma de los financiadores, por ejemplo: "Para la subvención </w:t>
            </w:r>
            <w:r>
              <w:rPr>
                <w:rFonts w:ascii="Nunito Sans" w:cs="Nunito Sans" w:eastAsia="Nunito Sans" w:hAnsi="Nunito Sans"/>
                <w:color w:val="102E3B"/>
                <w:sz w:val="19"/>
                <w:szCs w:val="19"/>
                <w:highlight w:val="yellow"/>
              </w:rPr>
              <w:t xml:space="preserve">[referencia]</w:t>
            </w:r>
            <w:r>
              <w:rPr>
                <w:rFonts w:ascii="Nunito Sans" w:cs="Nunito Sans" w:eastAsia="Nunito Sans" w:hAnsi="Nunito Sans"/>
                <w:color w:val="102E3B"/>
                <w:sz w:val="19"/>
                <w:szCs w:val="19"/>
              </w:rPr>
              <w:t xml:space="preserve"> de </w:t>
            </w:r>
            <w:r>
              <w:rPr>
                <w:rFonts w:ascii="Nunito Sans" w:cs="Nunito Sans" w:eastAsia="Nunito Sans" w:hAnsi="Nunito Sans"/>
                <w:color w:val="102E3B"/>
                <w:sz w:val="19"/>
                <w:szCs w:val="19"/>
                <w:highlight w:val="yellow"/>
              </w:rPr>
              <w:t xml:space="preserve">[Nombre del financiador]</w:t>
            </w:r>
            <w:r>
              <w:rPr>
                <w:rFonts w:ascii="Nunito Sans" w:cs="Nunito Sans" w:eastAsia="Nunito Sans" w:hAnsi="Nunito Sans"/>
                <w:color w:val="102E3B"/>
                <w:sz w:val="19"/>
                <w:szCs w:val="19"/>
              </w:rPr>
              <w:t xml:space="preserve">, todos los subreceptores de fondos reciben una evaluación reforzada." Algunos financiadores también exigen aprobar ellos mismos a cada subreceptor: inclúyelo en tu calendario.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Qué comprobamos</w:t>
      </w:r>
    </w:p>
    <w:p>
      <w:pPr>
        <w:spacing w:after="120" w:before="0" w:line="300"/>
      </w:pPr>
      <w:r>
        <w:rPr>
          <w:rFonts w:ascii="Nunito Sans" w:cs="Nunito Sans" w:eastAsia="Nunito Sans" w:hAnsi="Nunito Sans"/>
          <w:color w:val="102E3B"/>
          <w:sz w:val="20"/>
          <w:szCs w:val="20"/>
        </w:rPr>
        <w:t xml:space="preserve">En los niveles estándar y reforzado, el Cuestionario de Debida Diligencia para Socios recoge la mayor parte de esta información. Aceptamos distintos tipos de pruebas. Lo importante es que entendamos el riesgo, no que un socio presente un documento concreto.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4095"/>
        <w:gridCol w:w="3334"/>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ÁREA</w:t>
            </w:r>
          </w:p>
        </w:tc>
        <w:tc>
          <w:tcPr>
            <w:tcW w:type="dxa" w:w="4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EXAMINAMOS</w:t>
            </w:r>
          </w:p>
        </w:tc>
        <w:tc>
          <w:tcPr>
            <w:tcW w:type="dxa" w:w="333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PRUEBAS QUE PODEMOS ACEPTAR</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 legal</w:t>
            </w:r>
          </w:p>
        </w:tc>
        <w:tc>
          <w:tcPr>
            <w:tcW w:type="dxa" w:w="4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legal, registro, objeto, capacidad para recibir fondos</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Certificado de registro, estatutos, número de identificación fiscal; o, en el caso de grupos informales, una carta de una autoridad local o de una red conocida</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Gobernanza</w:t>
            </w:r>
          </w:p>
        </w:tc>
        <w:tc>
          <w:tcPr>
            <w:tcW w:type="dxa" w:w="4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 dirige y supervisa la organización, cómo se toman las decisiones, conflictos de interés</w:t>
            </w:r>
          </w:p>
        </w:tc>
        <w:tc>
          <w:tcPr>
            <w:tcW w:type="dxa" w:w="3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Lista de miembros del órgano de gobierno o del comité, actas, registros de conflictos de interés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Finanzas y controles</w:t>
            </w:r>
          </w:p>
        </w:tc>
        <w:tc>
          <w:tcPr>
            <w:tcW w:type="dxa" w:w="4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Cuenta bancaria, presupuestos, aprobaciones, separación de funciones, manejo de efectivo, cuentas anuales</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Carta del banco, últimas cuentas o auditoría, procedimientos financieros, una muestra de registros</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Salvaguarda y PSEAH</w:t>
            </w:r>
          </w:p>
        </w:tc>
        <w:tc>
          <w:tcPr>
            <w:tcW w:type="dxa" w:w="4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Política, contratación segura, vías de denuncia, cómo se gestionan las preocupaciones</w:t>
            </w:r>
          </w:p>
        </w:tc>
        <w:tc>
          <w:tcPr>
            <w:tcW w:type="dxa" w:w="3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Política de salvaguarda, código de conducta, un ejemplo reciente de cómo se gestionó una preocupación</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Fraude y corrupción</w:t>
            </w:r>
          </w:p>
        </w:tc>
        <w:tc>
          <w:tcPr>
            <w:tcW w:type="dxa" w:w="4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Política, incidentes anteriores, cómo se denuncia el fraude</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Política o compromiso contra el fraude, explicación de cualquier caso anterior</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Protección de datos</w:t>
            </w:r>
          </w:p>
        </w:tc>
        <w:tc>
          <w:tcPr>
            <w:tcW w:type="dxa" w:w="4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datos personales tratará por cuenta nuestra y cómo los mantiene seguros</w:t>
            </w:r>
          </w:p>
        </w:tc>
        <w:tc>
          <w:tcPr>
            <w:tcW w:type="dxa" w:w="3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Política de protección de datos, descripción del almacenamiento y del acceso</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Capacidad</w:t>
            </w:r>
          </w:p>
        </w:tc>
        <w:tc>
          <w:tcPr>
            <w:tcW w:type="dxa" w:w="4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Personal, sistemas y experiencia para ejecutar el trabajo previsto</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Proyectos anteriores, referencias, lista del personal</w:t>
            </w:r>
          </w:p>
        </w:tc>
      </w:tr>
    </w:tbl>
    <w:p>
      <w:pPr>
        <w:spacing w:after="120"/>
      </w:pPr>
    </w:p>
    <w:p>
      <w:pPr>
        <w:spacing w:after="120" w:before="0" w:line="300"/>
      </w:pPr>
      <w:r>
        <w:rPr>
          <w:rFonts w:ascii="Nunito Sans" w:cs="Nunito Sans" w:eastAsia="Nunito Sans" w:hAnsi="Nunito Sans"/>
          <w:color w:val="102E3B"/>
          <w:sz w:val="20"/>
          <w:szCs w:val="20"/>
        </w:rPr>
        <w:t xml:space="preserve">PSEAH (por sus siglas en inglés) significa protección contra la explotación, el abuso y el acoso sexuales. En materia de salvaguarda, seguimos los seis principios fundamentales del IASC y, cuando hay niñas y niños implicados, las normas Keeping Children Safe. Cuando el socio es miembro del Misconduct Disclosure Scheme, o cuando la ley lo permite, preguntamos por las verificaciones de contratación segura del personal que tiene contacto con las personas a las que servimos.</w:t>
      </w:r>
    </w:p>
    <w:p>
      <w:pPr>
        <w:pStyle w:val="Heading2"/>
        <w:keepNext/>
        <w:spacing w:after="120" w:before="280"/>
      </w:pPr>
      <w:r>
        <w:rPr>
          <w:rFonts w:ascii="DM Serif Display" w:cs="DM Serif Display" w:eastAsia="DM Serif Display" w:hAnsi="DM Serif Display"/>
          <w:color w:val="123C48"/>
          <w:sz w:val="28"/>
          <w:szCs w:val="28"/>
        </w:rPr>
        <w:t xml:space="preserve">7. Control de sanciones y contra la financiación del terrorismo</w:t>
      </w:r>
    </w:p>
    <w:p>
      <w:pPr>
        <w:spacing w:after="120" w:before="0" w:line="300"/>
      </w:pPr>
      <w:r>
        <w:rPr>
          <w:rFonts w:ascii="Nunito Sans" w:cs="Nunito Sans" w:eastAsia="Nunito Sans" w:hAnsi="Nunito Sans"/>
          <w:color w:val="102E3B"/>
          <w:sz w:val="20"/>
          <w:szCs w:val="20"/>
        </w:rPr>
        <w:t xml:space="preserve">Las sanciones son restricciones legales a las relaciones con personas, organizaciones, grupos o países designados. Poner fondos o bienes a disposición de una persona o entidad incluida en una lista puede ser un delito, incluso por error. El control consiste en contrastar los nombres con las listas oficiales antes de relacionarnos con alguien.</w:t>
      </w:r>
    </w:p>
    <w:p>
      <w:pPr>
        <w:pStyle w:val="Heading3"/>
        <w:keepNext/>
        <w:spacing w:after="80" w:before="200"/>
      </w:pPr>
      <w:r>
        <w:rPr>
          <w:rFonts w:ascii="Nunito Sans" w:cs="Nunito Sans" w:eastAsia="Nunito Sans" w:hAnsi="Nunito Sans"/>
          <w:b/>
          <w:bCs/>
          <w:color w:val="16746E"/>
          <w:sz w:val="21"/>
          <w:szCs w:val="21"/>
        </w:rPr>
        <w:t xml:space="preserve">A quién controlamos</w:t>
      </w:r>
    </w:p>
    <w:p>
      <w:pPr>
        <w:pStyle w:val="ListParagraph"/>
        <w:numPr>
          <w:ilvl w:val="0"/>
          <w:numId w:val="3"/>
        </w:numPr>
        <w:spacing w:after="80" w:line="290"/>
      </w:pPr>
      <w:r>
        <w:rPr>
          <w:rFonts w:ascii="Nunito Sans" w:cs="Nunito Sans" w:eastAsia="Nunito Sans" w:hAnsi="Nunito Sans"/>
          <w:color w:val="102E3B"/>
          <w:sz w:val="20"/>
          <w:szCs w:val="20"/>
        </w:rPr>
        <w:t xml:space="preserve">a la propia organización, por su nombre legal completo y cualquier otro nombre que use;</w:t>
      </w:r>
    </w:p>
    <w:p>
      <w:pPr>
        <w:pStyle w:val="ListParagraph"/>
        <w:numPr>
          <w:ilvl w:val="0"/>
          <w:numId w:val="3"/>
        </w:numPr>
        <w:spacing w:after="80" w:line="290"/>
      </w:pPr>
      <w:r>
        <w:rPr>
          <w:rFonts w:ascii="Nunito Sans" w:cs="Nunito Sans" w:eastAsia="Nunito Sans" w:hAnsi="Nunito Sans"/>
          <w:color w:val="102E3B"/>
          <w:sz w:val="20"/>
          <w:szCs w:val="20"/>
        </w:rPr>
        <w:t xml:space="preserve">en los niveles estándar y reforzado, a la presidencia de su órgano de gobierno o comité, a la persona que ocupa su dirección ejecutiva y a las personas con firma autorizada en el banco; en el nivel reforzado, a todos los miembros del órgano de gobierno y al personal clave;</w:t>
      </w:r>
    </w:p>
    <w:p>
      <w:pPr>
        <w:pStyle w:val="ListParagraph"/>
        <w:numPr>
          <w:ilvl w:val="0"/>
          <w:numId w:val="3"/>
        </w:numPr>
        <w:spacing w:after="80" w:line="290"/>
      </w:pPr>
      <w:r>
        <w:rPr>
          <w:rFonts w:ascii="Nunito Sans" w:cs="Nunito Sans" w:eastAsia="Nunito Sans" w:hAnsi="Nunito Sans"/>
          <w:color w:val="102E3B"/>
          <w:sz w:val="20"/>
          <w:szCs w:val="20"/>
        </w:rPr>
        <w:t xml:space="preserve">a los proveedores principales y consultores, y a los grandes donantes;</w:t>
      </w:r>
    </w:p>
    <w:p>
      <w:pPr>
        <w:pStyle w:val="ListParagraph"/>
        <w:numPr>
          <w:ilvl w:val="0"/>
          <w:numId w:val="3"/>
        </w:numPr>
        <w:spacing w:after="80" w:line="290"/>
      </w:pPr>
      <w:r>
        <w:rPr>
          <w:rFonts w:ascii="Nunito Sans" w:cs="Nunito Sans" w:eastAsia="Nunito Sans" w:hAnsi="Nunito Sans"/>
          <w:color w:val="102E3B"/>
          <w:sz w:val="20"/>
          <w:szCs w:val="20"/>
        </w:rPr>
        <w:t xml:space="preserve">a cualquier persona que reciba nuestros fondos directamente, salvo las personas a las que servimos como parte de un programa, a menos que un financiador exija otra cosa.</w:t>
      </w:r>
    </w:p>
    <w:p>
      <w:pPr>
        <w:pStyle w:val="Heading3"/>
        <w:keepNext/>
        <w:spacing w:after="80" w:before="200"/>
      </w:pPr>
      <w:r>
        <w:rPr>
          <w:rFonts w:ascii="Nunito Sans" w:cs="Nunito Sans" w:eastAsia="Nunito Sans" w:hAnsi="Nunito Sans"/>
          <w:b/>
          <w:bCs/>
          <w:color w:val="16746E"/>
          <w:sz w:val="21"/>
          <w:szCs w:val="21"/>
        </w:rPr>
        <w:t xml:space="preserve">Con qué listas</w:t>
      </w:r>
    </w:p>
    <w:p>
      <w:pPr>
        <w:spacing w:after="120" w:before="0" w:line="300"/>
      </w:pPr>
      <w:r>
        <w:rPr>
          <w:rFonts w:ascii="Nunito Sans" w:cs="Nunito Sans" w:eastAsia="Nunito Sans" w:hAnsi="Nunito Sans"/>
          <w:color w:val="102E3B"/>
          <w:sz w:val="20"/>
          <w:szCs w:val="20"/>
        </w:rPr>
        <w:t xml:space="preserve">Siempre contrastamos con la </w:t>
      </w:r>
      <w:r>
        <w:rPr>
          <w:rFonts w:ascii="Nunito Sans" w:cs="Nunito Sans" w:eastAsia="Nunito Sans" w:hAnsi="Nunito Sans"/>
          <w:b/>
          <w:bCs/>
          <w:color w:val="102E3B"/>
          <w:sz w:val="20"/>
          <w:szCs w:val="20"/>
        </w:rPr>
        <w:t xml:space="preserve">lista consolidada de sanciones del Consejo de Seguridad de las Naciones Unidas</w:t>
      </w:r>
      <w:r>
        <w:rPr>
          <w:rFonts w:ascii="Nunito Sans" w:cs="Nunito Sans" w:eastAsia="Nunito Sans" w:hAnsi="Nunito Sans"/>
          <w:color w:val="102E3B"/>
          <w:sz w:val="20"/>
          <w:szCs w:val="20"/>
        </w:rPr>
        <w:t xml:space="preserve">. También contrastamos con las listas que exigen nuestros financiadores, nuestros bancos o la ley, normalmente:</w:t>
      </w:r>
    </w:p>
    <w:p>
      <w:pPr>
        <w:pStyle w:val="ListParagraph"/>
        <w:numPr>
          <w:ilvl w:val="0"/>
          <w:numId w:val="3"/>
        </w:numPr>
        <w:spacing w:after="80" w:line="290"/>
      </w:pPr>
      <w:r>
        <w:rPr>
          <w:rFonts w:ascii="Nunito Sans" w:cs="Nunito Sans" w:eastAsia="Nunito Sans" w:hAnsi="Nunito Sans"/>
          <w:color w:val="102E3B"/>
          <w:sz w:val="20"/>
          <w:szCs w:val="20"/>
        </w:rPr>
        <w:t xml:space="preserve">la </w:t>
      </w:r>
      <w:r>
        <w:rPr>
          <w:rFonts w:ascii="Nunito Sans" w:cs="Nunito Sans" w:eastAsia="Nunito Sans" w:hAnsi="Nunito Sans"/>
          <w:b/>
          <w:bCs/>
          <w:color w:val="102E3B"/>
          <w:sz w:val="20"/>
          <w:szCs w:val="20"/>
        </w:rPr>
        <w:t xml:space="preserve">Specially Designated Nationals and Blocked Persons List</w:t>
      </w:r>
      <w:r>
        <w:rPr>
          <w:rFonts w:ascii="Nunito Sans" w:cs="Nunito Sans" w:eastAsia="Nunito Sans" w:hAnsi="Nunito Sans"/>
          <w:color w:val="102E3B"/>
          <w:sz w:val="20"/>
          <w:szCs w:val="20"/>
        </w:rPr>
        <w:t xml:space="preserve"> de la OFAC de Estados Unidos (lista SDN), publicada por la Office of Foreign Assets Control del Departamento del Tesoro de Estados Unidos;</w:t>
      </w:r>
    </w:p>
    <w:p>
      <w:pPr>
        <w:pStyle w:val="ListParagraph"/>
        <w:numPr>
          <w:ilvl w:val="0"/>
          <w:numId w:val="3"/>
        </w:numPr>
        <w:spacing w:after="80" w:line="290"/>
      </w:pPr>
      <w:r>
        <w:rPr>
          <w:rFonts w:ascii="Nunito Sans" w:cs="Nunito Sans" w:eastAsia="Nunito Sans" w:hAnsi="Nunito Sans"/>
          <w:color w:val="102E3B"/>
          <w:sz w:val="20"/>
          <w:szCs w:val="20"/>
        </w:rPr>
        <w:t xml:space="preserve">la </w:t>
      </w:r>
      <w:r>
        <w:rPr>
          <w:rFonts w:ascii="Nunito Sans" w:cs="Nunito Sans" w:eastAsia="Nunito Sans" w:hAnsi="Nunito Sans"/>
          <w:b/>
          <w:bCs/>
          <w:color w:val="102E3B"/>
          <w:sz w:val="20"/>
          <w:szCs w:val="20"/>
        </w:rPr>
        <w:t xml:space="preserve">lista consolidada de la UE</w:t>
      </w:r>
      <w:r>
        <w:rPr>
          <w:rFonts w:ascii="Nunito Sans" w:cs="Nunito Sans" w:eastAsia="Nunito Sans" w:hAnsi="Nunito Sans"/>
          <w:color w:val="102E3B"/>
          <w:sz w:val="20"/>
          <w:szCs w:val="20"/>
        </w:rPr>
        <w:t xml:space="preserve"> de personas, grupos y entidades sujetos a sanciones financieras de la UE;</w:t>
      </w:r>
    </w:p>
    <w:p>
      <w:pPr>
        <w:pStyle w:val="ListParagraph"/>
        <w:numPr>
          <w:ilvl w:val="0"/>
          <w:numId w:val="3"/>
        </w:numPr>
        <w:spacing w:after="80" w:line="290"/>
      </w:pPr>
      <w:r>
        <w:rPr>
          <w:rFonts w:ascii="Nunito Sans" w:cs="Nunito Sans" w:eastAsia="Nunito Sans" w:hAnsi="Nunito Sans"/>
          <w:color w:val="102E3B"/>
          <w:sz w:val="20"/>
          <w:szCs w:val="20"/>
        </w:rPr>
        <w:t xml:space="preserve">la </w:t>
      </w:r>
      <w:r>
        <w:rPr>
          <w:rFonts w:ascii="Nunito Sans" w:cs="Nunito Sans" w:eastAsia="Nunito Sans" w:hAnsi="Nunito Sans"/>
          <w:b/>
          <w:bCs/>
          <w:color w:val="102E3B"/>
          <w:sz w:val="20"/>
          <w:szCs w:val="20"/>
        </w:rPr>
        <w:t xml:space="preserve">UK Sanctions List</w:t>
      </w:r>
      <w:r>
        <w:rPr>
          <w:rFonts w:ascii="Nunito Sans" w:cs="Nunito Sans" w:eastAsia="Nunito Sans" w:hAnsi="Nunito Sans"/>
          <w:color w:val="102E3B"/>
          <w:sz w:val="20"/>
          <w:szCs w:val="20"/>
        </w:rPr>
        <w:t xml:space="preserve">, publicada por el Gobierno del Reino Unido;</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[cualquier lista nacional de los países donde trabajamos]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[cualquier lista de exclusión o inhabilitación de un financiador]</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Usamos las herramientas oficiales de búsqueda gratuitas de cada lista, o </w:t>
      </w:r>
      <w:r>
        <w:rPr>
          <w:rFonts w:ascii="Nunito Sans" w:cs="Nunito Sans" w:eastAsia="Nunito Sans" w:hAnsi="Nunito Sans"/>
          <w:color w:val="102E3B"/>
          <w:sz w:val="20"/>
          <w:szCs w:val="20"/>
          <w:highlight w:val="yellow"/>
        </w:rPr>
        <w:t xml:space="preserve">[un servicio de control al que estamos suscritos]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LISTAS QUE EXIGEN TUS FINANCIADORES</w:t>
            </w:r>
          </w:p>
          <w:p>
            <w:pPr>
              <w:spacing w:after="120" w:before="0" w:line="300"/>
            </w:pPr>
            <w:r>
              <w:rPr>
                <w:rFonts w:ascii="Nunito Sans" w:cs="Nunito Sans" w:eastAsia="Nunito Sans" w:hAnsi="Nunito Sans"/>
                <w:color w:val="102E3B"/>
                <w:sz w:val="19"/>
                <w:szCs w:val="19"/>
              </w:rPr>
              <w:t xml:space="preserve">Lee la cláusula de lucha contra el terrorismo y de sanciones de cada acuerdo de subvención y enumera aquí exactamente qué listas exige. Algunos financiadores nombran las listas; otros simplemente te exigen garantizar que ningún fondo llegue a personas incluidas en listas, lo que en la práctica significa contrastar con las listas aplicables a ese financiador. El 28 de enero de 2026, el Reino Unido sustituyó la antigua OFSI Consolidated List por la UK Sanctions List como fuente única de designaciones: consulta la lista vigente en el sitio web del Gobierno del Reino Unido antes de basarte en ella. Las herramientas de búsqueda gratuitas cambian de dirección de vez en cuando, así que anota en cada entrada del registro el sitio web que usaste. Si controlas muchos nombres, un servicio de control de pago puede ahorrarte tiempo, pero la decisión sigue siendo responsabilidad tuya.</w:t>
            </w:r>
          </w:p>
        </w:tc>
      </w:tr>
    </w:tbl>
    <w:p>
      <w:pPr>
        <w:spacing w:after="120"/>
      </w:pPr>
    </w:p>
    <w:p>
      <w:pPr>
        <w:pStyle w:val="Heading3"/>
        <w:keepNext/>
        <w:spacing w:after="80" w:before="200"/>
      </w:pPr>
      <w:r>
        <w:rPr>
          <w:rFonts w:ascii="Nunito Sans" w:cs="Nunito Sans" w:eastAsia="Nunito Sans" w:hAnsi="Nunito Sans"/>
          <w:b/>
          <w:bCs/>
          <w:color w:val="16746E"/>
          <w:sz w:val="21"/>
          <w:szCs w:val="21"/>
        </w:rPr>
        <w:t xml:space="preserve">Cómo realizamos y registramos el control</w:t>
      </w:r>
    </w:p>
    <w:p>
      <w:pPr>
        <w:pStyle w:val="ListParagraph"/>
        <w:numPr>
          <w:ilvl w:val="0"/>
          <w:numId w:val="5"/>
        </w:numPr>
        <w:spacing w:after="80" w:line="290"/>
      </w:pPr>
      <w:r>
        <w:rPr>
          <w:rFonts w:ascii="Nunito Sans" w:cs="Nunito Sans" w:eastAsia="Nunito Sans" w:hAnsi="Nunito Sans"/>
          <w:color w:val="102E3B"/>
          <w:sz w:val="20"/>
          <w:szCs w:val="20"/>
        </w:rPr>
        <w:t xml:space="preserve">Busque cada nombre, incluidas otras grafías, abreviaturas y nombres en otros alfabetos cuando se conozcan.</w:t>
      </w:r>
    </w:p>
    <w:p>
      <w:pPr>
        <w:pStyle w:val="ListParagraph"/>
        <w:numPr>
          <w:ilvl w:val="0"/>
          <w:numId w:val="5"/>
        </w:numPr>
        <w:spacing w:after="80" w:line="290"/>
      </w:pPr>
      <w:r>
        <w:rPr>
          <w:rFonts w:ascii="Nunito Sans" w:cs="Nunito Sans" w:eastAsia="Nunito Sans" w:hAnsi="Nunito Sans"/>
          <w:color w:val="102E3B"/>
          <w:sz w:val="20"/>
          <w:szCs w:val="20"/>
        </w:rPr>
        <w:t xml:space="preserve">Anote cada búsqueda en el registro de control (Anexo 1): nombre controlado, listas consultadas, fecha, resultado y persona que realizó la comprobación.</w:t>
      </w:r>
    </w:p>
    <w:p>
      <w:pPr>
        <w:pStyle w:val="ListParagraph"/>
        <w:numPr>
          <w:ilvl w:val="0"/>
          <w:numId w:val="5"/>
        </w:numPr>
        <w:spacing w:after="80" w:line="290"/>
      </w:pPr>
      <w:r>
        <w:rPr>
          <w:rFonts w:ascii="Nunito Sans" w:cs="Nunito Sans" w:eastAsia="Nunito Sans" w:hAnsi="Nunito Sans"/>
          <w:color w:val="102E3B"/>
          <w:sz w:val="20"/>
          <w:szCs w:val="20"/>
        </w:rPr>
        <w:t xml:space="preserve">Guarde una captura de pantalla o una copia impresa del resultado de cada posible coincidencia y de cada comprobación de nivel reforzado.</w:t>
      </w:r>
    </w:p>
    <w:p>
      <w:pPr>
        <w:pStyle w:val="ListParagraph"/>
        <w:numPr>
          <w:ilvl w:val="0"/>
          <w:numId w:val="5"/>
        </w:numPr>
        <w:spacing w:after="80" w:line="290"/>
      </w:pPr>
      <w:r>
        <w:rPr>
          <w:rFonts w:ascii="Nunito Sans" w:cs="Nunito Sans" w:eastAsia="Nunito Sans" w:hAnsi="Nunito Sans"/>
          <w:color w:val="102E3B"/>
          <w:sz w:val="20"/>
          <w:szCs w:val="20"/>
        </w:rPr>
        <w:t xml:space="preserve">Realice el control antes de firmar cualquier acuerdo y antes del primer pago.</w:t>
      </w:r>
    </w:p>
    <w:p>
      <w:pPr>
        <w:pStyle w:val="Heading3"/>
        <w:keepNext/>
        <w:spacing w:after="80" w:before="200"/>
      </w:pPr>
      <w:r>
        <w:rPr>
          <w:rFonts w:ascii="Nunito Sans" w:cs="Nunito Sans" w:eastAsia="Nunito Sans" w:hAnsi="Nunito Sans"/>
          <w:b/>
          <w:bCs/>
          <w:color w:val="16746E"/>
          <w:sz w:val="21"/>
          <w:szCs w:val="21"/>
        </w:rPr>
        <w:t xml:space="preserve">Si hay una posible coincidencia</w:t>
      </w:r>
    </w:p>
    <w:p>
      <w:pPr>
        <w:spacing w:after="120" w:before="0" w:line="300"/>
      </w:pPr>
      <w:r>
        <w:rPr>
          <w:rFonts w:ascii="Nunito Sans" w:cs="Nunito Sans" w:eastAsia="Nunito Sans" w:hAnsi="Nunito Sans"/>
          <w:color w:val="102E3B"/>
          <w:sz w:val="20"/>
          <w:szCs w:val="20"/>
        </w:rPr>
        <w:t xml:space="preserve">Una posible coincidencia no significa que la persona figure en una lista. Muchos nombres son comunes. Siga estos pasos:</w:t>
      </w:r>
    </w:p>
    <w:p>
      <w:pPr>
        <w:pStyle w:val="ListParagraph"/>
        <w:numPr>
          <w:ilvl w:val="0"/>
          <w:numId w:val="6"/>
        </w:numPr>
        <w:spacing w:after="80" w:line="290"/>
      </w:pPr>
      <w:r>
        <w:rPr>
          <w:rFonts w:ascii="Nunito Sans" w:cs="Nunito Sans" w:eastAsia="Nunito Sans" w:hAnsi="Nunito Sans"/>
          <w:b/>
          <w:bCs/>
          <w:color w:val="102E3B"/>
          <w:sz w:val="20"/>
          <w:szCs w:val="20"/>
        </w:rPr>
        <w:t xml:space="preserve">Deténgase.</w:t>
      </w:r>
      <w:r>
        <w:rPr>
          <w:rFonts w:ascii="Nunito Sans" w:cs="Nunito Sans" w:eastAsia="Nunito Sans" w:hAnsi="Nunito Sans"/>
          <w:color w:val="102E3B"/>
          <w:sz w:val="20"/>
          <w:szCs w:val="20"/>
        </w:rPr>
        <w:t xml:space="preserve"> No firme, no pague, no entregue bienes ni confirme la alianza hasta que se resuelva la coincidencia.</w:t>
      </w:r>
    </w:p>
    <w:p>
      <w:pPr>
        <w:pStyle w:val="ListParagraph"/>
        <w:numPr>
          <w:ilvl w:val="0"/>
          <w:numId w:val="6"/>
        </w:numPr>
        <w:spacing w:after="80" w:line="290"/>
      </w:pPr>
      <w:r>
        <w:rPr>
          <w:rFonts w:ascii="Nunito Sans" w:cs="Nunito Sans" w:eastAsia="Nunito Sans" w:hAnsi="Nunito Sans"/>
          <w:b/>
          <w:bCs/>
          <w:color w:val="102E3B"/>
          <w:sz w:val="20"/>
          <w:szCs w:val="20"/>
        </w:rPr>
        <w:t xml:space="preserve">Compare los identificadores.</w:t>
      </w:r>
      <w:r>
        <w:rPr>
          <w:rFonts w:ascii="Nunito Sans" w:cs="Nunito Sans" w:eastAsia="Nunito Sans" w:hAnsi="Nunito Sans"/>
          <w:color w:val="102E3B"/>
          <w:sz w:val="20"/>
          <w:szCs w:val="20"/>
        </w:rPr>
        <w:t xml:space="preserve"> Contraste la entrada de la lista con lo que sabe: nombre completo, fecha de nacimiento, nacionalidad, dirección, número de registro, alias.</w:t>
      </w:r>
    </w:p>
    <w:p>
      <w:pPr>
        <w:pStyle w:val="ListParagraph"/>
        <w:numPr>
          <w:ilvl w:val="0"/>
          <w:numId w:val="6"/>
        </w:numPr>
        <w:spacing w:after="80" w:line="290"/>
      </w:pPr>
      <w:r>
        <w:rPr>
          <w:rFonts w:ascii="Nunito Sans" w:cs="Nunito Sans" w:eastAsia="Nunito Sans" w:hAnsi="Nunito Sans"/>
          <w:b/>
          <w:bCs/>
          <w:color w:val="102E3B"/>
          <w:sz w:val="20"/>
          <w:szCs w:val="20"/>
        </w:rPr>
        <w:t xml:space="preserve">Si se trata claramente de otra persona u organización</w:t>
      </w:r>
      <w:r>
        <w:rPr>
          <w:rFonts w:ascii="Nunito Sans" w:cs="Nunito Sans" w:eastAsia="Nunito Sans" w:hAnsi="Nunito Sans"/>
          <w:color w:val="102E3B"/>
          <w:sz w:val="20"/>
          <w:szCs w:val="20"/>
        </w:rPr>
        <w:t xml:space="preserve"> (un falso positivo), anote por qué, por ejemplo "la fecha de nacimiento y la nacionalidad no coinciden". Una segunda persona,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lo confirma. Después puede continuar.</w:t>
      </w:r>
    </w:p>
    <w:p>
      <w:pPr>
        <w:pStyle w:val="ListParagraph"/>
        <w:numPr>
          <w:ilvl w:val="0"/>
          <w:numId w:val="6"/>
        </w:numPr>
        <w:spacing w:after="80" w:line="290"/>
      </w:pPr>
      <w:r>
        <w:rPr>
          <w:rFonts w:ascii="Nunito Sans" w:cs="Nunito Sans" w:eastAsia="Nunito Sans" w:hAnsi="Nunito Sans"/>
          <w:b/>
          <w:bCs/>
          <w:color w:val="102E3B"/>
          <w:sz w:val="20"/>
          <w:szCs w:val="20"/>
        </w:rPr>
        <w:t xml:space="preserve">Si no puede descartarla,</w:t>
      </w:r>
      <w:r>
        <w:rPr>
          <w:rFonts w:ascii="Nunito Sans" w:cs="Nunito Sans" w:eastAsia="Nunito Sans" w:hAnsi="Nunito Sans"/>
          <w:color w:val="102E3B"/>
          <w:sz w:val="20"/>
          <w:szCs w:val="20"/>
        </w:rPr>
        <w:t xml:space="preserve"> escálela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[1 día hábil]</w:t>
      </w:r>
      <w:r>
        <w:rPr>
          <w:rFonts w:ascii="Nunito Sans" w:cs="Nunito Sans" w:eastAsia="Nunito Sans" w:hAnsi="Nunito Sans"/>
          <w:color w:val="102E3B"/>
          <w:sz w:val="20"/>
          <w:szCs w:val="20"/>
        </w:rPr>
        <w:t xml:space="preserve">. No diga a la persona u organización que puede figurar en una lista hasta que tenga asesoramiento, porque en algunos países advertirla podría constituir un delito en sí mismo.</w:t>
      </w:r>
    </w:p>
    <w:p>
      <w:pPr>
        <w:pStyle w:val="ListParagraph"/>
        <w:numPr>
          <w:ilvl w:val="0"/>
          <w:numId w:val="6"/>
        </w:numPr>
        <w:spacing w:after="80" w:line="290"/>
      </w:pPr>
      <w:r>
        <w:rPr>
          <w:rFonts w:ascii="Nunito Sans" w:cs="Nunito Sans" w:eastAsia="Nunito Sans" w:hAnsi="Nunito Sans"/>
          <w:b/>
          <w:bCs/>
          <w:color w:val="102E3B"/>
          <w:sz w:val="20"/>
          <w:szCs w:val="20"/>
        </w:rPr>
        <w:t xml:space="preserve">Pida asesoramiento</w:t>
      </w:r>
      <w:r>
        <w:rPr>
          <w:rFonts w:ascii="Nunito Sans" w:cs="Nunito Sans" w:eastAsia="Nunito Sans" w:hAnsi="Nunito Sans"/>
          <w:color w:val="102E3B"/>
          <w:sz w:val="20"/>
          <w:szCs w:val="20"/>
        </w:rPr>
        <w:t xml:space="preserve"> a nuestro banco, al financiador o a un abogado.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decide y deja constancia de la decisión y de sus motivos.</w:t>
      </w:r>
    </w:p>
    <w:p>
      <w:pPr>
        <w:pStyle w:val="ListParagraph"/>
        <w:numPr>
          <w:ilvl w:val="0"/>
          <w:numId w:val="6"/>
        </w:numPr>
        <w:spacing w:after="80" w:line="290"/>
      </w:pPr>
      <w:r>
        <w:rPr>
          <w:rFonts w:ascii="Nunito Sans" w:cs="Nunito Sans" w:eastAsia="Nunito Sans" w:hAnsi="Nunito Sans"/>
          <w:b/>
          <w:bCs/>
          <w:color w:val="102E3B"/>
          <w:sz w:val="20"/>
          <w:szCs w:val="20"/>
        </w:rPr>
        <w:t xml:space="preserve">Si es una coincidencia real,</w:t>
      </w:r>
      <w:r>
        <w:rPr>
          <w:rFonts w:ascii="Nunito Sans" w:cs="Nunito Sans" w:eastAsia="Nunito Sans" w:hAnsi="Nunito Sans"/>
          <w:color w:val="102E3B"/>
          <w:sz w:val="20"/>
          <w:szCs w:val="20"/>
        </w:rPr>
        <w:t xml:space="preserve"> no siga adelante y no ponga ningún fondo ni bien a su disposición. Comuníquelo a la autoridad competente cuando la ley lo exija, e informe al financiador según exija el acuerdo de subvención. Nuestro asesor jurídico confirma qué debe comunicarse y en qué plazo.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COMUNICAR UNA COINCIDENCIA REAL</w:t>
            </w:r>
          </w:p>
          <w:p>
            <w:pPr>
              <w:spacing w:after="120" w:before="0" w:line="300"/>
            </w:pPr>
            <w:r>
              <w:rPr>
                <w:rFonts w:ascii="Nunito Sans" w:cs="Nunito Sans" w:eastAsia="Nunito Sans" w:hAnsi="Nunito Sans"/>
                <w:color w:val="102E3B"/>
                <w:sz w:val="19"/>
                <w:szCs w:val="19"/>
              </w:rPr>
              <w:t xml:space="preserve">Las obligaciones de comunicación varían según el país y el régimen de sanciones. Por ejemplo, las personas estadounidenses que tienen bienes de una persona incluida en una lista pueden tener que bloquearlos y comunicarlo a la OFAC en un plazo determinado, y las normas del Reino Unido imponen obligaciones de comunicación a algunos tipos de organizaciones. Muchas leyes nacionales también exigen comunicaciones a la unidad de inteligencia financiera. Comprueba en tu ley local las normas sobre comunicación, congelación de fondos y prohibición de alertar a la persona afectada (tipping off) antes de necesitarlas, y anota aquí el nombre y los datos de contacto de la autoridad.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Justos con los pequeños socios locales</w:t>
      </w:r>
    </w:p>
    <w:p>
      <w:pPr>
        <w:spacing w:after="120" w:before="0" w:line="300"/>
      </w:pPr>
      <w:r>
        <w:rPr>
          <w:rFonts w:ascii="Nunito Sans" w:cs="Nunito Sans" w:eastAsia="Nunito Sans" w:hAnsi="Nunito Sans"/>
          <w:color w:val="102E3B"/>
          <w:sz w:val="20"/>
          <w:szCs w:val="20"/>
        </w:rPr>
        <w:t xml:space="preserve">Las organizaciones locales suelen ser las que mejor conocen a sus comunidades y, sin embargo, son las que más a menudo quedan excluidas por una debida diligencia compleja. Nos comprometemos a:</w:t>
      </w:r>
    </w:p>
    <w:p>
      <w:pPr>
        <w:pStyle w:val="ListParagraph"/>
        <w:numPr>
          <w:ilvl w:val="0"/>
          <w:numId w:val="3"/>
        </w:numPr>
        <w:spacing w:after="80" w:line="290"/>
      </w:pPr>
      <w:r>
        <w:rPr>
          <w:rFonts w:ascii="Nunito Sans" w:cs="Nunito Sans" w:eastAsia="Nunito Sans" w:hAnsi="Nunito Sans"/>
          <w:color w:val="102E3B"/>
          <w:sz w:val="20"/>
          <w:szCs w:val="20"/>
        </w:rPr>
        <w:t xml:space="preserve">explicar nuestras comprobaciones con un lenguaje sencillo y en </w:t>
      </w:r>
      <w:r>
        <w:rPr>
          <w:rFonts w:ascii="Nunito Sans" w:cs="Nunito Sans" w:eastAsia="Nunito Sans" w:hAnsi="Nunito Sans"/>
          <w:color w:val="102E3B"/>
          <w:sz w:val="20"/>
          <w:szCs w:val="20"/>
          <w:highlight w:val="yellow"/>
        </w:rPr>
        <w:t xml:space="preserve">[idiomas]</w:t>
      </w:r>
      <w:r>
        <w:rPr>
          <w:rFonts w:ascii="Nunito Sans" w:cs="Nunito Sans" w:eastAsia="Nunito Sans" w:hAnsi="Nunito Sans"/>
          <w:color w:val="102E3B"/>
          <w:sz w:val="20"/>
          <w:szCs w:val="20"/>
        </w:rPr>
        <w:t xml:space="preserve">, y ayudar a los socios a completar el cuestionario si lo desean;</w:t>
      </w:r>
    </w:p>
    <w:p>
      <w:pPr>
        <w:pStyle w:val="ListParagraph"/>
        <w:numPr>
          <w:ilvl w:val="0"/>
          <w:numId w:val="3"/>
        </w:numPr>
        <w:spacing w:after="80" w:line="290"/>
      </w:pPr>
      <w:r>
        <w:rPr>
          <w:rFonts w:ascii="Nunito Sans" w:cs="Nunito Sans" w:eastAsia="Nunito Sans" w:hAnsi="Nunito Sans"/>
          <w:color w:val="102E3B"/>
          <w:sz w:val="20"/>
          <w:szCs w:val="20"/>
        </w:rPr>
        <w:t xml:space="preserve">aceptar las pruebas que los socios puedan aportar razonablemente, y alternativas cuando no existan documentos formales;</w:t>
      </w:r>
    </w:p>
    <w:p>
      <w:pPr>
        <w:pStyle w:val="ListParagraph"/>
        <w:numPr>
          <w:ilvl w:val="0"/>
          <w:numId w:val="3"/>
        </w:numPr>
        <w:spacing w:after="80" w:line="290"/>
      </w:pPr>
      <w:r>
        <w:rPr>
          <w:rFonts w:ascii="Nunito Sans" w:cs="Nunito Sans" w:eastAsia="Nunito Sans" w:hAnsi="Nunito Sans"/>
          <w:color w:val="102E3B"/>
          <w:sz w:val="20"/>
          <w:szCs w:val="20"/>
        </w:rPr>
        <w:t xml:space="preserve">dar un plazo realista para responder, de al menos </w:t>
      </w:r>
      <w:r>
        <w:rPr>
          <w:rFonts w:ascii="Nunito Sans" w:cs="Nunito Sans" w:eastAsia="Nunito Sans" w:hAnsi="Nunito Sans"/>
          <w:color w:val="102E3B"/>
          <w:sz w:val="20"/>
          <w:szCs w:val="20"/>
          <w:highlight w:val="yellow"/>
        </w:rPr>
        <w:t xml:space="preserve">[10 días hábiles]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no pedir a los socios que firmen obligaciones que no puedan cumplir, como una responsabilidad ilimitada por fraude o el control de todos sus propios proveedores, salvo que les demos los medios;</w:t>
      </w:r>
    </w:p>
    <w:p>
      <w:pPr>
        <w:pStyle w:val="ListParagraph"/>
        <w:numPr>
          <w:ilvl w:val="0"/>
          <w:numId w:val="3"/>
        </w:numPr>
        <w:spacing w:after="80" w:line="290"/>
      </w:pPr>
      <w:r>
        <w:rPr>
          <w:rFonts w:ascii="Nunito Sans" w:cs="Nunito Sans" w:eastAsia="Nunito Sans" w:hAnsi="Nunito Sans"/>
          <w:color w:val="102E3B"/>
          <w:sz w:val="20"/>
          <w:szCs w:val="20"/>
        </w:rPr>
        <w:t xml:space="preserve">incluir el coste del cumplimiento, como auditorías, elaboración de políticas o formación, en los presupuestos que acordamos con ellos y con nuestros financiadores;</w:t>
      </w:r>
    </w:p>
    <w:p>
      <w:pPr>
        <w:pStyle w:val="ListParagraph"/>
        <w:numPr>
          <w:ilvl w:val="0"/>
          <w:numId w:val="3"/>
        </w:numPr>
        <w:spacing w:after="80" w:line="290"/>
      </w:pPr>
      <w:r>
        <w:rPr>
          <w:rFonts w:ascii="Nunito Sans" w:cs="Nunito Sans" w:eastAsia="Nunito Sans" w:hAnsi="Nunito Sans"/>
          <w:color w:val="102E3B"/>
          <w:sz w:val="20"/>
          <w:szCs w:val="20"/>
        </w:rPr>
        <w:t xml:space="preserve">compartir con los socios los resultados de nuestra evaluación y los motivos de cualquier condición;</w:t>
      </w:r>
    </w:p>
    <w:p>
      <w:pPr>
        <w:pStyle w:val="ListParagraph"/>
        <w:numPr>
          <w:ilvl w:val="0"/>
          <w:numId w:val="3"/>
        </w:numPr>
        <w:spacing w:after="80" w:line="290"/>
      </w:pPr>
      <w:r>
        <w:rPr>
          <w:rFonts w:ascii="Nunito Sans" w:cs="Nunito Sans" w:eastAsia="Nunito Sans" w:hAnsi="Nunito Sans"/>
          <w:color w:val="102E3B"/>
          <w:sz w:val="20"/>
          <w:szCs w:val="20"/>
        </w:rPr>
        <w:t xml:space="preserve">hablar con los financiadores cuando un requisito sea desproporcionado para un pequeño socio local.</w:t>
      </w:r>
    </w:p>
    <w:p>
      <w:pPr>
        <w:pStyle w:val="Heading2"/>
        <w:keepNext/>
        <w:spacing w:after="120" w:before="280"/>
      </w:pPr>
      <w:r>
        <w:rPr>
          <w:rFonts w:ascii="DM Serif Display" w:cs="DM Serif Display" w:eastAsia="DM Serif Display" w:hAnsi="DM Serif Display"/>
          <w:color w:val="123C48"/>
          <w:sz w:val="28"/>
          <w:szCs w:val="28"/>
        </w:rPr>
        <w:t xml:space="preserve">9. Fortalecimiento de capacidades en lugar de exclusión</w:t>
      </w:r>
    </w:p>
    <w:p>
      <w:pPr>
        <w:spacing w:after="120" w:before="0" w:line="300"/>
      </w:pPr>
      <w:r>
        <w:rPr>
          <w:rFonts w:ascii="Nunito Sans" w:cs="Nunito Sans" w:eastAsia="Nunito Sans" w:hAnsi="Nunito Sans"/>
          <w:color w:val="102E3B"/>
          <w:sz w:val="20"/>
          <w:szCs w:val="20"/>
        </w:rPr>
        <w:t xml:space="preserve">Cuando detectamos carencias, como la falta de una política de salvaguarda escrita, una sola persona que controla todos los pagos o la ausencia de cuentas anuales, acordamos con el socio un plan de fortalecimiento de capacidades. En él se indica qué va a cambiar, el apoyo que daremos (por ejemplo plantillas, formación, mentoría o una partida presupuestaria), quién es responsable y el plazo. Podemos añadir controles proporcionados mientras el plan está en marcha, como pagos más pequeños en cuotas, comprobantes antes de cada nuevo pago o visitas adicionales de seguimiento.</w:t>
      </w:r>
    </w:p>
    <w:p>
      <w:pPr>
        <w:spacing w:after="120" w:before="0" w:line="300"/>
      </w:pPr>
      <w:r>
        <w:rPr>
          <w:rFonts w:ascii="Nunito Sans" w:cs="Nunito Sans" w:eastAsia="Nunito Sans" w:hAnsi="Nunito Sans"/>
          <w:color w:val="102E3B"/>
          <w:sz w:val="20"/>
          <w:szCs w:val="20"/>
        </w:rPr>
        <w:t xml:space="preserve">Solo rechazamos una alianza cuando el riesgo es demasiado grave para gestionarlo con un apoyo y unos controles razonables: por ejemplo, una coincidencia confirmada en una lista de sanciones, pruebas creíbles de fraude o abuso que no se han abordado, o la negativa a adoptar medidas básicas de salvaguarda cuando el socio trabaja con niñas, niños o personas adultas en situación de riesgo.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RECURSOS PARA EL APOYO AL FORTALECIMIENTO DE CAPACIDADES</w:t>
            </w:r>
          </w:p>
          <w:p>
            <w:pPr>
              <w:spacing w:after="120" w:before="0" w:line="300"/>
            </w:pPr>
            <w:r>
              <w:rPr>
                <w:rFonts w:ascii="Nunito Sans" w:cs="Nunito Sans" w:eastAsia="Nunito Sans" w:hAnsi="Nunito Sans"/>
                <w:color w:val="102E3B"/>
                <w:sz w:val="19"/>
                <w:szCs w:val="19"/>
              </w:rPr>
              <w:t xml:space="preserve">Decide qué apoyo puedes ofrecer de forma realista: por ejemplo, compartir tus propias plantillas de políticas, una sesión breve de formación, la mentoría de una persona del personal o una partida en la subvención para una auditoría o para un punto focal de salvaguarda. Los financiadores aceptan cada vez más estos costes cuando están previstos en el presupuesto. Anota cada compromiso en el plan de fortalecimiento de capacidades del socio para que no se olvide.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Decisión y aprobación</w:t>
      </w:r>
    </w:p>
    <w:p>
      <w:pPr>
        <w:spacing w:after="120" w:before="0" w:line="300"/>
      </w:pPr>
      <w:r>
        <w:rPr>
          <w:rFonts w:ascii="Nunito Sans" w:cs="Nunito Sans" w:eastAsia="Nunito Sans" w:hAnsi="Nunito Sans"/>
          <w:color w:val="102E3B"/>
          <w:sz w:val="20"/>
          <w:szCs w:val="20"/>
        </w:rPr>
        <w:t xml:space="preserve">La persona responsable de debida diligencia redacta una breve evaluación con una calificación de riesgo (bajo, medio o alto) para cada área y en conjunto, y recomienda uno de estos cuatro resultados:</w:t>
      </w:r>
    </w:p>
    <w:p>
      <w:pPr>
        <w:pStyle w:val="ListParagraph"/>
        <w:numPr>
          <w:ilvl w:val="0"/>
          <w:numId w:val="7"/>
        </w:numPr>
        <w:spacing w:after="80" w:line="290"/>
      </w:pPr>
      <w:r>
        <w:rPr>
          <w:rFonts w:ascii="Nunito Sans" w:cs="Nunito Sans" w:eastAsia="Nunito Sans" w:hAnsi="Nunito Sans"/>
          <w:b/>
          <w:bCs/>
          <w:color w:val="102E3B"/>
          <w:sz w:val="20"/>
          <w:szCs w:val="20"/>
        </w:rPr>
        <w:t xml:space="preserve">Aprobar.</w:t>
      </w:r>
    </w:p>
    <w:p>
      <w:pPr>
        <w:pStyle w:val="ListParagraph"/>
        <w:numPr>
          <w:ilvl w:val="0"/>
          <w:numId w:val="7"/>
        </w:numPr>
        <w:spacing w:after="80" w:line="290"/>
      </w:pPr>
      <w:r>
        <w:rPr>
          <w:rFonts w:ascii="Nunito Sans" w:cs="Nunito Sans" w:eastAsia="Nunito Sans" w:hAnsi="Nunito Sans"/>
          <w:b/>
          <w:bCs/>
          <w:color w:val="102E3B"/>
          <w:sz w:val="20"/>
          <w:szCs w:val="20"/>
        </w:rPr>
        <w:t xml:space="preserve">Aprobar con condiciones</w:t>
      </w:r>
      <w:r>
        <w:rPr>
          <w:rFonts w:ascii="Nunito Sans" w:cs="Nunito Sans" w:eastAsia="Nunito Sans" w:hAnsi="Nunito Sans"/>
          <w:color w:val="102E3B"/>
          <w:sz w:val="20"/>
          <w:szCs w:val="20"/>
        </w:rPr>
        <w:t xml:space="preserve">, por ejemplo pagos en cuotas o la adopción de una política en un plazo de </w:t>
      </w:r>
      <w:r>
        <w:rPr>
          <w:rFonts w:ascii="Nunito Sans" w:cs="Nunito Sans" w:eastAsia="Nunito Sans" w:hAnsi="Nunito Sans"/>
          <w:color w:val="102E3B"/>
          <w:sz w:val="20"/>
          <w:szCs w:val="20"/>
          <w:highlight w:val="yellow"/>
        </w:rPr>
        <w:t xml:space="preserve">[3 meses]</w:t>
      </w:r>
      <w:r>
        <w:rPr>
          <w:rFonts w:ascii="Nunito Sans" w:cs="Nunito Sans" w:eastAsia="Nunito Sans" w:hAnsi="Nunito Sans"/>
          <w:color w:val="102E3B"/>
          <w:sz w:val="20"/>
          <w:szCs w:val="20"/>
        </w:rPr>
        <w:t xml:space="preserve">.</w:t>
      </w:r>
    </w:p>
    <w:p>
      <w:pPr>
        <w:pStyle w:val="ListParagraph"/>
        <w:numPr>
          <w:ilvl w:val="0"/>
          <w:numId w:val="7"/>
        </w:numPr>
        <w:spacing w:after="80" w:line="290"/>
      </w:pPr>
      <w:r>
        <w:rPr>
          <w:rFonts w:ascii="Nunito Sans" w:cs="Nunito Sans" w:eastAsia="Nunito Sans" w:hAnsi="Nunito Sans"/>
          <w:b/>
          <w:bCs/>
          <w:color w:val="102E3B"/>
          <w:sz w:val="20"/>
          <w:szCs w:val="20"/>
        </w:rPr>
        <w:t xml:space="preserve">Aprobar con un plan de fortalecimiento de capacidades</w:t>
      </w:r>
      <w:r>
        <w:rPr>
          <w:rFonts w:ascii="Nunito Sans" w:cs="Nunito Sans" w:eastAsia="Nunito Sans" w:hAnsi="Nunito Sans"/>
          <w:color w:val="102E3B"/>
          <w:sz w:val="20"/>
          <w:szCs w:val="20"/>
        </w:rPr>
        <w:t xml:space="preserve">, con apoyo y fechas de revisión.</w:t>
      </w:r>
    </w:p>
    <w:p>
      <w:pPr>
        <w:pStyle w:val="ListParagraph"/>
        <w:numPr>
          <w:ilvl w:val="0"/>
          <w:numId w:val="7"/>
        </w:numPr>
        <w:spacing w:after="80" w:line="290"/>
      </w:pPr>
      <w:r>
        <w:rPr>
          <w:rFonts w:ascii="Nunito Sans" w:cs="Nunito Sans" w:eastAsia="Nunito Sans" w:hAnsi="Nunito Sans"/>
          <w:b/>
          <w:bCs/>
          <w:color w:val="102E3B"/>
          <w:sz w:val="20"/>
          <w:szCs w:val="20"/>
        </w:rPr>
        <w:t xml:space="preserve">Rechazar</w:t>
      </w:r>
      <w:r>
        <w:rPr>
          <w:rFonts w:ascii="Nunito Sans" w:cs="Nunito Sans" w:eastAsia="Nunito Sans" w:hAnsi="Nunito Sans"/>
          <w:color w:val="102E3B"/>
          <w:sz w:val="20"/>
          <w:szCs w:val="20"/>
        </w:rPr>
        <w:t xml:space="preserve">, compartiendo los motivos con el socio en la medida en que la ley lo permita.</w:t>
      </w:r>
    </w:p>
    <w:p>
      <w:pPr>
        <w:spacing w:after="120" w:before="0" w:line="300"/>
      </w:pPr>
      <w:r>
        <w:rPr>
          <w:rFonts w:ascii="Nunito Sans" w:cs="Nunito Sans" w:eastAsia="Nunito Sans" w:hAnsi="Nunito Sans"/>
          <w:color w:val="102E3B"/>
          <w:sz w:val="20"/>
          <w:szCs w:val="20"/>
        </w:rPr>
        <w:t xml:space="preserve">La decisión la toma la persona indicada en nuestra Matriz de Delegación de Autoridad. Las alianzas de alto riesgo y toda posible coincidencia no resuelta en las listas de sanciones se remiten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Nadie decide sobre un socio en el que esa persona, su familia o sus amistades cercanas tengan un interés. Se aplica nuestra Política de Conflictos de Interés.</w:t>
      </w:r>
    </w:p>
    <w:p>
      <w:pPr>
        <w:pStyle w:val="Heading1"/>
        <w:keepNext/>
        <w:spacing w:after="160" w:before="360"/>
      </w:pPr>
      <w:r>
        <w:rPr>
          <w:rFonts w:ascii="DM Serif Display" w:cs="DM Serif Display" w:eastAsia="DM Serif Display" w:hAnsi="DM Serif Display"/>
          <w:color w:val="123C48"/>
          <w:sz w:val="40"/>
          <w:szCs w:val="40"/>
        </w:rPr>
        <w:t xml:space="preserve">Procedimiento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
        <w:gridCol w:w="4476"/>
        <w:gridCol w:w="2095"/>
        <w:gridCol w:w="2192"/>
      </w:tblGrid>
      <w:tr>
        <w:trPr>
          <w:cantSplit/>
          <w:tblHeader/>
        </w:trPr>
        <w:tc>
          <w:tcPr>
            <w:tcW w:type="dxa" w:w="76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PASO</w:t>
            </w:r>
          </w:p>
        </w:tc>
        <w:tc>
          <w:tcPr>
            <w:tcW w:type="dxa" w:w="4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OCURRE</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c>
          <w:tcPr>
            <w:tcW w:type="dxa" w:w="219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Identificar la relación y el nivel de comprobación (secciones 4 y 5)</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Responsable de la relación</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Antes de hablar de financiación</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Contrastar a la organización y a las personas clave con las listas de sanciones; anotarlo en el registro</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debida diligencia</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 días hábiles]</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Enviar el Cuestionario de Debida Diligencia para Socios y explicar por qué lo pedimos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debida diligencia</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 la primera solicitud formal</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socio completa el cuestionario y envía los documentos; se le ofrece ayuda</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Socio</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[10 días hábiles]</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 las respuestas y los documentos; llamar o visitar; comprobar las referencias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debida diligencia</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[10 días hábiles]</w:t>
            </w:r>
            <w:r>
              <w:rPr>
                <w:rFonts w:ascii="Nunito Sans" w:cs="Nunito Sans" w:eastAsia="Nunito Sans" w:hAnsi="Nunito Sans"/>
                <w:color w:val="102E3B"/>
                <w:sz w:val="18"/>
                <w:szCs w:val="18"/>
              </w:rPr>
              <w:t xml:space="preserve"> desde la recepción</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6</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Redactar la evaluación, la calificación de riesgo y el resultado recomendado</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debida diligencia</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[5 días hábiles]</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7</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Decidir y registrar el resultado</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que aprueba</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[5 días hábiles]</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8</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Comunicar al socio el resultado, las condiciones y cualquier plan de fortalecimiento de capacidades; firmar el acuerdo</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Responsable de la relación</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Antes de cualquier pago</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9</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Repetir el control antes de cada pago superior a </w:t>
            </w:r>
            <w:r>
              <w:rPr>
                <w:rFonts w:ascii="Nunito Sans" w:cs="Nunito Sans" w:eastAsia="Nunito Sans" w:hAnsi="Nunito Sans"/>
                <w:color w:val="102E3B"/>
                <w:sz w:val="18"/>
                <w:szCs w:val="18"/>
                <w:highlight w:val="yellow"/>
              </w:rPr>
              <w:t xml:space="preserve">[importe]</w:t>
            </w:r>
            <w:r>
              <w:rPr>
                <w:rFonts w:ascii="Nunito Sans" w:cs="Nunito Sans" w:eastAsia="Nunito Sans" w:hAnsi="Nunito Sans"/>
                <w:color w:val="102E3B"/>
                <w:sz w:val="18"/>
                <w:szCs w:val="18"/>
              </w:rPr>
              <w:t xml:space="preserve"> o en los intervalos indicados a continuación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debida diligencia</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el calendario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Seguimiento y nuevos controles</w:t>
      </w:r>
    </w:p>
    <w:p>
      <w:pPr>
        <w:spacing w:after="120" w:before="0" w:line="300"/>
      </w:pPr>
      <w:r>
        <w:rPr>
          <w:rFonts w:ascii="Nunito Sans" w:cs="Nunito Sans" w:eastAsia="Nunito Sans" w:hAnsi="Nunito Sans"/>
          <w:color w:val="102E3B"/>
          <w:sz w:val="20"/>
          <w:szCs w:val="20"/>
        </w:rPr>
        <w:t xml:space="preserve">La debida diligencia no es una comprobación puntual. Nos comprometemos a:</w:t>
      </w:r>
    </w:p>
    <w:p>
      <w:pPr>
        <w:pStyle w:val="ListParagraph"/>
        <w:numPr>
          <w:ilvl w:val="0"/>
          <w:numId w:val="3"/>
        </w:numPr>
        <w:spacing w:after="80" w:line="290"/>
      </w:pPr>
      <w:r>
        <w:rPr>
          <w:rFonts w:ascii="Nunito Sans" w:cs="Nunito Sans" w:eastAsia="Nunito Sans" w:hAnsi="Nunito Sans"/>
          <w:color w:val="102E3B"/>
          <w:sz w:val="20"/>
          <w:szCs w:val="20"/>
        </w:rPr>
        <w:t xml:space="preserve">repetir el control de cada socio activo, proveedor principal y gran donante al menos cada </w:t>
      </w:r>
      <w:r>
        <w:rPr>
          <w:rFonts w:ascii="Nunito Sans" w:cs="Nunito Sans" w:eastAsia="Nunito Sans" w:hAnsi="Nunito Sans"/>
          <w:color w:val="102E3B"/>
          <w:sz w:val="20"/>
          <w:szCs w:val="20"/>
          <w:highlight w:val="yellow"/>
        </w:rPr>
        <w:t xml:space="preserve">[6 meses / 12 meses]</w:t>
      </w:r>
      <w:r>
        <w:rPr>
          <w:rFonts w:ascii="Nunito Sans" w:cs="Nunito Sans" w:eastAsia="Nunito Sans" w:hAnsi="Nunito Sans"/>
          <w:color w:val="102E3B"/>
          <w:sz w:val="20"/>
          <w:szCs w:val="20"/>
        </w:rPr>
        <w:t xml:space="preserve">, y antes de renovar cualquier acuerdo;</w:t>
      </w:r>
    </w:p>
    <w:p>
      <w:pPr>
        <w:pStyle w:val="ListParagraph"/>
        <w:numPr>
          <w:ilvl w:val="0"/>
          <w:numId w:val="3"/>
        </w:numPr>
        <w:spacing w:after="80" w:line="290"/>
      </w:pPr>
      <w:r>
        <w:rPr>
          <w:rFonts w:ascii="Nunito Sans" w:cs="Nunito Sans" w:eastAsia="Nunito Sans" w:hAnsi="Nunito Sans"/>
          <w:color w:val="102E3B"/>
          <w:sz w:val="20"/>
          <w:szCs w:val="20"/>
        </w:rPr>
        <w:t xml:space="preserve">repetir el control cuando un socio nos informe de nuevos miembros del órgano de gobierno, de un cambio en la dirección ejecutiva o de nuevas personas con firma autorizada en el banco;</w:t>
      </w:r>
    </w:p>
    <w:p>
      <w:pPr>
        <w:pStyle w:val="ListParagraph"/>
        <w:numPr>
          <w:ilvl w:val="0"/>
          <w:numId w:val="3"/>
        </w:numPr>
        <w:spacing w:after="80" w:line="290"/>
      </w:pPr>
      <w:r>
        <w:rPr>
          <w:rFonts w:ascii="Nunito Sans" w:cs="Nunito Sans" w:eastAsia="Nunito Sans" w:hAnsi="Nunito Sans"/>
          <w:color w:val="102E3B"/>
          <w:sz w:val="20"/>
          <w:szCs w:val="20"/>
        </w:rPr>
        <w:t xml:space="preserve">revisar el plan de fortalecimiento de capacidades y las condiciones en las fechas acordadas, y al menos cada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repetir la evaluación completa cada </w:t>
      </w:r>
      <w:r>
        <w:rPr>
          <w:rFonts w:ascii="Nunito Sans" w:cs="Nunito Sans" w:eastAsia="Nunito Sans" w:hAnsi="Nunito Sans"/>
          <w:color w:val="102E3B"/>
          <w:sz w:val="20"/>
          <w:szCs w:val="20"/>
          <w:highlight w:val="yellow"/>
        </w:rPr>
        <w:t xml:space="preserve">[2 / 3]</w:t>
      </w:r>
      <w:r>
        <w:rPr>
          <w:rFonts w:ascii="Nunito Sans" w:cs="Nunito Sans" w:eastAsia="Nunito Sans" w:hAnsi="Nunito Sans"/>
          <w:color w:val="102E3B"/>
          <w:sz w:val="20"/>
          <w:szCs w:val="20"/>
        </w:rPr>
        <w:t xml:space="preserve"> años, o antes si la relación, el importe o el riesgo cambian de forma significativa;</w:t>
      </w:r>
    </w:p>
    <w:p>
      <w:pPr>
        <w:pStyle w:val="ListParagraph"/>
        <w:numPr>
          <w:ilvl w:val="0"/>
          <w:numId w:val="3"/>
        </w:numPr>
        <w:spacing w:after="80" w:line="290"/>
      </w:pPr>
      <w:r>
        <w:rPr>
          <w:rFonts w:ascii="Nunito Sans" w:cs="Nunito Sans" w:eastAsia="Nunito Sans" w:hAnsi="Nunito Sans"/>
          <w:color w:val="102E3B"/>
          <w:sz w:val="20"/>
          <w:szCs w:val="20"/>
        </w:rPr>
        <w:t xml:space="preserve">pedir a los socios, en nuestros acuerdos, que nos informen en un plazo de </w:t>
      </w:r>
      <w:r>
        <w:rPr>
          <w:rFonts w:ascii="Nunito Sans" w:cs="Nunito Sans" w:eastAsia="Nunito Sans" w:hAnsi="Nunito Sans"/>
          <w:color w:val="102E3B"/>
          <w:sz w:val="20"/>
          <w:szCs w:val="20"/>
          <w:highlight w:val="yellow"/>
        </w:rPr>
        <w:t xml:space="preserve">[48 horas]</w:t>
      </w:r>
      <w:r>
        <w:rPr>
          <w:rFonts w:ascii="Nunito Sans" w:cs="Nunito Sans" w:eastAsia="Nunito Sans" w:hAnsi="Nunito Sans"/>
          <w:color w:val="102E3B"/>
          <w:sz w:val="20"/>
          <w:szCs w:val="20"/>
        </w:rPr>
        <w:t xml:space="preserve"> de cualquier sospecha de fraude, preocupación de salvaguarda o posible vínculo con sanciones, y 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de otros cambios importantes, como un cambio en su situación jurídica.</w:t>
      </w:r>
    </w:p>
    <w:p>
      <w:pPr>
        <w:pStyle w:val="Heading1"/>
        <w:keepNext/>
        <w:spacing w:after="160" w:before="360"/>
      </w:pPr>
      <w:r>
        <w:rPr>
          <w:rFonts w:ascii="DM Serif Display" w:cs="DM Serif Display" w:eastAsia="DM Serif Display" w:hAnsi="DM Serif Display"/>
          <w:color w:val="123C48"/>
          <w:sz w:val="40"/>
          <w:szCs w:val="40"/>
        </w:rPr>
        <w:t xml:space="preserve">Funciones y responsabilidades</w:t>
      </w:r>
    </w:p>
    <w:p>
      <w:pPr>
        <w:pStyle w:val="ListParagraph"/>
        <w:numPr>
          <w:ilvl w:val="0"/>
          <w:numId w:val="3"/>
        </w:numPr>
        <w:spacing w:after="80" w:line="290"/>
      </w:pPr>
      <w:r>
        <w:rPr>
          <w:rFonts w:ascii="Nunito Sans" w:cs="Nunito Sans" w:eastAsia="Nunito Sans" w:hAnsi="Nunito Sans"/>
          <w:b/>
          <w:bCs/>
          <w:color w:val="102E3B"/>
          <w:sz w:val="20"/>
          <w:szCs w:val="20"/>
        </w:rPr>
        <w:t xml:space="preserve">Las personas responsables de la relación</w:t>
      </w:r>
      <w:r>
        <w:rPr>
          <w:rFonts w:ascii="Nunito Sans" w:cs="Nunito Sans" w:eastAsia="Nunito Sans" w:hAnsi="Nunito Sans"/>
          <w:color w:val="102E3B"/>
          <w:sz w:val="20"/>
          <w:szCs w:val="20"/>
        </w:rPr>
        <w:t xml:space="preserve"> identifican cuándo es necesaria la debida diligencia, se la explican a los socios y hacen el seguimiento de las condiciones.</w:t>
      </w:r>
    </w:p>
    <w:p>
      <w:pPr>
        <w:pStyle w:val="ListParagraph"/>
        <w:numPr>
          <w:ilvl w:val="0"/>
          <w:numId w:val="3"/>
        </w:numPr>
        <w:spacing w:after="80" w:line="290"/>
      </w:pPr>
      <w:r>
        <w:rPr>
          <w:rFonts w:ascii="Nunito Sans" w:cs="Nunito Sans" w:eastAsia="Nunito Sans" w:hAnsi="Nunito Sans"/>
          <w:b/>
          <w:bCs/>
          <w:color w:val="102E3B"/>
          <w:sz w:val="20"/>
          <w:szCs w:val="20"/>
        </w:rPr>
        <w:t xml:space="preserve">La persona responsable de debida diligencia, </w:t>
      </w:r>
      <w:r>
        <w:rPr>
          <w:rFonts w:ascii="Nunito Sans" w:cs="Nunito Sans" w:eastAsia="Nunito Sans" w:hAnsi="Nunito Sans"/>
          <w:b/>
          <w:bCs/>
          <w:color w:val="102E3B"/>
          <w:sz w:val="20"/>
          <w:szCs w:val="20"/>
          <w:highlight w:val="yellow"/>
        </w:rPr>
        <w:t xml:space="preserve">[Nombre, cargo]</w:t>
      </w:r>
      <w:r>
        <w:rPr>
          <w:rFonts w:ascii="Nunito Sans" w:cs="Nunito Sans" w:eastAsia="Nunito Sans" w:hAnsi="Nunito Sans"/>
          <w:b/>
          <w:bCs/>
          <w:color w:val="102E3B"/>
          <w:sz w:val="20"/>
          <w:szCs w:val="20"/>
        </w:rPr>
        <w:t xml:space="preserve">,</w:t>
      </w:r>
      <w:r>
        <w:rPr>
          <w:rFonts w:ascii="Nunito Sans" w:cs="Nunito Sans" w:eastAsia="Nunito Sans" w:hAnsi="Nunito Sans"/>
          <w:color w:val="102E3B"/>
          <w:sz w:val="20"/>
          <w:szCs w:val="20"/>
        </w:rPr>
        <w:t xml:space="preserve"> controla los nombres, realiza las evaluaciones, mantiene el registro de control y los demás registros, y programa los recordatorios para repetir los controles.</w:t>
      </w:r>
    </w:p>
    <w:p>
      <w:pPr>
        <w:pStyle w:val="ListParagraph"/>
        <w:numPr>
          <w:ilvl w:val="0"/>
          <w:numId w:val="3"/>
        </w:numPr>
        <w:spacing w:after="80" w:line="290"/>
      </w:pPr>
      <w:r>
        <w:rPr>
          <w:rFonts w:ascii="Nunito Sans" w:cs="Nunito Sans" w:eastAsia="Nunito Sans" w:hAnsi="Nunito Sans"/>
          <w:b/>
          <w:bCs/>
          <w:color w:val="102E3B"/>
          <w:sz w:val="20"/>
          <w:szCs w:val="20"/>
        </w:rPr>
        <w:t xml:space="preserve">Las personas que aprueban</w:t>
      </w:r>
      <w:r>
        <w:rPr>
          <w:rFonts w:ascii="Nunito Sans" w:cs="Nunito Sans" w:eastAsia="Nunito Sans" w:hAnsi="Nunito Sans"/>
          <w:color w:val="102E3B"/>
          <w:sz w:val="20"/>
          <w:szCs w:val="20"/>
        </w:rPr>
        <w:t xml:space="preserve"> deciden sobre las alianzas dentro de los límites que tienen delegados.</w:t>
      </w:r>
    </w:p>
    <w:p>
      <w:pPr>
        <w:pStyle w:val="ListParagraph"/>
        <w:numPr>
          <w:ilvl w:val="0"/>
          <w:numId w:val="3"/>
        </w:numPr>
        <w:spacing w:after="80" w:line="290"/>
      </w:pPr>
      <w:r>
        <w:rPr>
          <w:rFonts w:ascii="Nunito Sans" w:cs="Nunito Sans" w:eastAsia="Nunito Sans" w:hAnsi="Nunito Sans"/>
          <w:b/>
          <w:bCs/>
          <w:color w:val="102E3B"/>
          <w:sz w:val="20"/>
          <w:szCs w:val="20"/>
          <w:highlight w:val="yellow"/>
        </w:rPr>
        <w:t xml:space="preserve">[Nombre, cargo]</w:t>
      </w:r>
      <w:r>
        <w:rPr>
          <w:rFonts w:ascii="Nunito Sans" w:cs="Nunito Sans" w:eastAsia="Nunito Sans" w:hAnsi="Nunito Sans"/>
          <w:color w:val="102E3B"/>
          <w:sz w:val="20"/>
          <w:szCs w:val="20"/>
        </w:rPr>
        <w:t xml:space="preserve"> decide sobre las alianzas de alto riesgo y las posibles coincidencias en las listas de sanciones, e informa al órgano de gobierno.</w:t>
      </w:r>
    </w:p>
    <w:p>
      <w:pPr>
        <w:pStyle w:val="ListParagraph"/>
        <w:numPr>
          <w:ilvl w:val="0"/>
          <w:numId w:val="3"/>
        </w:numPr>
        <w:spacing w:after="80" w:line="290"/>
      </w:pPr>
      <w:r>
        <w:rPr>
          <w:rFonts w:ascii="Nunito Sans" w:cs="Nunito Sans" w:eastAsia="Nunito Sans" w:hAnsi="Nunito Sans"/>
          <w:b/>
          <w:bCs/>
          <w:color w:val="102E3B"/>
          <w:sz w:val="20"/>
          <w:szCs w:val="20"/>
        </w:rPr>
        <w:t xml:space="preserve">El órgano de gobierno</w:t>
      </w:r>
      <w:r>
        <w:rPr>
          <w:rFonts w:ascii="Nunito Sans" w:cs="Nunito Sans" w:eastAsia="Nunito Sans" w:hAnsi="Nunito Sans"/>
          <w:color w:val="102E3B"/>
          <w:sz w:val="20"/>
          <w:szCs w:val="20"/>
        </w:rPr>
        <w:t xml:space="preserve"> aprueba esta política y recibe un breve resumen al menos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 que abarca las alianzas aprobadas con condiciones, las rechazadas y las posibles coincidencias.</w:t>
      </w:r>
    </w:p>
    <w:p>
      <w:pPr>
        <w:pStyle w:val="Heading1"/>
        <w:keepNext/>
        <w:spacing w:after="160" w:before="360"/>
      </w:pPr>
      <w:r>
        <w:rPr>
          <w:rFonts w:ascii="DM Serif Display" w:cs="DM Serif Display" w:eastAsia="DM Serif Display" w:hAnsi="DM Serif Display"/>
          <w:color w:val="123C48"/>
          <w:sz w:val="40"/>
          <w:szCs w:val="40"/>
        </w:rPr>
        <w:t xml:space="preserve">Registros, confidencialidad y datos</w:t>
      </w:r>
    </w:p>
    <w:p>
      <w:pPr>
        <w:spacing w:after="120" w:before="0" w:line="300"/>
      </w:pPr>
      <w:r>
        <w:rPr>
          <w:rFonts w:ascii="Nunito Sans" w:cs="Nunito Sans" w:eastAsia="Nunito Sans" w:hAnsi="Nunito Sans"/>
          <w:color w:val="102E3B"/>
          <w:sz w:val="20"/>
          <w:szCs w:val="20"/>
        </w:rPr>
        <w:t xml:space="preserve">Conservamos, para cada relación: el cuestionario completado y los documentos, las entradas del registro de control y las capturas de pantalla, la evaluación y la calificación de riesgo, la decisión y la persona que aprobó, las condiciones o el plan de fortalecimiento de capacidades, y las notas de seguimiento. Los conservamos durante </w:t>
      </w:r>
      <w:r>
        <w:rPr>
          <w:rFonts w:ascii="Nunito Sans" w:cs="Nunito Sans" w:eastAsia="Nunito Sans" w:hAnsi="Nunito Sans"/>
          <w:color w:val="102E3B"/>
          <w:sz w:val="20"/>
          <w:szCs w:val="20"/>
          <w:highlight w:val="yellow"/>
        </w:rPr>
        <w:t xml:space="preserve">[7 años]</w:t>
      </w:r>
      <w:r>
        <w:rPr>
          <w:rFonts w:ascii="Nunito Sans" w:cs="Nunito Sans" w:eastAsia="Nunito Sans" w:hAnsi="Nunito Sans"/>
          <w:color w:val="102E3B"/>
          <w:sz w:val="20"/>
          <w:szCs w:val="20"/>
        </w:rPr>
        <w:t xml:space="preserve"> después de que termine la relación, o más tiempo si un financiador o la ley lo exigen, según lo establecido en nuestro Calendario de Conservación de Registros.</w:t>
      </w:r>
    </w:p>
    <w:p>
      <w:pPr>
        <w:spacing w:after="120" w:before="0" w:line="300"/>
      </w:pPr>
      <w:r>
        <w:rPr>
          <w:rFonts w:ascii="Nunito Sans" w:cs="Nunito Sans" w:eastAsia="Nunito Sans" w:hAnsi="Nunito Sans"/>
          <w:color w:val="102E3B"/>
          <w:sz w:val="20"/>
          <w:szCs w:val="20"/>
        </w:rPr>
        <w:t xml:space="preserve">Los registros de debida diligencia incluyen datos personales sobre los miembros del órgano de gobierno y el personal de los socios y, a veces, información sensible sobre incidentes anteriores. Recogemos solo lo que necesitamos, lo guardamos de forma segura con acceso limitado a </w:t>
      </w:r>
      <w:r>
        <w:rPr>
          <w:rFonts w:ascii="Nunito Sans" w:cs="Nunito Sans" w:eastAsia="Nunito Sans" w:hAnsi="Nunito Sans"/>
          <w:color w:val="102E3B"/>
          <w:sz w:val="20"/>
          <w:szCs w:val="20"/>
          <w:highlight w:val="yellow"/>
        </w:rPr>
        <w:t xml:space="preserve">[la persona responsable de debida diligencia y la persona que aprueba]</w:t>
      </w:r>
      <w:r>
        <w:rPr>
          <w:rFonts w:ascii="Nunito Sans" w:cs="Nunito Sans" w:eastAsia="Nunito Sans" w:hAnsi="Nunito Sans"/>
          <w:color w:val="102E3B"/>
          <w:sz w:val="20"/>
          <w:szCs w:val="20"/>
        </w:rPr>
        <w:t xml:space="preserve">, y solo lo compartimos con los financiadores o las autoridades que tienen derecho a verlo. Informamos a los socios de cómo usamos su información. Se aplica nuestra Política de Protección de Datos.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PROTECCIÓN DE DATOS EN EL CONTROL DE SANCIONES</w:t>
            </w:r>
          </w:p>
          <w:p>
            <w:pPr>
              <w:spacing w:after="120" w:before="0" w:line="300"/>
            </w:pPr>
            <w:r>
              <w:rPr>
                <w:rFonts w:ascii="Nunito Sans" w:cs="Nunito Sans" w:eastAsia="Nunito Sans" w:hAnsi="Nunito Sans"/>
                <w:color w:val="102E3B"/>
                <w:sz w:val="19"/>
                <w:szCs w:val="19"/>
              </w:rPr>
              <w:t xml:space="preserve">Controlar a personas es un tratamiento de datos personales, y la información sobre presuntas actividades delictivas es especialmente sensible. Los principios del Reglamento General de Protección de Datos (RGPD) son una referencia útil: recoger lo mínimo, explicar por qué, mantenerlo seguro y eliminarlo a tiempo. Comprueba en tu ley local, por ejemplo la Data Protection Act 2019 de Kenia, la Nigeria Data Protection Act 2023, la Protection of Personal Information Act (POPIA) de Sudáfrica, la LGPD de Brasil o la Digital Personal Data Protection Act 2023 de la India, cuál es la base legal para el control y cómo tratar la información sobre delitos. Una breve declaración de privacidad en el cuestionario suele cubrir lo que los socios necesitan saber.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Si se incumple esta política</w:t>
      </w:r>
    </w:p>
    <w:p>
      <w:pPr>
        <w:spacing w:after="120" w:before="0" w:line="300"/>
      </w:pPr>
      <w:r>
        <w:rPr>
          <w:rFonts w:ascii="Nunito Sans" w:cs="Nunito Sans" w:eastAsia="Nunito Sans" w:hAnsi="Nunito Sans"/>
          <w:color w:val="102E3B"/>
          <w:sz w:val="20"/>
          <w:szCs w:val="20"/>
        </w:rPr>
        <w:t xml:space="preserve">Si alguien inicia una relación sin las comprobaciones exigidas, o paga a un socio antes del control, debe informar de inmediato a la persona responsable de debida diligencia. Esta completa enseguida las comprobaciones y deja constancia de lo ocurrido. Si los fondos pueden haber llegado a una persona incluida en una lista, siga de inmediato los pasos de la sección 7 e informe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el mismo día.</w:t>
      </w:r>
    </w:p>
    <w:p>
      <w:pPr>
        <w:spacing w:after="120" w:before="0" w:line="300"/>
      </w:pPr>
      <w:r>
        <w:rPr>
          <w:rFonts w:ascii="Nunito Sans" w:cs="Nunito Sans" w:eastAsia="Nunito Sans" w:hAnsi="Nunito Sans"/>
          <w:color w:val="102E3B"/>
          <w:sz w:val="20"/>
          <w:szCs w:val="20"/>
        </w:rPr>
        <w:t xml:space="preserve">Omitir deliberadamente las comprobaciones, ocultar una posible coincidencia o un conflicto de interés, o dar información falsa en una evaluación es una falta grave. La tratamos conforme a nuestro Procedimiento Disciplinario y de Reclamaciones y a la ley. Las preocupaciones pueden plantearse a través de nuestra Política y Procedimiento de Denuncia de Irregularidades.</w:t>
      </w: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revisa el registro de control cada </w:t>
      </w:r>
      <w:r>
        <w:rPr>
          <w:rFonts w:ascii="Nunito Sans" w:cs="Nunito Sans" w:eastAsia="Nunito Sans" w:hAnsi="Nunito Sans"/>
          <w:color w:val="102E3B"/>
          <w:sz w:val="20"/>
          <w:szCs w:val="20"/>
          <w:highlight w:val="yellow"/>
        </w:rPr>
        <w:t xml:space="preserve">[trimestre]</w:t>
      </w:r>
      <w:r>
        <w:rPr>
          <w:rFonts w:ascii="Nunito Sans" w:cs="Nunito Sans" w:eastAsia="Nunito Sans" w:hAnsi="Nunito Sans"/>
          <w:color w:val="102E3B"/>
          <w:sz w:val="20"/>
          <w:szCs w:val="20"/>
        </w:rPr>
        <w:t xml:space="preserve"> para asegurarse de que los nuevos controles están al día. Revisamos esta política al menos una vez al año, cuando cambian los requisitos y después de cualquier incidente grave relacionado con un socio. Pedimos a los socios su opinión sobre nuestro proceso y la usamos para que nuestras comprobaciones sean más sencillas y justas.</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Cuestionario de Debida Diligencia para Socios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Compras y Contrataciones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Aceptación de Regalos y Donaciones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contra el Fraude, el Soborno y la Corrupción</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Conflictos de Interés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Protección de Datos</w:t>
      </w:r>
    </w:p>
    <w:p>
      <w:pPr>
        <w:pStyle w:val="ListParagraph"/>
        <w:numPr>
          <w:ilvl w:val="0"/>
          <w:numId w:val="3"/>
        </w:numPr>
        <w:spacing w:after="80" w:line="290"/>
      </w:pPr>
      <w:r>
        <w:rPr>
          <w:rFonts w:ascii="Nunito Sans" w:cs="Nunito Sans" w:eastAsia="Nunito Sans" w:hAnsi="Nunito Sans"/>
          <w:color w:val="102E3B"/>
          <w:sz w:val="20"/>
          <w:szCs w:val="20"/>
        </w:rPr>
        <w:t xml:space="preserve">Acuerdo de Subvención a Socios</w:t>
      </w:r>
    </w:p>
    <w:p>
      <w:pPr>
        <w:pStyle w:val="ListParagraph"/>
        <w:numPr>
          <w:ilvl w:val="0"/>
          <w:numId w:val="3"/>
        </w:numPr>
        <w:spacing w:after="80" w:line="290"/>
      </w:pPr>
      <w:r>
        <w:rPr>
          <w:rFonts w:ascii="Nunito Sans" w:cs="Nunito Sans" w:eastAsia="Nunito Sans" w:hAnsi="Nunito Sans"/>
          <w:color w:val="102E3B"/>
          <w:sz w:val="20"/>
          <w:szCs w:val="20"/>
        </w:rPr>
        <w:t xml:space="preserve">Memorando de Entendimiento de Alianza</w:t>
      </w:r>
    </w:p>
    <w:p>
      <w:pPr>
        <w:pStyle w:val="ListParagraph"/>
        <w:numPr>
          <w:ilvl w:val="0"/>
          <w:numId w:val="3"/>
        </w:numPr>
        <w:spacing w:after="80" w:line="290"/>
      </w:pPr>
      <w:r>
        <w:rPr>
          <w:rFonts w:ascii="Nunito Sans" w:cs="Nunito Sans" w:eastAsia="Nunito Sans" w:hAnsi="Nunito Sans"/>
          <w:color w:val="102E3B"/>
          <w:sz w:val="20"/>
          <w:szCs w:val="20"/>
        </w:rPr>
        <w:t xml:space="preserve">Matriz de Delegación de Autoridad</w:t>
      </w:r>
    </w:p>
    <w:p>
      <w:pPr>
        <w:pStyle w:val="ListParagraph"/>
        <w:numPr>
          <w:ilvl w:val="0"/>
          <w:numId w:val="3"/>
        </w:numPr>
        <w:spacing w:after="80" w:line="290"/>
      </w:pPr>
      <w:r>
        <w:rPr>
          <w:rFonts w:ascii="Nunito Sans" w:cs="Nunito Sans" w:eastAsia="Nunito Sans" w:hAnsi="Nunito Sans"/>
          <w:color w:val="102E3B"/>
          <w:sz w:val="20"/>
          <w:szCs w:val="20"/>
        </w:rPr>
        <w:t xml:space="preserve">Registro de Riesgos</w:t>
      </w:r>
    </w:p>
    <w:p>
      <w:pPr>
        <w:pStyle w:val="ListParagraph"/>
        <w:numPr>
          <w:ilvl w:val="0"/>
          <w:numId w:val="3"/>
        </w:numPr>
        <w:spacing w:after="80" w:line="290"/>
      </w:pPr>
      <w:r>
        <w:rPr>
          <w:rFonts w:ascii="Nunito Sans" w:cs="Nunito Sans" w:eastAsia="Nunito Sans" w:hAnsi="Nunito Sans"/>
          <w:color w:val="102E3B"/>
          <w:sz w:val="20"/>
          <w:szCs w:val="20"/>
        </w:rPr>
        <w:t xml:space="preserve">Calendario de Conservación de Registros</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1: Registro de control de sanciones</w:t>
      </w:r>
    </w:p>
    <w:p>
      <w:pPr>
        <w:spacing w:after="120" w:before="0" w:line="300"/>
      </w:pPr>
      <w:r>
        <w:rPr>
          <w:rFonts w:ascii="Nunito Sans" w:cs="Nunito Sans" w:eastAsia="Nunito Sans" w:hAnsi="Nunito Sans"/>
          <w:color w:val="102E3B"/>
          <w:sz w:val="20"/>
          <w:szCs w:val="20"/>
        </w:rPr>
        <w:t xml:space="preserve">Anote cada búsqueda, incluidas las que no dan ninguna coincidencia. Mantenga el registro con acceso restringido.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1904"/>
        <w:gridCol w:w="1714"/>
        <w:gridCol w:w="1714"/>
        <w:gridCol w:w="1907"/>
      </w:tblGrid>
      <w:tr>
        <w:trPr>
          <w:cantSplit/>
          <w:tblHeader/>
        </w:trPr>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NOMBRE CONTROLADO Y TIPO</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LISTAS CONSULTADAS</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RESULTADO</w:t>
            </w:r>
          </w:p>
        </w:tc>
        <w:tc>
          <w:tcPr>
            <w:tcW w:type="dxa" w:w="190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COMPROBADO POR</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[Nombre legal de la organización socia]</w:t>
            </w:r>
            <w:r>
              <w:rPr>
                <w:rFonts w:ascii="Nunito Sans" w:cs="Nunito Sans" w:eastAsia="Nunito Sans" w:hAnsi="Nunito Sans"/>
                <w:color w:val="102E3B"/>
                <w:sz w:val="18"/>
                <w:szCs w:val="18"/>
              </w:rPr>
              <w:t xml:space="preserve"> (organización)</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ONU, OFAC SDN, UE, Reino Unido</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Sin coincidencia</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[Iniciales]</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[Nombre completo de la presidencia del órgano de gobierno]</w:t>
            </w:r>
            <w:r>
              <w:rPr>
                <w:rFonts w:ascii="Nunito Sans" w:cs="Nunito Sans" w:eastAsia="Nunito Sans" w:hAnsi="Nunito Sans"/>
                <w:color w:val="102E3B"/>
                <w:sz w:val="18"/>
                <w:szCs w:val="18"/>
              </w:rPr>
              <w:t xml:space="preserve"> (persona)</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ONU, OFAC SDN, UE, Reino Unido</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Posible coincidencia: falso positivo, la fecha de nacimiento no coincide. Confirmado por </w:t>
            </w:r>
            <w:r>
              <w:rPr>
                <w:rFonts w:ascii="Nunito Sans" w:cs="Nunito Sans" w:eastAsia="Nunito Sans" w:hAnsi="Nunito Sans"/>
                <w:color w:val="102E3B"/>
                <w:sz w:val="18"/>
                <w:szCs w:val="18"/>
                <w:highlight w:val="yellow"/>
              </w:rPr>
              <w:t xml:space="preserve">[iniciales]</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[Iniciales]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2: Registro de decisión sobre una posible coincidencia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DETALLES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controlado</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completo o nombre de la organización]</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Lista y entrada que coincidió</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de la lista, referencia de la entrada, fecha de la búsqueda]</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Identificadores comparados</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fecha de nacimiento, nacionalidad, dirección, número de registro, alias]</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Diferencias o similitudes encontradas</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[Detalles]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Escalado a quién y cuándo</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 fecha y hora]</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Asesoramiento obtenido</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[Del banco / del financiador / de un abogado, fecha, resumen]</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Decisión</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[Falso positivo: seguir adelante / Coincidencia real: no seguir adelante / Sin resolver: no seguir adelante]</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Motivos</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[Explicación]</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Comunicaciones realizadas</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[Autoridad, financiador, fecha, referencia]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Decidido por: nombre y cargo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Segunda comprobación por: nombre y cargo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de Debida Diligencia de Socios y Control de Sanciones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A72C028D-B6FD-9909-71EC-8E19F6F859A5}"/>
  </w:font>
  <w:font w:name="DM Serif Display">
    <w:family w:val="auto"/>
    <w:pitch w:val="variable"/>
    <w:sig w:usb0="E0002AFF" w:usb1="C000247B" w:usb2="00000009" w:usb3="00000000" w:csb0="000001FF" w:csb1="00000000"/>
    <w:embedRegular r:id="rId2" w:fontKey="{422B17A9-55E6-B8CB-D808-3DB8C55DB4E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de Debida Diligencia de Socios y Control de Sanciones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DE DEBIDA DILIGENCIA DE SOCIOS Y CONTROL DE SANCIONES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Debida Diligencia de Socios y Control de Sanciones</dc:title>
  <dc:creator>Method into Impact</dc:creator>
  <dc:description>Cómo [[Nombre de la organización]] conoce a sus socios, subreceptores de fondos, proveedores principales y grandes donantes, los contrasta con las listas de sanciones y apoya a los pequeños socios locales en lugar de excluirlos.</dc:description>
  <cp:lastModifiedBy>Un-named</cp:lastModifiedBy>
  <cp:revision>1</cp:revision>
  <dcterms:created xsi:type="dcterms:W3CDTF">2026-10-29T06:09:25.928Z</dcterms:created>
  <dcterms:modified xsi:type="dcterms:W3CDTF">2026-10-29T06:09:25.928Z</dcterms:modified>
</cp:coreProperties>
</file>

<file path=docProps/custom.xml><?xml version="1.0" encoding="utf-8"?>
<Properties xmlns="http://schemas.openxmlformats.org/officeDocument/2006/custom-properties" xmlns:vt="http://schemas.openxmlformats.org/officeDocument/2006/docPropsVTypes"/>
</file>