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200" w:before="0"/>
      </w:pPr>
      <w:r>
        <w:rPr>
          <w:rFonts w:ascii="Nunito Sans" w:cs="Nunito Sans" w:eastAsia="Nunito Sans" w:hAnsi="Nunito Sans"/>
          <w:b/>
          <w:bCs/>
          <w:color w:val="D8EEE2"/>
          <w:spacing w:val="40"/>
          <w:sz w:val="17"/>
          <w:szCs w:val="17"/>
        </w:rPr>
        <w:t xml:space="preserve">PLANTILLA DE PROCEDIMIENTO · GOBERNANZA Y POLÍTICAS</w:t>
      </w:r>
    </w:p>
    <w:p>
      <w:pPr>
        <w:spacing w:after="360" w:line="360" w:lineRule="atLeast"/>
      </w:pPr>
      <w:r>
        <w:rPr>
          <w:rFonts w:ascii="Nunito Sans" w:cs="Nunito Sans" w:eastAsia="Nunito Sans" w:hAnsi="Nunito Sans"/>
          <w:b/>
          <w:bCs/>
          <w:color w:val="102E3B"/>
          <w:sz w:val="24"/>
          <w:szCs w:val="24"/>
          <w:highlight w:val="yellow"/>
        </w:rPr>
        <w:t xml:space="preserve">[Nombre de la organización]</w:t>
      </w:r>
    </w:p>
    <w:p>
      <w:pPr>
        <w:spacing w:after="280" w:before="120" w:line="920" w:lineRule="atLeast"/>
      </w:pPr>
      <w:r>
        <w:rPr>
          <w:rFonts w:ascii="DM Serif Display" w:cs="DM Serif Display" w:eastAsia="DM Serif Display" w:hAnsi="DM Serif Display"/>
          <w:color w:val="FFFAF3"/>
          <w:sz w:val="76"/>
          <w:szCs w:val="76"/>
        </w:rPr>
        <w:t xml:space="preserve">Procedimiento de Aprobación y Revisión de Políticas</w:t>
      </w:r>
    </w:p>
    <w:p>
      <w:pPr>
        <w:spacing w:after="280"/>
      </w:pPr>
      <w:r>
        <w:rPr>
          <w:rFonts w:ascii="Nunito Sans" w:cs="Nunito Sans" w:eastAsia="Nunito Sans" w:hAnsi="Nunito Sans"/>
          <w:color w:val="E56F4A"/>
          <w:sz w:val="20"/>
          <w:szCs w:val="20"/>
        </w:rPr>
        <w:t xml:space="preserve">————</w:t>
      </w:r>
    </w:p>
    <w:p>
      <w:pPr>
        <w:spacing w:after="0" w:line="320"/>
        <w:ind w:right="3200"/>
      </w:pPr>
      <w:r>
        <w:rPr>
          <w:rFonts w:ascii="Nunito Sans" w:cs="Nunito Sans" w:eastAsia="Nunito Sans" w:hAnsi="Nunito Sans"/>
          <w:color w:val="D8EEE2"/>
          <w:sz w:val="21"/>
          <w:szCs w:val="21"/>
        </w:rPr>
        <w:t xml:space="preserve">Cómo </w:t>
      </w:r>
      <w:r>
        <w:rPr>
          <w:rFonts w:ascii="Nunito Sans" w:cs="Nunito Sans" w:eastAsia="Nunito Sans" w:hAnsi="Nunito Sans"/>
          <w:color w:val="102E3B"/>
          <w:sz w:val="21"/>
          <w:szCs w:val="21"/>
          <w:highlight w:val="yellow"/>
        </w:rPr>
        <w:t xml:space="preserve">[Nombre de la organización]</w:t>
      </w:r>
      <w:r>
        <w:rPr>
          <w:rFonts w:ascii="Nunito Sans" w:cs="Nunito Sans" w:eastAsia="Nunito Sans" w:hAnsi="Nunito Sans"/>
          <w:color w:val="D8EEE2"/>
          <w:sz w:val="21"/>
          <w:szCs w:val="21"/>
        </w:rPr>
        <w:t xml:space="preserve"> decide qué políticas necesita, y cómo las redacta, las consulta, las aprueba, las difunde, las guarda y las revisa, para que todas las personas trabajen con una única versión vigente y aprobada.</w:t>
      </w:r>
    </w:p>
    <w:p>
      <w:pPr>
        <w:sectPr>
          <w:pgSz w:w="11906" w:h="16838" w:orient="portrait"/>
          <w:pgMar w:top="5300" w:right="1200" w:bottom="1000" w:left="1410" w:header="0" w:footer="0" w:gutter="0"/>
          <w:pgNumType/>
          <w:docGrid w:linePitch="360"/>
        </w:sectPr>
      </w:pPr>
    </w:p>
    <w:p>
      <w:pPr>
        <w:spacing w:after="120"/>
      </w:pPr>
      <w:r>
        <w:rPr>
          <w:rFonts w:ascii="Nunito Sans" w:cs="Nunito Sans" w:eastAsia="Nunito Sans" w:hAnsi="Nunito Sans"/>
          <w:b/>
          <w:bCs/>
          <w:color w:val="FFFFFF"/>
          <w:spacing w:val="30"/>
          <w:sz w:val="15"/>
          <w:szCs w:val="15"/>
          <w:shd w:fill="E56F4A" w:color="auto" w:val="clear"/>
        </w:rPr>
        <w:t xml:space="preserve">BORRA ESTA PÁGINA ANTES DE USAR EL DOCUMENTO</w:t>
      </w:r>
    </w:p>
    <w:p>
      <w:pPr>
        <w:keepNext/>
        <w:spacing w:after="80" w:before="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METHOD INTO IMPACT · GUÍA DE LA PLANTILLA</w:t>
      </w:r>
    </w:p>
    <w:p>
      <w:pPr>
        <w:spacing w:after="1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Cómo usar esta plantilla</w:t>
      </w:r>
    </w:p>
    <w:p>
      <w:pPr>
        <w:spacing w:after="120" w:before="0" w:line="270"/>
      </w:pPr>
      <w:r>
        <w:rPr>
          <w:rFonts w:ascii="Nunito Sans" w:cs="Nunito Sans" w:eastAsia="Nunito Sans" w:hAnsi="Nunito Sans"/>
          <w:color w:val="102E3B"/>
          <w:sz w:val="18"/>
          <w:szCs w:val="18"/>
        </w:rPr>
        <w:t xml:space="preserve">Los financiadores ya no preguntan solo si tienes políticas. Preguntan cuándo se aprobó cada una, quién la aprobó, cuándo se revisará y si el personal la conoce. Este procedimiento da a un equipo pequeño un ciclo de vida sencillo, niveles de aprobación claros, un registro de políticas y los formularios y la redacción de actas para demostrarlo. También evita que circulen versiones antiguas después de aprobar una nueva.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858"/>
      </w:tblGrid>
      <w:tr>
        <w:trPr>
          <w:cantSplit/>
          <w:tblHeader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VERÁS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  <w:highlight w:val="yellow"/>
              </w:rPr>
              <w:t xml:space="preserve">[Resaltado amarillo]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Reemplázalo con tus datos y quita el resaltado (en Word: Inicio › Color de resaltado de texto › Sin color).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Recuadros con barra naranja titulados “Adáptalo”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Indicaciones para ti. Toma la decisión que describen, ajusta el texto y luego borra el recuadro.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Corchetes con opciones, p. ej. </w:t>
            </w: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  <w:highlight w:val="yellow"/>
              </w:rPr>
              <w:t xml:space="preserve">[24 horas / 48 horas]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Elige una opción, o escribe la tuya, y borra el resto.</w:t>
            </w:r>
          </w:p>
        </w:tc>
      </w:tr>
      <w:tr>
        <w:trPr>
          <w:cantSplit/>
          <w:tblHeader w:val="off"/>
        </w:trPr>
        <w:tc>
          <w:tcPr>
            <w:tcW w:type="dxa" w:w="266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Recuadros verdes y crema</w:t>
            </w:r>
          </w:p>
        </w:tc>
        <w:tc>
          <w:tcPr>
            <w:tcW w:type="dxa" w:w="685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Forman parte del documento final. Mantenlos y actualiza el texto.</w:t>
            </w:r>
          </w:p>
        </w:tc>
      </w:tr>
    </w:tbl>
    <w:p>
      <w:pPr>
        <w:spacing w:after="8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024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QUIÉN SUELE PEDIRLO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7"/>
                <w:szCs w:val="17"/>
              </w:rPr>
              <w:t xml:space="preserve">Financiadores institucionales y fundaciones en la debida diligencia (fechas de aprobación, fechas de revisión, pruebas de formación); firmas auditoras; reguladores; ONG internacionales socias; tu órgano de gobierno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TIEMPO PARA ADAPTARLO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7"/>
                <w:szCs w:val="17"/>
              </w:rPr>
              <w:t xml:space="preserve">De 1 a 2 horas para adaptarlo; de 2 a 3 horas para crear el registro de políticas la primera vez; 15 minutos para que el órgano de gobierno tome conocimiento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SE APRENDE EN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7"/>
                <w:szCs w:val="17"/>
              </w:rPr>
              <w:t xml:space="preserve">Curso 4 · Protect, Módulo 10 (Legal, cumplimiento, políticas y riesgos); Curso 2 · Organise, Módulo 3 (Estructura y gobernanza)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ÚSALO JUNTO CON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7"/>
                <w:szCs w:val="17"/>
              </w:rPr>
              <w:t xml:space="preserve">Términos de Referencia del Órgano de Gobierno · Matriz de Delegación de Autoridad · Lista de Verificación para Revisión Legal · Calendario de Conservación de Registros · Registro de Riesgos · Código de Conducta · Procedimiento de Notificación de Incidentes · Política de Debida Diligencia de Socios y Control de Sanciones</w:t>
            </w:r>
          </w:p>
        </w:tc>
      </w:tr>
    </w:tbl>
    <w:p>
      <w:pPr>
        <w:spacing w:after="40"/>
      </w:pPr>
    </w:p>
    <w:p>
      <w:pPr>
        <w:keepNext/>
        <w:spacing w:after="80" w:before="12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CINCO PASOS HASTA EL DOCUMENTO FINAL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Nunito Sans" w:cs="Nunito Sans" w:eastAsia="Nunito Sans" w:hAnsi="Nunito Sans"/>
          <w:color w:val="102E3B"/>
          <w:sz w:val="17"/>
          <w:szCs w:val="17"/>
        </w:rPr>
        <w:t xml:space="preserve">Completa cada campo amarillo y trabaja cada recuadro “Adáptalo”.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Nunito Sans" w:cs="Nunito Sans" w:eastAsia="Nunito Sans" w:hAnsi="Nunito Sans"/>
          <w:color w:val="102E3B"/>
          <w:sz w:val="17"/>
          <w:szCs w:val="17"/>
        </w:rPr>
        <w:t xml:space="preserve">Elimina lo que no aplique y mantén el documento proporcional a tu tamaño.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Nunito Sans" w:cs="Nunito Sans" w:eastAsia="Nunito Sans" w:hAnsi="Nunito Sans"/>
          <w:color w:val="102E3B"/>
          <w:sz w:val="17"/>
          <w:szCs w:val="17"/>
        </w:rPr>
        <w:t xml:space="preserve">Pide a un asesor cualificado de tu país que lo revise según la ley local, las condiciones de tus financiadores y las normas de tu sector. La plantilla de lista de verificación para revisión legal puede guiar esa conversación.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Nunito Sans" w:cs="Nunito Sans" w:eastAsia="Nunito Sans" w:hAnsi="Nunito Sans"/>
          <w:color w:val="102E3B"/>
          <w:sz w:val="17"/>
          <w:szCs w:val="17"/>
        </w:rPr>
        <w:t xml:space="preserve">Apruébalo formalmente (por ejemplo, por decisión del órgano de gobierno o de las personas fundadoras), ponle fecha y fija una fecha de revisión.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Nunito Sans" w:cs="Nunito Sans" w:eastAsia="Nunito Sans" w:hAnsi="Nunito Sans"/>
          <w:color w:val="102E3B"/>
          <w:sz w:val="17"/>
          <w:szCs w:val="17"/>
        </w:rPr>
        <w:t xml:space="preserve">Comunícalo, pide a las personas que confirmen que lo han leído y guárdalo donde todos puedan encontrarlo.</w:t>
      </w:r>
    </w:p>
    <w:p>
      <w:pPr>
        <w:spacing w:after="8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tcBorders>
              <w:top w:val="none" w:color="FFFFFF" w:sz="0"/>
              <w:left w:val="single" w:color="5B6F78" w:sz="24"/>
              <w:bottom w:val="none" w:color="FFFFFF" w:sz="0"/>
              <w:right w:val="none" w:color="FFFFFF" w:sz="0"/>
            </w:tcBorders>
            <w:shd w:fill="F3F1EC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30"/>
                <w:sz w:val="15"/>
                <w:szCs w:val="15"/>
              </w:rPr>
              <w:t xml:space="preserve">IMPORTANTE</w:t>
            </w:r>
          </w:p>
          <w:p>
            <w:pPr>
              <w:spacing w:after="120" w:before="0" w:line="260"/>
            </w:pPr>
            <w:r>
              <w:rPr>
                <w:rFonts w:ascii="Nunito Sans" w:cs="Nunito Sans" w:eastAsia="Nunito Sans" w:hAnsi="Nunito Sans"/>
                <w:color w:val="102E3B"/>
                <w:sz w:val="16"/>
                <w:szCs w:val="16"/>
              </w:rPr>
              <w:t xml:space="preserve">Esto es una plantilla, no asesoramiento legal. Es un punto de partida general escrito para pequeñas organizaciones con propósito y personas emprendedoras de distintos países. Las leyes, los reguladores y los financiadores varían y cambian. Method into Impact no garantiza que esta plantilla sea completa, actual o adecuada para tu situación, y usarla no crea una relación de asesoramiento profesional. Eres responsable de adaptarla, obtener asesoramiento local y aprobar la versión final. Licencia de uso para una sola organización; no la revendas ni la republiques.</w:t>
            </w:r>
          </w:p>
        </w:tc>
      </w:tr>
    </w:tbl>
    <w:p>
      <w:r>
        <w:br w:type="page"/>
      </w:r>
    </w:p>
    <w:p>
      <w:pPr>
        <w:keepNext/>
        <w:spacing w:after="80" w:before="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CONTROL DEL DOCUMENTO</w:t>
      </w:r>
    </w:p>
    <w:p>
      <w:pPr>
        <w:spacing w:after="20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Sobre este documento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7024"/>
      </w:tblGrid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DOCUMENTO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de la organización]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Procedimiento de Aprobación y Revisión de Políticas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Procedimiento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y cargo de la persona responsable]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[Nombre, cargo y órgano, p. ej. la junta directiva]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[1.0]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FECHA DE APROBACIÓN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[DD de mes de AAAA]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PRÓXIMA REVISIÓN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[Mes AAAA]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, o antes tras un incidente grave, un cambio en la ley o un cambio importante en nuestra forma de trabajar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SE APLICA A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El órgano de gobierno, la dirección, las personas responsables de cada documento y cualquier persona que redacte, apruebe o use las políticas, los procedimientos, los códigos y los formularios de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de la organización]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legal, forma jurídica, país de registro y número de registro]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CONTACTO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[hola@tuorganizacion.org]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FFFFFF" w:sz="4"/>
              <w:right w:val="none" w:color="FFFFFF" w:sz="0"/>
            </w:tcBorders>
            <w:shd w:fill="F3F1EC" w:color="auto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b/>
                <w:bCs/>
                <w:color w:val="5B6F78"/>
                <w:spacing w:val="20"/>
                <w:sz w:val="15"/>
                <w:szCs w:val="15"/>
              </w:rPr>
              <w:t xml:space="preserve">IDIOMA</w:t>
            </w:r>
          </w:p>
        </w:tc>
        <w:tc>
          <w:tcPr>
            <w:tcW w:type="dxa" w:w="7024"/>
            <w:tcBorders>
              <w:top w:val="none" w:color="FFFFFF" w:sz="0"/>
              <w:left w:val="none" w:color="FFFFFF" w:sz="0"/>
              <w:bottom w:val="single" w:color="D9DED8" w:sz="4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[Español]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 Traducciones: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[idiomas, o “ninguna”]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 Si las versiones difieren, prevalece la versión en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[español]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</w:t>
            </w:r>
          </w:p>
        </w:tc>
      </w:tr>
    </w:tbl>
    <w:p>
      <w:pPr>
        <w:keepNext/>
        <w:spacing w:after="100" w:before="36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CONTENIDO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62"/>
        <w:gridCol w:w="4762"/>
      </w:tblGrid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Objeto y alcance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11. Organizaciones socias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El ciclo de vida de las políticas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Registro de políticas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1. Decidir qué políticas necesitamos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Calendario anual de políticas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2. Redacción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Roles y responsabilidades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3. Consulta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Registros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4. Obtener asesoramiento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Seguimiento y revisión de este procedimiento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5. Aprobación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Documentos relacionados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6. Control de versiones y registros de los documentos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Aprobación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7. Comunicación, confirmación de lectura y formación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Anexo A: Formulario de aprobación de políticas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8. Almacenamiento: una única fuente de referencia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Anexo B: Redacción del acta de aprobación del órgano de gobierno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9. Seguimiento y revisión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Anexo C: Registro de cambios</w:t>
            </w:r>
          </w:p>
        </w:tc>
      </w:tr>
      <w:tr>
        <w:tc>
          <w:tcPr>
            <w:tcW w:type="dxa" w:w="4762"/>
            <w:tcBorders>
              <w:top w:val="none" w:color="FFFFFF" w:sz="0"/>
              <w:left w:val="none" w:color="FFFFFF" w:sz="0"/>
              <w:bottom w:val="dotted" w:color="D9DED8" w:sz="4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10. Retirada de versiones antiguas</w:t>
            </w:r>
          </w:p>
        </w:tc>
        <w:tc>
          <w:tcPr>
            <w:tcW w:type="dxa" w:w="47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300"/>
              <w:bottom w:type="dxa" w:w="60"/>
              <w:right w:type="dxa" w:w="120"/>
            </w:tcMar>
          </w:tcPr>
          <w:p>
            <w:pPr>
              <w:spacing w:after="0"/>
            </w:pPr>
          </w:p>
        </w:tc>
      </w:tr>
    </w:tbl>
    <w:p>
      <w:r>
        <w:br w:type="page"/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tcBorders>
              <w:top w:val="none" w:color="FFFFFF" w:sz="0"/>
              <w:left w:val="single" w:color="16746E" w:sz="24"/>
              <w:bottom w:val="none" w:color="FFFFFF" w:sz="0"/>
              <w:right w:val="none" w:color="FFFFFF" w:sz="0"/>
            </w:tcBorders>
            <w:shd w:fill="FFFAF3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16746E"/>
                <w:spacing w:val="30"/>
                <w:sz w:val="15"/>
                <w:szCs w:val="15"/>
              </w:rPr>
              <w:t xml:space="preserve">PROPORCIONAL A NUESTRO TAMAÑO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de la organización]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es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[una organización pequeña de X personas / una organización nueva dirigida por sus fundadores]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 Tenemos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[número]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políticas y procedimientos, y las mismas pocas personas los redactan, los aprueban y los usan. Este procedimiento lo mantiene sencillo. Hasta que crezcamos: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  <w:highlight w:val="yellow"/>
              </w:rPr>
              <w:t xml:space="preserve">[Nombre, cargo]</w:t>
            </w: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</w:rPr>
              <w:t xml:space="preserve"> es nuestra persona coordinadora de políticas.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Lleva el registro de políticas y la carpeta de políticas, controla las fechas de revisión y recoge las confirmaciones de lectura.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</w:rPr>
              <w:t xml:space="preserve">Cada documento tiene una persona responsable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, indicada en el registro, que lo redacta, lo mantiene actualizado y responde a las preguntas sobre él.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</w:rPr>
              <w:t xml:space="preserve">El órgano de gobierno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aprueba las políticas. </w:t>
            </w: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</w:rPr>
              <w:t xml:space="preserve">La dirección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aprueba los procedimientos, los formularios y las guías, como establece nuestra Matriz de Delegación de Autoridad.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b/>
                <w:bCs/>
                <w:color w:val="102E3B"/>
                <w:sz w:val="19"/>
                <w:szCs w:val="19"/>
              </w:rPr>
              <w:t xml:space="preserve">Revisamos este procedimiento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cada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[dos años]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, y cuando cambian nuestro documento constitutivo o la Matriz de Delegación de Autoridad.</w:t>
            </w:r>
          </w:p>
        </w:tc>
      </w:tr>
    </w:tbl>
    <w:p>
      <w:pPr>
        <w:spacing w:after="12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QUIÉN OCUPA ESTOS ROLES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Nombra a personas reales. En un equipo de dos a cinco personas, la persona directora suele ser la coordinadora de políticas y la responsable de la mayoría de los documentos. Está bien, pero, cuando puedas, asigna al menos los documentos de finanzas y de salvaguarda a otra persona, para que no los controle todos una sola persona. Un miembro del órgano de gobierno, a menudo quien ocupa la secretaría, puede vigilar el registro y señalar las revisiones vencidas en las reuniones del órgano de gobierno.</w:t>
            </w:r>
          </w:p>
        </w:tc>
      </w:tr>
    </w:tbl>
    <w:p>
      <w:pPr>
        <w:spacing w:after="12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tcBorders>
              <w:top w:val="none" w:color="FFFFFF" w:sz="0"/>
              <w:left w:val="single" w:color="16746E" w:sz="24"/>
              <w:bottom w:val="none" w:color="FFFFFF" w:sz="0"/>
              <w:right w:val="none" w:color="FFFFFF" w:sz="0"/>
            </w:tcBorders>
            <w:shd w:fill="EAF5EF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16746E"/>
                <w:spacing w:val="30"/>
                <w:sz w:val="15"/>
                <w:szCs w:val="15"/>
              </w:rPr>
              <w:t xml:space="preserve">DE UN VISTAZO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Llevamos un único registro de políticas que enumera cada documento, su persona responsable, quién lo aprobó, cuándo y cuándo se revisará.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Todo documento pasa por cinco etapas: redacción y consulta, aprobación, comunicación y confirmación de lectura, seguimiento, revisión.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Partimos de buenas plantillas, pero adaptamos cada una a nuestra ley, nuestro tamaño y nuestro trabajo.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El órgano de gobierno aprueba las políticas. La dirección aprueba los procedimientos, los formularios y las guías.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Todas las personas confirman que han leído los documentos que les aplican, al incorporarse y después de cambios importantes.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Solo se usa la versión vigente aprobada, guardada en un único lugar. Las versiones antiguas se archivan durante el tiempo que fija nuestro Calendario de Conservación de Registros, y no se borran de inmediato.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 w:line="29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Revisamos cada documento al menos cada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[uno o dos años]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, y de inmediato tras un incidente grave, un cambio en la ley o un nuevo requisito de un financiador.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Objeto y alcance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Este procedimiento explica cómo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 de la organización]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crea, aprueba, difunde, guarda, revisa y retira sus documentos normativos. Se aplica a: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TIPO DE DOCUMENTO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QUÉ ES</w:t>
            </w:r>
          </w:p>
        </w:tc>
      </w:tr>
      <w:tr>
        <w:trPr>
          <w:cantSplit/>
          <w:tblHeader w:val="off"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Política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Establece lo que nos comprometemos a hacer y las reglas que seguimos, por ejemplo nuestra Política de Controles Financieros. Una </w:t>
            </w:r>
            <w:r>
              <w:rPr>
                <w:rFonts w:ascii="Nunito Sans" w:cs="Nunito Sans" w:eastAsia="Nunito Sans" w:hAnsi="Nunito Sans"/>
                <w:b/>
                <w:bCs/>
                <w:color w:val="102E3B"/>
                <w:sz w:val="18"/>
                <w:szCs w:val="18"/>
              </w:rPr>
              <w:t xml:space="preserve">política esencial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 es aquella que el órgano de gobierno, un financiador o la ley consideran imprescindible, como las de salvaguarda, finanzas, fraude y protección de datos.</w:t>
            </w:r>
          </w:p>
        </w:tc>
      </w:tr>
      <w:tr>
        <w:trPr>
          <w:cantSplit/>
          <w:tblHeader w:val="off"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Establece cómo ponemos en práctica una política, paso a paso, por ejemplo nuestros Procedimientos Financieros.</w:t>
            </w:r>
          </w:p>
        </w:tc>
      </w:tr>
      <w:tr>
        <w:trPr>
          <w:cantSplit/>
          <w:tblHeader w:val="off"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Código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Establece normas de comportamiento, por ejemplo nuestro Código de Conducta.</w:t>
            </w:r>
          </w:p>
        </w:tc>
      </w:tr>
      <w:tr>
        <w:trPr>
          <w:cantSplit/>
          <w:tblHeader w:val="off"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Documento de gobernanza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Establece cómo nos gobernamos, por ejemplo nuestros Términos de Referencia del Órgano de Gobierno y nuestra Matriz de Delegación de Autoridad.</w:t>
            </w:r>
          </w:p>
        </w:tc>
      </w:tr>
      <w:tr>
        <w:trPr>
          <w:cantSplit/>
          <w:tblHeader w:val="off"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Formulario, plantilla o guía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Apoya una política o un procedimiento, por ejemplo un formulario de consentimiento o una plantilla de contrato.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No cubre nuestro documento constitutivo (estatutos, escritura o acta constitutiva), que solo puede modificarse según lo que permitan ese documento y la ley.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El ciclo de vida de las políticas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Todo documento pasa por cinco etapas: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Redacción y consulta.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La persona responsable redacta el documento a partir de una plantilla o de la versión vigente, consulta a las personas a las que afecta y obtiene asesoramiento cuando es necesario.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Aprobación.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La persona u órgano competente lo aprueba, y la decisión queda registrada.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Comunicación y confirmación de lectura.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Todas las personas a las que se aplica lo reciben, lo entienden y confirman que lo han leído. Se imparte formación cuando es necesario.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Seguimiento.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La persona responsable comprueba que se cumple y que funciona en la práctica.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Revisión.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En la fecha de revisión, o antes si algo cambia, la persona responsable lo revisa y el ciclo vuelve a empezar.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1. Decidir qué políticas necesitamos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dirección y la persona coordinadora de políticas deciden qué documentos necesitamos, y en qué orden, teniendo en cuenta: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la ley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de cada país en el que estamos registrados o trabajamos;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los financiadores y las organizaciones socias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cuya debida diligencia y cuyos acuerdos de subvención suelen enumerar las políticas exigidas;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nuestros riesgos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tal como constan en nuestro Registro de Riesgos;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nuestras actividades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por ejemplo el trabajo con niños, niñas y adolescentes, los pagos en efectivo, la investigación o el tratamiento de datos personales.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Cada nuevo documento se incorpora al registro de políticas, con una persona responsable y una fecha objetivo, antes de empezar a redactarlo. Preferimos pocos documentos que las personas usen a muchos que nadie lea.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POR QUÉ DOCUMENTOS EMPEZAR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La mayoría de las organizaciones pequeñas empiezan por: Código de Conducta; Política y Procedimiento de Salvaguarda; Política de Controles Financieros; Política y Procedimiento contra el Fraude, el Soborno y la Corrupción; Política y Procedimiento de Denuncia de Irregularidades; Política de Conflictos de Interés; Política de Protección de Datos; Procedimiento de Quejas y Retroalimentación; y Matriz de Delegación de Autoridad. Añade otros a medida que crezcan tu trabajo, tu equipo y tu financiación. Revisa tus acuerdos de subvención: algunos financiadores exigen una política concreta antes del primer pago. Usa la Lista de Verificación para Revisión Legal para detectar los documentos que exige la ley donde trabajas.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2. Redacción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responsable parte de una plantilla fiable, como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[fuente de la plantilla]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o de la versión vigente.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Adapta cada campo y cada recuadro "Adáptalo" a nuestro país, nuestro tamaño, nuestras actividades y nuestros financiadores. Una plantilla copiada sin cambios es una señal de alerta para los financiadores y las firmas auditoras.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Comprueba que el borrador coincide con nuestros otros documentos: los mismos roles, importes y plazos que la Matriz de Delegación de Autoridad, la Política de Controles Financieros y el Código de Conducta.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Redacta en lenguaje claro, en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[idioma(s)]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y planifica las traducciones para las personas que las necesiten.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Marca el borrador como "BORRADOR", con un número de versión como 0.1, y completa la Parte 1 del formulario de aprobación de políticas (Anexo A).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3. Consulta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responsable consulta a las personas a las que afecta un documento antes de su aprobación, y les da al menos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[10 días hábiles]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para responder.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El personal y el voluntariado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son consultados sobre cada política y procedimiento que afecte a su trabajo.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Las personas a las que atendemos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son consultadas, cuando corresponda, sobre los documentos que les afectan directamente, como los de salvaguarda, quejas y retroalimentación, los formularios de consentimiento y las asignaciones a participantes.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Las organizaciones socias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son consultadas cuando un documento cambia lo que esperamos de ellas.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Los miembros del órgano de gobierno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con competencias pertinentes pueden comentar los borradores antes de la decisión formal.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responsable anota en la Parte 2 del Anexo A a quién se consultó, los principales comentarios y cómo se trataron.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CONSULTAR A LAS PERSONAS A LAS QUE ATENDEMOS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Hazlo de forma proporcional y segura. Opciones: un breve debate en una reunión comunitaria ya prevista; probar un cartel sobre quejas o un formulario de consentimiento con algunas personas participantes; pedir comentarios a una organización socia o a un grupo asesor comunitario; o una sesión adaptada a la infancia para los documentos sobre niños, niñas y adolescentes. Explica cómo se usaron los comentarios. Nunca pidas a las personas que compartan sus propias experiencias de daño en una consulta, y sigue tu Política y Procedimiento de Salvaguarda cuando trabajes con niños, niñas y adolescentes.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4. Obtener asesoramiento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Antes de la aprobación, la persona responsable decide si el documento necesita asesoramiento externo. Suele necesitarlo cuando: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crea obligaciones o derechos legales, por ejemplo contratos, normas laborales o protección de datos;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establece obligaciones de informar a las autoridades, por ejemplo en materia de salvaguarda o de fraude;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es nuevo para nosotros, o responde a una nueva ley, un nuevo regulador o un nuevo requisito de un financiador.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responsable usa nuestra Lista de Verificación para Revisión Legal para preparar preguntas para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[nuestra asesoría jurídica / una asesoría pro bono]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y consulta 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[nuestra asesoría contable]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sobre los documentos financieros y fiscales y 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[una persona asesora en salvaguarda]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sobre los documentos de salvaguarda. Anota en el Anexo A el asesoramiento recibido y los cambios realizados.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5. Aprobación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7"/>
        <w:gridCol w:w="2381"/>
        <w:gridCol w:w="4286"/>
      </w:tblGrid>
      <w:tr>
        <w:trPr>
          <w:cantSplit/>
          <w:tblHeader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DOCUMENTO</w:t>
            </w:r>
          </w:p>
        </w:tc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428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NOTAS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Políticas esenciales, códigos y todas las demás políticas</w:t>
            </w:r>
          </w:p>
        </w:tc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</w:tc>
        <w:tc>
          <w:tcPr>
            <w:tcW w:type="dxa" w:w="428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En una reunión con quórum o mediante acuerdo por escrito, conforme a nuestros Términos de Referencia del Órgano de Gobierno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Documentos de gobernanza (Términos de Referencia del Órgano de Gobierno, Matriz de Delegación de Autoridad, Registro de Riesgos)</w:t>
            </w:r>
          </w:p>
        </w:tc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</w:tc>
        <w:tc>
          <w:tcPr>
            <w:tcW w:type="dxa" w:w="428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Reservado al órgano de gobierno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Procedimientos, incluido este</w:t>
            </w:r>
          </w:p>
        </w:tc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Dirección</w:t>
            </w:r>
          </w:p>
        </w:tc>
        <w:tc>
          <w:tcPr>
            <w:tcW w:type="dxa" w:w="428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Deben ajustarse a las políticas del órgano de gobierno; se informa en la siguiente reunión del órgano de gobierno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Formularios, plantillas y guías</w:t>
            </w:r>
          </w:p>
        </w:tc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Dirección</w:t>
            </w:r>
          </w:p>
        </w:tc>
        <w:tc>
          <w:tcPr>
            <w:tcW w:type="dxa" w:w="428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O una persona responsable de área que la dirección designe por escrito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Actualizaciones menores de una política (nombres, contactos, cargos, enlaces, errores tipográficos)</w:t>
            </w:r>
          </w:p>
        </w:tc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Dirección</w:t>
            </w:r>
          </w:p>
        </w:tc>
        <w:tc>
          <w:tcPr>
            <w:tcW w:type="dxa" w:w="4286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Se informa en la siguiente reunión del órgano de gobierno; sin cambio de sentido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Para la aprobación por el órgano de gobierno: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responsable envía a la secretaría el borrador final, el formulario de aprobación completado y un resumen de una página con los cambios al menos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[10 días]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antes de la reunión, para que la documentación llegue a los miembros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[7 días]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antes.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El órgano de gobierno debate el documento y lo aprueba, lo aprueba con cambios o lo devuelve. Los miembros con un conflicto de interés lo declaran.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El acta recoge la decisión, con la redacción del Anexo B, el número de versión y la próxima fecha de revisión.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presidencia, o la dirección en el caso de los procedimientos, firma el formulario de aprobación. El documento entra en vigor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[en la fecha de aprobación / en la fecha que fije el órgano de gobierno]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NIVELES DE APROBACIÓN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Revisa primero tu documento constitutivo: puede exigir que las personas socias o una asamblea general aprueben algunos documentos, o indicar quién firma. Haz que esta tabla coincida exactamente con tu Matriz de Delegación de Autoridad. Algunos financiadores exigen que el órgano de gobierno apruebe las políticas de salvaguarda o contra el fraude, y algunos piden ver el acta. Si tu órgano de gobierno se reúne pocas veces, usa un acuerdo por escrito para las aprobaciones urgentes, si tu documento constitutivo lo permite.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6. Control de versiones y registros de los documentos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Todo documento aprobado tiene: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una página "Sobre este documento" que muestra la persona responsable, quién lo aprobó, la versión, la fecha de aprobación y la próxima fecha de revisión;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una tabla de historial del documento que enumera cada versión;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un número de versión: 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0.1, 0.2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para los borradores; 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1.0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para la primera versión aprobada; 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1.1, 1.2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para las actualizaciones menores; 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2.0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para una revisión importante aprobada de nuevo en su totalidad;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un nombre de archivo con este formato: 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  <w:highlight w:val="yellow"/>
        </w:rPr>
        <w:t xml:space="preserve">[Nombre corto de la organización]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_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  <w:highlight w:val="yellow"/>
        </w:rPr>
        <w:t xml:space="preserve">[Título del documento]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_v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  <w:highlight w:val="yellow"/>
        </w:rPr>
        <w:t xml:space="preserve">[número]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_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  <w:highlight w:val="yellow"/>
        </w:rPr>
        <w:t xml:space="preserve">[AAAA-MM]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por ejemplo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[ORG_Codigo-de-Conducta_v2.0_2026-03]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responsable anota cada cambio en el registro de cambios (Anexo C). La persona coordinadora de políticas actualiza el registro de políticas el mismo día de la aprobación.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7. Comunicación, confirmación de lectura y formación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En un plazo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[10 días hábiles]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desde la aprobación: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coordinadora de políticas coloca la versión aprobada en la carpeta de políticas y retira la anterior.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responsable informa a todas las personas a las que se aplica, con un breve resumen de lo que ha cambiado y por qué.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Cada persona confirma que lo ha leído, mediante la declaración de confirmación de lectura del documento, un formulario firmado o un formulario en línea. La persona coordinadora de políticas anota la fecha en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[el registro / un registro de confirmaciones de lectura]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Cuando un documento cambia la forma de trabajar de las personas, la persona responsable imparte una breve sesión informativa o de formación en un plazo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[un mes]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El nuevo personal, el voluntariado y los miembros del órgano de gobierno leen y confirman los documentos esenciales durante su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[primera semana]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 Todas las personas vuelven a confirmar cada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[año]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el Código de Conducta y los documentos de salvaguarda y contra el fraude. Las personas contratistas y las organizaciones socias lo confirman a través de su contrato.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Hacemos que los documentos sean accesibles: resúmenes en lenguaje claro, traducciones y sesiones orales para las personas con alfabetización limitada. Publicamos en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[nuestro sitio web]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los documentos que el público necesita, como nuestra Política y Procedimiento de Salvaguarda, nuestro Procedimiento de Quejas y Retroalimentación, nuestro Aviso de Privacidad y nuestra Política y Procedimiento de Denuncia de Irregularidades.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8. Almacenamiento: una única fuente de referencia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Todos los documentos vigentes aprobados se guardan en un único lugar: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[la carpeta "Políticas – vigentes" de nuestra unidad compartida]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 Es la única versión oficial.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Las versiones aprobadas se guardan en PDF, de solo lectura para la mayoría de las personas usuarias. Los originales editables se guardan por separado, y solo las personas responsables y la persona coordinadora de políticas pueden modificarlos.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Las copias impresas llevan la marca "Copia no controlada una vez impresa: consulte la versión vigente en la carpeta de políticas".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Las oficinas de terreno y las organizaciones socias reciben enlaces, no copias, siempre que la conectividad lo permita.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9. Seguimiento y revisión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Seguimiento.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Las personas responsables comprueban que sus documentos funcionan en la práctica, a partir de los incidentes, las quejas, los hallazgos de auditoría, las preguntas del personal y la retroalimentación de las personas a las que atendemos. Pueden plantear problemas a la dirección en cualquier momento.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Revisión programada.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Cada documento se revisa a más tardar en su próxima fecha de revisión, y al menos cada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[uno o dos años]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 Las políticas esenciales se revisan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[cada año]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 La persona coordinadora de políticas lo recuerda a las personas responsables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[dos meses]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antes de la fecha.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Revisión extraordinaria.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La persona responsable revisa un documento de inmediato, sin esperar a la fecha, después de: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un incidente grave, una queja o un cuasi incidente que el documento debería haber evitado o gestionado mejor;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un hallazgo de auditoría, de evaluación o de un financiador;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un cambio en la ley o la normativa del lugar donde estamos registrados o trabajamos;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un nuevo financiador o acuerdo de subvención que exija reglas distintas;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un cambio significativo en nuestras actividades, nuestra estructura, nuestros países o nuestro equipo.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Resultado de una revisión.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Si no es necesario cambiar nada, quien aprueba confirma el documento y fija una nueva fecha de revisión, que se anota en el registro. Las actualizaciones menores siguen la vía de la dirección de la sección 5. Cualquier cambio de sentido vuelve a recorrer el ciclo de vida completo.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CON QUÉ FRECUENCIA REVISAR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Revisar cada documento todos los años es demasiado para la mayoría de los equipos pequeños. Una pauta habitual es: las políticas esenciales, cada año; las demás políticas y procedimientos, cada dos años; los formularios y plantillas, cuando cambia la política relacionada. A veces los financiadores exigen una revisión anual de las políticas de salvaguarda y contra el fraude, así que revisa tus acuerdos. Una revisión que no cambia nada también cuenta, siempre que quede registrada.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10. Retirada de versiones antiguas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Cuando se aprueba una nueva versión, o se retira un documento: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coordinadora de políticas traslada la versión antigua 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[la carpeta "Políticas – archivo"]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con la marca "SUSTITUIDO el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[fecha]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".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retira del sitio web y de los enlaces compartidos, y pide a quien tenga copias impresas que las destruya.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Actualiza el registro para mostrar el estado "Sustituido" o "Retirado", y el motivo.</w:t>
      </w:r>
    </w:p>
    <w:p>
      <w:pPr>
        <w:pStyle w:val="ListParagraph"/>
        <w:numPr>
          <w:ilvl w:val="0"/>
          <w:numId w:val="8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Conservamos las versiones archivadas según establece nuestro Calendario de Conservación de Registros, porque podemos necesitar demostrar qué reglas se aplicaban en un momento dado, por ejemplo en una controversia o una auditoría.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11. Organizaciones socias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Las organizaciones socias que ejecutan trabajo con nuestros fondos deben tener políticas que cumplan nuestros estándares, como mínimo, en materia de salvaguarda, fraude y gestión financiera, y de protección de datos cuando traten datos personales. Lo comprobamos mediante la debida diligencia, conforme a nuestra Política de Debida Diligencia de Socios y Control de Sanciones. Cuando una organización socia no tenga una política adecuada, podrá adoptar la nuestra para el proyecto, o elaborar la suya con nuestro apoyo en un plazo acordado. El Acuerdo de Subvención a Socios o el Memorando de Entendimiento de Alianza establecen qué políticas se aplican. Informamos a las organizaciones socias cuando cambiamos una política que les afecta.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 w:val="off"/>
        </w:trPr>
        <w:tc>
          <w:tcPr>
            <w:tcW w:type="dxa" w:w="9524"/>
            <w:tcBorders>
              <w:top w:val="none" w:color="FFFFFF" w:sz="0"/>
              <w:left w:val="single" w:color="E56F4A" w:sz="24"/>
              <w:bottom w:val="none" w:color="FFFFFF" w:sz="0"/>
              <w:right w:val="none" w:color="FFFFFF" w:sz="0"/>
            </w:tcBorders>
            <w:shd w:fill="FDF2D8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B04A2B"/>
                <w:spacing w:val="30"/>
                <w:sz w:val="15"/>
                <w:szCs w:val="15"/>
              </w:rPr>
              <w:t xml:space="preserve">ADÁPTALO · TRABAJAR CON ORGANIZACIONES SOCIAS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Actúa con proporcionalidad y respeto. Las pequeñas organizaciones socias locales pueden tener buenas prácticas pero pocos documentos escritos. Ofrece plantillas, tiempo y apoyo en lugar de limitarte a exigir papeles, y acepta la política propia de una organización socia cuando cumpla el mismo estándar. Cuando un financiador exija que sus reglas se trasladen a las organizaciones socias, indícalo en el acuerdo.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Registro de políticas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La persona coordinadora de políticas lleva este registro. Las filas siguientes son </w:t>
      </w: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solo ejemplos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: sustitúyelas por tus propios documentos.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7"/>
        <w:gridCol w:w="1714"/>
        <w:gridCol w:w="2095"/>
        <w:gridCol w:w="1428"/>
        <w:gridCol w:w="1430"/>
      </w:tblGrid>
      <w:tr>
        <w:trPr>
          <w:cantSplit/>
          <w:tblHeader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DOCUMENTO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TIPO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APROBADO POR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FECHA DE APROBACIÓN</w:t>
            </w:r>
          </w:p>
        </w:tc>
        <w:tc>
          <w:tcPr>
            <w:tcW w:type="dxa" w:w="142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PRÓXIMA REVISIÓN</w:t>
            </w:r>
          </w:p>
        </w:tc>
        <w:tc>
          <w:tcPr>
            <w:tcW w:type="dxa" w:w="143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Código de Conducta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Código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[Dirección]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[mar. 2026]</w:t>
            </w:r>
          </w:p>
        </w:tc>
        <w:tc>
          <w:tcPr>
            <w:tcW w:type="dxa" w:w="142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[mar. 2027]</w:t>
            </w:r>
          </w:p>
        </w:tc>
        <w:tc>
          <w:tcPr>
            <w:tcW w:type="dxa" w:w="143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Vigente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Política y Procedimiento de Salvaguarda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Política y procedimiento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[Persona responsable de salvaguarda]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[mar. 2026]</w:t>
            </w:r>
          </w:p>
        </w:tc>
        <w:tc>
          <w:tcPr>
            <w:tcW w:type="dxa" w:w="142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[mar. 2027]</w:t>
            </w:r>
          </w:p>
        </w:tc>
        <w:tc>
          <w:tcPr>
            <w:tcW w:type="dxa" w:w="143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Vigente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Política de Controles Financieros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Política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[Persona responsable de finanzas]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[jun. 2026]</w:t>
            </w:r>
          </w:p>
        </w:tc>
        <w:tc>
          <w:tcPr>
            <w:tcW w:type="dxa" w:w="142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[jun. 2027]</w:t>
            </w:r>
          </w:p>
        </w:tc>
        <w:tc>
          <w:tcPr>
            <w:tcW w:type="dxa" w:w="143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Vigente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Procedimientos Financieros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Procedimiento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[Persona responsable de finanzas]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Dirección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[jul. 2026]</w:t>
            </w:r>
          </w:p>
        </w:tc>
        <w:tc>
          <w:tcPr>
            <w:tcW w:type="dxa" w:w="142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[jul. 2027]</w:t>
            </w:r>
          </w:p>
        </w:tc>
        <w:tc>
          <w:tcPr>
            <w:tcW w:type="dxa" w:w="143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Vigente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Política de Protección de Datos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Política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[Persona responsable de protección de datos]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[sep. 2025]</w:t>
            </w:r>
          </w:p>
        </w:tc>
        <w:tc>
          <w:tcPr>
            <w:tcW w:type="dxa" w:w="142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Ahora: nueva ley</w:t>
            </w:r>
          </w:p>
        </w:tc>
        <w:tc>
          <w:tcPr>
            <w:tcW w:type="dxa" w:w="143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En revisión extraordinaria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Política de Gastos y Viáticos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Política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[Persona responsable de finanzas]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 (pendiente)</w:t>
            </w:r>
          </w:p>
        </w:tc>
        <w:tc>
          <w:tcPr>
            <w:tcW w:type="dxa" w:w="142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Aún sin fijar</w:t>
            </w:r>
          </w:p>
        </w:tc>
        <w:tc>
          <w:tcPr>
            <w:tcW w:type="dxa" w:w="143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Borrador, en consulta</w:t>
            </w:r>
          </w:p>
        </w:tc>
      </w:tr>
      <w:tr>
        <w:trPr>
          <w:cantSplit/>
          <w:tblHeader w:val="off"/>
        </w:trPr>
        <w:tc>
          <w:tcPr>
            <w:tcW w:type="dxa" w:w="285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Ejemplo: Formulario de Consentimiento para Fotos e Historias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Formulario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[Persona responsable de comunicación]</w:t>
            </w:r>
          </w:p>
        </w:tc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Dirección</w:t>
            </w:r>
          </w:p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[ene. 2026]</w:t>
            </w:r>
          </w:p>
        </w:tc>
        <w:tc>
          <w:tcPr>
            <w:tcW w:type="dxa" w:w="1428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Con la política relacionada</w:t>
            </w:r>
          </w:p>
        </w:tc>
        <w:tc>
          <w:tcPr>
            <w:tcW w:type="dxa" w:w="143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Vigente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Calendario anual de políticas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5"/>
        <w:gridCol w:w="4952"/>
        <w:gridCol w:w="2477"/>
      </w:tblGrid>
      <w:tr>
        <w:trPr>
          <w:cantSplit/>
          <w:tblHeader/>
        </w:trPr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CUÁNDO</w:t>
            </w:r>
          </w:p>
        </w:tc>
        <w:tc>
          <w:tcPr>
            <w:tcW w:type="dxa" w:w="495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QUÉ OCURRE</w:t>
            </w:r>
          </w:p>
        </w:tc>
        <w:tc>
          <w:tcPr>
            <w:tcW w:type="dxa" w:w="247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QUIÉN</w:t>
            </w:r>
          </w:p>
        </w:tc>
      </w:tr>
      <w:tr>
        <w:trPr>
          <w:cantSplit/>
          <w:tblHeader w:val="off"/>
        </w:trPr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Cada mes</w:t>
            </w:r>
          </w:p>
        </w:tc>
        <w:tc>
          <w:tcPr>
            <w:tcW w:type="dxa" w:w="495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Revisar en el registro las revisiones próximas y vencidas; comprobar que las nuevas incorporaciones han confirmado la lectura de los documentos esenciales</w:t>
            </w:r>
          </w:p>
        </w:tc>
        <w:tc>
          <w:tcPr>
            <w:tcW w:type="dxa" w:w="247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Persona coordinadora de políticas</w:t>
            </w:r>
          </w:p>
        </w:tc>
      </w:tr>
      <w:tr>
        <w:trPr>
          <w:cantSplit/>
          <w:tblHeader w:val="off"/>
        </w:trPr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[Enero]</w:t>
            </w:r>
          </w:p>
        </w:tc>
        <w:tc>
          <w:tcPr>
            <w:tcW w:type="dxa" w:w="495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Actualizar el registro; enumerar los documentos que deben revisarse este año, con personas responsables y fechas</w:t>
            </w:r>
          </w:p>
        </w:tc>
        <w:tc>
          <w:tcPr>
            <w:tcW w:type="dxa" w:w="247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Persona coordinadora de políticas, dirección</w:t>
            </w:r>
          </w:p>
        </w:tc>
      </w:tr>
      <w:tr>
        <w:trPr>
          <w:cantSplit/>
          <w:tblHeader w:val="off"/>
        </w:trPr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[Enero–febrero]</w:t>
            </w:r>
          </w:p>
        </w:tc>
        <w:tc>
          <w:tcPr>
            <w:tcW w:type="dxa" w:w="495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Confirmación anual del Código de Conducta y de los documentos de salvaguarda y contra el fraude</w:t>
            </w:r>
          </w:p>
        </w:tc>
        <w:tc>
          <w:tcPr>
            <w:tcW w:type="dxa" w:w="247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Persona coordinadora de políticas, responsables de área</w:t>
            </w:r>
          </w:p>
        </w:tc>
      </w:tr>
      <w:tr>
        <w:trPr>
          <w:cantSplit/>
          <w:tblHeader w:val="off"/>
        </w:trPr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Reunión del órgano de gobierno del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[1.er trimestre]</w:t>
            </w:r>
          </w:p>
        </w:tc>
        <w:tc>
          <w:tcPr>
            <w:tcW w:type="dxa" w:w="495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Tomar conocimiento del plan de revisión; revisar el Registro de Riesgos</w:t>
            </w:r>
          </w:p>
        </w:tc>
        <w:tc>
          <w:tcPr>
            <w:tcW w:type="dxa" w:w="247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</w:tc>
      </w:tr>
      <w:tr>
        <w:trPr>
          <w:cantSplit/>
          <w:tblHeader w:val="off"/>
        </w:trPr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Reunión del órgano de gobierno del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[2.º trimestre]</w:t>
            </w:r>
          </w:p>
        </w:tc>
        <w:tc>
          <w:tcPr>
            <w:tcW w:type="dxa" w:w="495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Revisar las políticas financieras junto con las cuentas anuales</w:t>
            </w:r>
          </w:p>
        </w:tc>
        <w:tc>
          <w:tcPr>
            <w:tcW w:type="dxa" w:w="247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</w:tc>
      </w:tr>
      <w:tr>
        <w:trPr>
          <w:cantSplit/>
          <w:tblHeader w:val="off"/>
        </w:trPr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Reunión del órgano de gobierno del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[3.er trimestre]</w:t>
            </w:r>
          </w:p>
        </w:tc>
        <w:tc>
          <w:tcPr>
            <w:tcW w:type="dxa" w:w="495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Revisar la Matriz de Delegación de Autoridad y las políticas pendientes de revisión</w:t>
            </w:r>
          </w:p>
        </w:tc>
        <w:tc>
          <w:tcPr>
            <w:tcW w:type="dxa" w:w="247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</w:tc>
      </w:tr>
      <w:tr>
        <w:trPr>
          <w:cantSplit/>
          <w:tblHeader w:val="off"/>
        </w:trPr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[Septiembre]</w:t>
            </w:r>
          </w:p>
        </w:tc>
        <w:tc>
          <w:tcPr>
            <w:tcW w:type="dxa" w:w="495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Revisión de salud legal con la Lista de Verificación para Revisión Legal</w:t>
            </w:r>
          </w:p>
        </w:tc>
        <w:tc>
          <w:tcPr>
            <w:tcW w:type="dxa" w:w="247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Dirección, miembro del órgano de gobierno</w:t>
            </w:r>
          </w:p>
        </w:tc>
      </w:tr>
      <w:tr>
        <w:trPr>
          <w:cantSplit/>
          <w:tblHeader w:val="off"/>
        </w:trPr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Reunión del órgano de gobierno del </w:t>
            </w: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[4.º trimestre]</w:t>
            </w:r>
          </w:p>
        </w:tc>
        <w:tc>
          <w:tcPr>
            <w:tcW w:type="dxa" w:w="495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Informe anual sobre las políticas: estado del registro, confirmaciones de lectura, formación, revisiones extraordinarias</w:t>
            </w:r>
          </w:p>
        </w:tc>
        <w:tc>
          <w:tcPr>
            <w:tcW w:type="dxa" w:w="247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Dirección, órgano de gobierno</w:t>
            </w:r>
          </w:p>
        </w:tc>
      </w:tr>
      <w:tr>
        <w:trPr>
          <w:cantSplit/>
          <w:tblHeader w:val="off"/>
        </w:trPr>
        <w:tc>
          <w:tcPr>
            <w:tcW w:type="dxa" w:w="209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En cualquier momento</w:t>
            </w:r>
          </w:p>
        </w:tc>
        <w:tc>
          <w:tcPr>
            <w:tcW w:type="dxa" w:w="495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Revisiones extraordinarias tras incidentes o cambios en la ley o en los requisitos de los financiadores</w:t>
            </w:r>
          </w:p>
        </w:tc>
        <w:tc>
          <w:tcPr>
            <w:tcW w:type="dxa" w:w="2477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Persona responsable del documento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Roles y responsabilidades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QUIÉN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RESPONSABILIDADES</w:t>
            </w:r>
          </w:p>
        </w:tc>
      </w:tr>
      <w:tr>
        <w:trPr>
          <w:cantSplit/>
          <w:tblHeader w:val="off"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Órgano de gobierno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Aprueba las políticas y los documentos de gobernanza; recibe el informe anual sobre las políticas; se asegura de que se hagan las revisiones.</w:t>
            </w:r>
          </w:p>
        </w:tc>
      </w:tr>
      <w:tr>
        <w:trPr>
          <w:cantSplit/>
          <w:tblHeader w:val="off"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Dirección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Aprueba los procedimientos, los formularios, las guías y las actualizaciones menores de las políticas; decide qué documentos necesitamos.</w:t>
            </w:r>
          </w:p>
        </w:tc>
      </w:tr>
      <w:tr>
        <w:trPr>
          <w:cantSplit/>
          <w:tblHeader w:val="off"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Persona coordinadora de políticas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Lleva el registro, la carpeta de políticas y los registros de confirmación de lectura; recuerda las revisiones a las personas responsables; archiva las versiones antiguas.</w:t>
            </w:r>
          </w:p>
        </w:tc>
      </w:tr>
      <w:tr>
        <w:trPr>
          <w:cantSplit/>
          <w:tblHeader w:val="off"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Personas responsables de los documentos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Redactan, consultan, obtienen asesoramiento, informan a las personas, hacen seguimiento y revisan sus documentos.</w:t>
            </w:r>
          </w:p>
        </w:tc>
      </w:tr>
      <w:tr>
        <w:trPr>
          <w:cantSplit/>
          <w:tblHeader w:val="off"/>
        </w:trPr>
        <w:tc>
          <w:tcPr>
            <w:tcW w:type="dxa" w:w="238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Todas las personas</w:t>
            </w:r>
          </w:p>
        </w:tc>
        <w:tc>
          <w:tcPr>
            <w:tcW w:type="dxa" w:w="714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Leen y cumplen los documentos que les aplican, usan solo la versión vigente y proponen mejoras.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Registros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Conservamos el registro, los formularios de aprobación, las notas de consulta, el asesoramiento, las actas del órgano de gobierno, las confirmaciones de lectura y las versiones archivadas según establece nuestro Calendario de Conservación de Registros. Los registros de confirmación de lectura y de formación contienen datos personales y se tratan conforme a nuestra Política de Protección de Datos.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Seguimiento y revisión de este procedimiento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Cada año, la dirección informa al órgano de gobierno del número de documentos vigentes, vencidos y en borrador, de los índices de confirmación de lectura y de formación, y de cualquier revisión extraordinaria. La dirección aprueba este procedimiento, y el órgano de gobierno toma conocimiento de él, porque describe cómo el órgano de gobierno aprueba las políticas. Se revisa cada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[dos años]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Documentos relacionados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Términos de Referencia del Órgano de Gobierno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Matriz de Delegación de Autoridad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Lista de Verificación para Revisión Legal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Calendario de Conservación de Registros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Registro de Riesgos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Política de Debida Diligencia de Socios y Control de Sanciones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Acuerdo de Subvención a Socios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[Nuestro documento constitutivo]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Aprobación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24"/>
      </w:tblGrid>
      <w:tr>
        <w:trPr>
          <w:cantSplit/>
        </w:trPr>
        <w:tc>
          <w:tcPr>
            <w:tcW w:type="dxa" w:w="9524"/>
            <w:tcBorders>
              <w:top w:val="none" w:color="FFFFFF" w:sz="0"/>
              <w:left w:val="single" w:color="123C48" w:sz="24"/>
              <w:bottom w:val="none" w:color="FFFFFF" w:sz="0"/>
              <w:right w:val="none" w:color="FFFFFF" w:sz="0"/>
            </w:tcBorders>
            <w:shd w:fill="FFFAF3" w:color="auto" w:val="clear"/>
            <w:tcMar>
              <w:top w:type="dxa" w:w="200"/>
              <w:left w:type="dxa" w:w="280"/>
              <w:bottom w:type="dxa" w:w="120"/>
              <w:right w:type="dxa" w:w="280"/>
            </w:tcMar>
          </w:tcPr>
          <w:p>
            <w:pPr>
              <w:keepNext/>
              <w:spacing w:after="100" w:before="0"/>
            </w:pPr>
            <w:r>
              <w:rPr>
                <w:rFonts w:ascii="Nunito Sans" w:cs="Nunito Sans" w:eastAsia="Nunito Sans" w:hAnsi="Nunito Sans"/>
                <w:b/>
                <w:bCs/>
                <w:color w:val="123C48"/>
                <w:spacing w:val="30"/>
                <w:sz w:val="15"/>
                <w:szCs w:val="15"/>
              </w:rPr>
              <w:t xml:space="preserve">APROBACIÓN</w:t>
            </w:r>
          </w:p>
          <w:p>
            <w:pPr>
              <w:spacing w:after="120" w:before="0" w:line="300"/>
            </w:pP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Este Procedimiento de Aprobación y Revisión de Políticas fue aprobado por la dirección de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[Nombre de la organización]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 el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[fecha]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, y el órgano de gobierno tomó conocimiento de él el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[fecha]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, con referencia de acta 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  <w:highlight w:val="yellow"/>
              </w:rPr>
              <w:t xml:space="preserve">[número]</w:t>
            </w:r>
            <w:r>
              <w:rPr>
                <w:rFonts w:ascii="Nunito Sans" w:cs="Nunito Sans" w:eastAsia="Nunito Sans" w:hAnsi="Nunito Sans"/>
                <w:color w:val="102E3B"/>
                <w:sz w:val="19"/>
                <w:szCs w:val="19"/>
              </w:rPr>
              <w:t xml:space="preserve">.</w:t>
            </w:r>
          </w:p>
        </w:tc>
      </w:tr>
    </w:tbl>
    <w:p>
      <w:pPr>
        <w:spacing w:after="120"/>
      </w:pP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62"/>
        <w:gridCol w:w="4862"/>
      </w:tblGrid>
      <w:tr>
        <w:trPr>
          <w:cantSplit/>
        </w:trPr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Por </w:t>
            </w: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  <w:highlight w:val="yellow"/>
              </w:rPr>
              <w:t xml:space="preserve">[Nombre de la organización]</w:t>
            </w: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: dirección</w:t>
            </w:r>
          </w:p>
        </w:tc>
        <w:tc>
          <w:tcPr>
            <w:tcW w:type="dxa" w:w="48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Por </w:t>
            </w: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  <w:highlight w:val="yellow"/>
              </w:rPr>
              <w:t xml:space="preserve">[Nombre de la organización]</w:t>
            </w: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: presidencia</w:t>
            </w:r>
          </w:p>
        </w:tc>
      </w:tr>
      <w:tr>
        <w:trPr>
          <w:cantSplit/>
        </w:trPr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Firma</w:t>
            </w:r>
          </w:p>
        </w:tc>
        <w:tc>
          <w:tcPr>
            <w:tcW w:type="dxa" w:w="48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Firma</w:t>
            </w:r>
          </w:p>
        </w:tc>
      </w:tr>
      <w:tr>
        <w:trPr>
          <w:cantSplit/>
        </w:trPr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Fecha</w:t>
            </w:r>
          </w:p>
        </w:tc>
        <w:tc>
          <w:tcPr>
            <w:tcW w:type="dxa" w:w="48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Fecha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Anexo A: Formulario de aprobación de políticas</w:t>
      </w:r>
    </w:p>
    <w:p>
      <w:pPr>
        <w:keepNext/>
        <w:spacing w:after="80" w:before="12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PARTE 1: EL DOCUMENTO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33"/>
        <w:gridCol w:w="6191"/>
      </w:tblGrid>
      <w:tr>
        <w:trPr>
          <w:cantSplit/>
          <w:tblHeader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DATOS</w:t>
            </w:r>
          </w:p>
        </w:tc>
      </w:tr>
      <w:tr>
        <w:trPr>
          <w:cantSplit/>
          <w:tblHeader w:val="off"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Título y tipo del documento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</w:tr>
      <w:tr>
        <w:trPr>
          <w:cantSplit/>
          <w:tblHeader w:val="off"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Documento nuevo o revisión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[Nuevo / revisión programada / revisión extraordinaria: motivo]</w:t>
            </w:r>
          </w:p>
        </w:tc>
      </w:tr>
      <w:tr>
        <w:trPr>
          <w:cantSplit/>
          <w:tblHeader w:val="off"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Versión propuesta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[p. ej., 2.0]</w:t>
            </w:r>
          </w:p>
        </w:tc>
      </w:tr>
      <w:tr>
        <w:trPr>
          <w:cantSplit/>
          <w:tblHeader w:val="off"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Persona responsable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[Nombre, cargo]</w:t>
            </w:r>
          </w:p>
        </w:tc>
      </w:tr>
      <w:tr>
        <w:trPr>
          <w:cantSplit/>
          <w:tblHeader w:val="off"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Resumen de lo nuevo o modificado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</w:tr>
      <w:tr>
        <w:trPr>
          <w:cantSplit/>
          <w:tblHeader w:val="off"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Plantilla utilizada, si la hay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PARTE 2: CONSULTA Y ASESORAMIENTO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33"/>
        <w:gridCol w:w="6191"/>
      </w:tblGrid>
      <w:tr>
        <w:trPr>
          <w:cantSplit/>
          <w:tblHeader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CAMPO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DATOS</w:t>
            </w:r>
          </w:p>
        </w:tc>
      </w:tr>
      <w:tr>
        <w:trPr>
          <w:cantSplit/>
          <w:tblHeader w:val="off"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 quién se consultó y cuándo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[Personal / voluntariado / personas a las que atendemos / organizaciones socias / miembros del órgano de gobierno]</w:t>
            </w:r>
          </w:p>
        </w:tc>
      </w:tr>
      <w:tr>
        <w:trPr>
          <w:cantSplit/>
          <w:tblHeader w:val="off"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Principales comentarios y cómo se trataron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</w:tr>
      <w:tr>
        <w:trPr>
          <w:cantSplit/>
          <w:tblHeader w:val="off"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Asesoramiento obtenido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[Asesoría jurídica / asesoría contable / persona asesora en salvaguarda / no era necesario: por qué]</w:t>
            </w:r>
          </w:p>
        </w:tc>
      </w:tr>
      <w:tr>
        <w:trPr>
          <w:cantSplit/>
          <w:tblHeader w:val="off"/>
        </w:trPr>
        <w:tc>
          <w:tcPr>
            <w:tcW w:type="dxa" w:w="333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Se usó la Lista de Verificación para Revisión Legal</w:t>
            </w:r>
          </w:p>
        </w:tc>
        <w:tc>
          <w:tcPr>
            <w:tcW w:type="dxa" w:w="6191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[Sí / No]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PARTE 3: COMPROBACIONES ANTES DE LA APROBACIÓN</w:t>
      </w:r>
    </w:p>
    <w:p>
      <w:pPr>
        <w:tabs>
          <w:tab w:val="left" w:pos="400"/>
        </w:tabs>
        <w:spacing w:after="100" w:line="290"/>
        <w:ind w:left="400" w:hanging="400"/>
      </w:pPr>
      <w:r>
        <w:rPr>
          <w:rFonts w:ascii="Segoe UI Symbol" w:cs="Segoe UI Symbol" w:eastAsia="Segoe UI Symbol" w:hAnsi="Segoe UI Symbol"/>
          <w:color w:val="123C48"/>
          <w:sz w:val="24"/>
          <w:szCs w:val="24"/>
        </w:rPr>
        <w:t xml:space="preserve">☐</w:t>
      </w:r>
      <w:r>
        <w:rPr>
          <w:rFonts w:ascii="Nunito Sans" w:cs="Nunito Sans" w:eastAsia="Nunito Sans" w:hAnsi="Nunito Sans"/>
        </w:rPr>
        <w:t xml:space="preserve">	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Los roles, importes y plazos coinciden con la Matriz de Delegación de Autoridad y los documentos relacionados</w:t>
      </w:r>
    </w:p>
    <w:p>
      <w:pPr>
        <w:tabs>
          <w:tab w:val="left" w:pos="400"/>
        </w:tabs>
        <w:spacing w:after="100" w:line="290"/>
        <w:ind w:left="400" w:hanging="400"/>
      </w:pPr>
      <w:r>
        <w:rPr>
          <w:rFonts w:ascii="Segoe UI Symbol" w:cs="Segoe UI Symbol" w:eastAsia="Segoe UI Symbol" w:hAnsi="Segoe UI Symbol"/>
          <w:color w:val="123C48"/>
          <w:sz w:val="24"/>
          <w:szCs w:val="24"/>
        </w:rPr>
        <w:t xml:space="preserve">☐</w:t>
      </w:r>
      <w:r>
        <w:rPr>
          <w:rFonts w:ascii="Nunito Sans" w:cs="Nunito Sans" w:eastAsia="Nunito Sans" w:hAnsi="Nunito Sans"/>
        </w:rPr>
        <w:t xml:space="preserve">	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Todos los campos y recuadros "Adáptalo" sustituidos o eliminados</w:t>
      </w:r>
    </w:p>
    <w:p>
      <w:pPr>
        <w:tabs>
          <w:tab w:val="left" w:pos="400"/>
        </w:tabs>
        <w:spacing w:after="100" w:line="290"/>
        <w:ind w:left="400" w:hanging="400"/>
      </w:pPr>
      <w:r>
        <w:rPr>
          <w:rFonts w:ascii="Segoe UI Symbol" w:cs="Segoe UI Symbol" w:eastAsia="Segoe UI Symbol" w:hAnsi="Segoe UI Symbol"/>
          <w:color w:val="123C48"/>
          <w:sz w:val="24"/>
          <w:szCs w:val="24"/>
        </w:rPr>
        <w:t xml:space="preserve">☐</w:t>
      </w:r>
      <w:r>
        <w:rPr>
          <w:rFonts w:ascii="Nunito Sans" w:cs="Nunito Sans" w:eastAsia="Nunito Sans" w:hAnsi="Nunito Sans"/>
        </w:rPr>
        <w:t xml:space="preserve">	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Plan de comunicación, confirmación de lectura y formación acordado</w:t>
      </w:r>
    </w:p>
    <w:p>
      <w:pPr>
        <w:tabs>
          <w:tab w:val="left" w:pos="400"/>
        </w:tabs>
        <w:spacing w:after="100" w:line="290"/>
        <w:ind w:left="400" w:hanging="400"/>
      </w:pPr>
      <w:r>
        <w:rPr>
          <w:rFonts w:ascii="Segoe UI Symbol" w:cs="Segoe UI Symbol" w:eastAsia="Segoe UI Symbol" w:hAnsi="Segoe UI Symbol"/>
          <w:color w:val="123C48"/>
          <w:sz w:val="24"/>
          <w:szCs w:val="24"/>
        </w:rPr>
        <w:t xml:space="preserve">☐</w:t>
      </w:r>
      <w:r>
        <w:rPr>
          <w:rFonts w:ascii="Nunito Sans" w:cs="Nunito Sans" w:eastAsia="Nunito Sans" w:hAnsi="Nunito Sans"/>
        </w:rPr>
        <w:t xml:space="preserve">	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Traducciones o resúmenes previstos cuando sea necesario</w:t>
      </w:r>
    </w:p>
    <w:p>
      <w:pPr>
        <w:tabs>
          <w:tab w:val="left" w:pos="400"/>
        </w:tabs>
        <w:spacing w:after="100" w:line="290"/>
        <w:ind w:left="400" w:hanging="400"/>
      </w:pPr>
      <w:r>
        <w:rPr>
          <w:rFonts w:ascii="Segoe UI Symbol" w:cs="Segoe UI Symbol" w:eastAsia="Segoe UI Symbol" w:hAnsi="Segoe UI Symbol"/>
          <w:color w:val="123C48"/>
          <w:sz w:val="24"/>
          <w:szCs w:val="24"/>
        </w:rPr>
        <w:t xml:space="preserve">☐</w:t>
      </w:r>
      <w:r>
        <w:rPr>
          <w:rFonts w:ascii="Nunito Sans" w:cs="Nunito Sans" w:eastAsia="Nunito Sans" w:hAnsi="Nunito Sans"/>
        </w:rPr>
        <w:t xml:space="preserve">	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Próxima fecha de revisión propuesta: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[fecha]</w:t>
      </w:r>
    </w:p>
    <w:p>
      <w:pPr>
        <w:keepNext/>
        <w:spacing w:after="80" w:before="120"/>
      </w:pPr>
      <w:r>
        <w:rPr>
          <w:rFonts w:ascii="Nunito Sans" w:cs="Nunito Sans" w:eastAsia="Nunito Sans" w:hAnsi="Nunito Sans"/>
          <w:b/>
          <w:bCs/>
          <w:color w:val="16746E"/>
          <w:spacing w:val="30"/>
          <w:sz w:val="15"/>
          <w:szCs w:val="15"/>
        </w:rPr>
        <w:t xml:space="preserve">PARTE 4: DECISIÓN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62"/>
        <w:gridCol w:w="4862"/>
      </w:tblGrid>
      <w:tr>
        <w:trPr>
          <w:cantSplit/>
        </w:trPr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Aprobado por: órgano de gobierno (presidencia) o dirección</w:t>
            </w:r>
          </w:p>
        </w:tc>
        <w:tc>
          <w:tcPr>
            <w:tcW w:type="dxa" w:w="48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Fecha de aprobación y referencia del acta</w:t>
            </w:r>
          </w:p>
        </w:tc>
      </w:tr>
      <w:tr>
        <w:trPr>
          <w:cantSplit/>
        </w:trPr>
        <w:tc>
          <w:tcPr>
            <w:tcW w:type="dxa" w:w="46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Firma</w:t>
            </w:r>
          </w:p>
        </w:tc>
        <w:tc>
          <w:tcPr>
            <w:tcW w:type="dxa" w:w="4862"/>
            <w:tcBorders>
              <w:top w:val="none" w:color="FFFFFF" w:sz="0"/>
              <w:left w:val="none" w:color="FFFFFF" w:sz="0"/>
              <w:bottom w:val="single" w:color="123C48" w:sz="6"/>
              <w:right w:val="none" w:color="FFFFFF" w:sz="0"/>
            </w:tcBorders>
            <w:tcMar>
              <w:top w:type="dxa" w:w="240"/>
              <w:left w:type="dxa" w:w="0"/>
              <w:bottom w:type="dxa" w:w="60"/>
              <w:right w:type="dxa" w:w="240"/>
            </w:tcMar>
            <w:vAlign w:val="bottom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Nunito Sans" w:cs="Nunito Sans" w:eastAsia="Nunito Sans" w:hAnsi="Nunito Sans"/>
                <w:color w:val="5B6F78"/>
                <w:sz w:val="16"/>
                <w:szCs w:val="16"/>
              </w:rPr>
              <w:t xml:space="preserve">Fecha de entrada en vigor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Anexo B: Redacción del acta de aprobación del órgano de gobierno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Aprobación de una política nueva o revisada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"El órgano de gobierno examinó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[título del documento]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versión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[número]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presentado por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[persona responsable]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junto con un resumen de la consulta y del asesoramiento.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[Nombre]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declaró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[no tener ningún interés / tener un interés, y no participó]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 El órgano de gobierno aprobó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[título del documento]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versión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[número]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con efecto a partir del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[fecha]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y fijó la próxima revisión para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[mes y año]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 La dirección se asegurará de que se comunique y de que se confirme su lectura en un plazo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[10 días hábiles]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."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Confirmación de una política tras una revisión sin cambios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"El órgano de gobierno tomó conocimiento de que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[título del documento]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versión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[número]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había sido revisado por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[persona responsable]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y de que no eran necesarios cambios. El órgano de gobierno confirmó el documento y fijó la próxima revisión para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[mes y año]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."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Toma de conocimiento de actualizaciones menores y de procedimientos aprobados por la dirección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"El órgano de gobierno tomó conocimiento de las actualizaciones menores introducidas por la dirección en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[título del documento]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(ahora versión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[número]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) y de los siguientes procedimientos aprobados por la dirección desde la última reunión: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[lista]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."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b/>
          <w:bCs/>
          <w:color w:val="102E3B"/>
          <w:sz w:val="20"/>
          <w:szCs w:val="20"/>
        </w:rPr>
        <w:t xml:space="preserve">Acuerdo por escrito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"Mediante acuerdo por escrito de fecha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[fecha]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adoptado por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[número]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de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[número]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 miembros del órgano de gobierno por correo electrónico, el órgano de gobierno aprobó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[título del documento]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, versión </w:t>
      </w:r>
      <w:r>
        <w:rPr>
          <w:rFonts w:ascii="Nunito Sans" w:cs="Nunito Sans" w:eastAsia="Nunito Sans" w:hAnsi="Nunito Sans"/>
          <w:color w:val="102E3B"/>
          <w:sz w:val="20"/>
          <w:szCs w:val="20"/>
          <w:highlight w:val="yellow"/>
        </w:rPr>
        <w:t xml:space="preserve">[número]</w:t>
      </w: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. El acuerdo constará en el acta de la siguiente reunión."</w:t>
      </w: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Anexo C: Registro de cambios</w:t>
      </w:r>
    </w:p>
    <w:p>
      <w:pPr>
        <w:spacing w:after="120" w:before="0" w:line="300"/>
      </w:pPr>
      <w:r>
        <w:rPr>
          <w:rFonts w:ascii="Nunito Sans" w:cs="Nunito Sans" w:eastAsia="Nunito Sans" w:hAnsi="Nunito Sans"/>
          <w:color w:val="102E3B"/>
          <w:sz w:val="20"/>
          <w:szCs w:val="20"/>
        </w:rPr>
        <w:t xml:space="preserve">Lleva un registro por documento, o uno para todos los documentos con una columna para el título.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2"/>
        <w:gridCol w:w="1523"/>
        <w:gridCol w:w="4190"/>
        <w:gridCol w:w="2669"/>
      </w:tblGrid>
      <w:tr>
        <w:trPr>
          <w:cantSplit/>
          <w:tblHeader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152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419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QUÉ CAMBIÓ Y POR QUÉ</w:t>
            </w:r>
          </w:p>
        </w:tc>
        <w:tc>
          <w:tcPr>
            <w:tcW w:type="dxa" w:w="266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APROBADO POR</w:t>
            </w:r>
          </w:p>
        </w:tc>
      </w:tr>
      <w:tr>
        <w:trPr>
          <w:cantSplit/>
          <w:tblHeader w:val="off"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[1.0]</w:t>
            </w:r>
          </w:p>
        </w:tc>
        <w:tc>
          <w:tcPr>
            <w:tcW w:type="dxa" w:w="152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[fecha]</w:t>
            </w:r>
          </w:p>
        </w:tc>
        <w:tc>
          <w:tcPr>
            <w:tcW w:type="dxa" w:w="419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Primera versión, adaptada de una plantilla</w:t>
            </w:r>
          </w:p>
        </w:tc>
        <w:tc>
          <w:tcPr>
            <w:tcW w:type="dxa" w:w="266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[Órgano de gobierno, referencia del acta]</w:t>
            </w:r>
          </w:p>
        </w:tc>
      </w:tr>
      <w:tr>
        <w:trPr>
          <w:cantSplit/>
          <w:tblHeader w:val="off"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[1.1]</w:t>
            </w:r>
          </w:p>
        </w:tc>
        <w:tc>
          <w:tcPr>
            <w:tcW w:type="dxa" w:w="152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[fecha]</w:t>
            </w:r>
          </w:p>
        </w:tc>
        <w:tc>
          <w:tcPr>
            <w:tcW w:type="dxa" w:w="419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[Ejemplo: se actualizaron los datos de contacto de la persona responsable de salvaguarda]</w:t>
            </w:r>
          </w:p>
        </w:tc>
        <w:tc>
          <w:tcPr>
            <w:tcW w:type="dxa" w:w="266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[Dirección]</w:t>
            </w:r>
          </w:p>
        </w:tc>
      </w:tr>
      <w:tr>
        <w:trPr>
          <w:cantSplit/>
          <w:tblHeader w:val="off"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[2.0]</w:t>
            </w:r>
          </w:p>
        </w:tc>
        <w:tc>
          <w:tcPr>
            <w:tcW w:type="dxa" w:w="152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[fecha]</w:t>
            </w:r>
          </w:p>
        </w:tc>
        <w:tc>
          <w:tcPr>
            <w:tcW w:type="dxa" w:w="419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[Ejemplo: se añadieron reglas sobre transferencias de efectivo tras un hallazgo de auditoría]</w:t>
            </w:r>
          </w:p>
        </w:tc>
        <w:tc>
          <w:tcPr>
            <w:tcW w:type="dxa" w:w="266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[Órgano de gobierno, referencia del acta]</w:t>
            </w:r>
          </w:p>
        </w:tc>
      </w:tr>
      <w:tr>
        <w:trPr>
          <w:cantSplit/>
          <w:tblHeader w:val="off"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  <w:tc>
          <w:tcPr>
            <w:tcW w:type="dxa" w:w="152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  <w:tc>
          <w:tcPr>
            <w:tcW w:type="dxa" w:w="4190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  <w:tc>
          <w:tcPr>
            <w:tcW w:type="dxa" w:w="2669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DM Serif Display" w:cs="DM Serif Display" w:eastAsia="DM Serif Display" w:hAnsi="DM Serif Display"/>
          <w:color w:val="123C48"/>
          <w:sz w:val="40"/>
          <w:szCs w:val="40"/>
        </w:rPr>
        <w:t xml:space="preserve">Historial del documento</w:t>
      </w:r>
    </w:p>
    <w:tbl>
      <w:tblPr>
        <w:tblW w:type="dxa" w:w="95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2"/>
        <w:gridCol w:w="1714"/>
        <w:gridCol w:w="4285"/>
        <w:gridCol w:w="2383"/>
      </w:tblGrid>
      <w:tr>
        <w:trPr>
          <w:cantSplit/>
          <w:tblHeader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QUÉ CAMBIÓ</w:t>
            </w:r>
          </w:p>
        </w:tc>
        <w:tc>
          <w:tcPr>
            <w:tcW w:type="dxa" w:w="238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123C4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b/>
                <w:bCs/>
                <w:color w:val="FFFAF3"/>
                <w:spacing w:val="20"/>
                <w:sz w:val="15"/>
                <w:szCs w:val="15"/>
              </w:rPr>
              <w:t xml:space="preserve">APROBADO POR</w:t>
            </w:r>
          </w:p>
        </w:tc>
      </w:tr>
      <w:tr>
        <w:trPr>
          <w:cantSplit/>
          <w:tblHeader w:val="off"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[1.0]</w:t>
            </w: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[DD de mes de AAAA]</w:t>
            </w:r>
          </w:p>
        </w:tc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</w:rPr>
              <w:t xml:space="preserve">Primera versión, adaptada de la plantilla Procedimiento de Aprobación y Revisión de Políticas de Method into Impact (v1.0)</w:t>
            </w:r>
          </w:p>
        </w:tc>
        <w:tc>
          <w:tcPr>
            <w:tcW w:type="dxa" w:w="238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  <w:r>
              <w:rPr>
                <w:rFonts w:ascii="Nunito Sans" w:cs="Nunito Sans" w:eastAsia="Nunito Sans" w:hAnsi="Nunito Sans"/>
                <w:color w:val="102E3B"/>
                <w:sz w:val="18"/>
                <w:szCs w:val="18"/>
                <w:highlight w:val="yellow"/>
              </w:rPr>
              <w:t xml:space="preserve">[Nombre, cargo]</w:t>
            </w:r>
          </w:p>
        </w:tc>
      </w:tr>
      <w:tr>
        <w:trPr>
          <w:cantSplit/>
          <w:tblHeader w:val="off"/>
        </w:trPr>
        <w:tc>
          <w:tcPr>
            <w:tcW w:type="dxa" w:w="1142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  <w:tc>
          <w:tcPr>
            <w:tcW w:type="dxa" w:w="1714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  <w:tc>
          <w:tcPr>
            <w:tcW w:type="dxa" w:w="4285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  <w:tc>
          <w:tcPr>
            <w:tcW w:type="dxa" w:w="2383"/>
            <w:tcBorders>
              <w:top w:val="single" w:color="D9DED8" w:sz="4"/>
              <w:left w:val="single" w:color="D9DED8" w:sz="4"/>
              <w:bottom w:val="single" w:color="D9DED8" w:sz="4"/>
              <w:right w:val="single" w:color="D9DED8" w:sz="4"/>
            </w:tcBorders>
            <w:shd w:fill="FFFA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0"/>
            </w:pPr>
          </w:p>
        </w:tc>
      </w:tr>
    </w:tbl>
    <w:p>
      <w:pPr>
        <w:spacing w:before="480"/>
        <w:jc w:val="center"/>
      </w:pPr>
      <w:r>
        <w:rPr>
          <w:rFonts w:ascii="Nunito Sans" w:cs="Nunito Sans" w:eastAsia="Nunito Sans" w:hAnsi="Nunito Sans"/>
          <w:color w:val="5B6F78"/>
          <w:sz w:val="15"/>
          <w:szCs w:val="15"/>
        </w:rPr>
        <w:t xml:space="preserve">Adaptado de una plantilla de Method into Impact · Mejores bases. Organizaciones más fuertes. · methodintoimpact.com</w:t>
      </w:r>
    </w:p>
    <w:sectPr>
      <w:headerReference w:type="default" r:id="rId6"/>
      <w:footerReference w:type="default" r:id="rId7"/>
      <w:pgSz w:w="11906" w:h="16838" w:orient="portrait"/>
      <w:pgMar w:top="1300" w:right="1191" w:bottom="1200" w:left="1191" w:header="560" w:footer="560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unito Sans">
    <w:family w:val="auto"/>
    <w:pitch w:val="variable"/>
    <w:sig w:usb0="E0002AFF" w:usb1="C000247B" w:usb2="00000009" w:usb3="00000000" w:csb0="000001FF" w:csb1="00000000"/>
    <w:embedRegular r:id="rId1" w:fontKey="{1AB3B9B7-3313-9FB8-D11E-83A0710B920C}"/>
  </w:font>
  <w:font w:name="DM Serif Display">
    <w:family w:val="auto"/>
    <w:pitch w:val="variable"/>
    <w:sig w:usb0="E0002AFF" w:usb1="C000247B" w:usb2="00000009" w:usb3="00000000" w:csb0="000001FF" w:csb1="00000000"/>
    <w:embedRegular r:id="rId2" w:fontKey="{C2BA211D-95E2-74CD-41CB-EC11BC4F803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D8" w:sz="4" w:space="6"/>
      </w:pBdr>
      <w:tabs>
        <w:tab w:val="right" w:pos="9524"/>
      </w:tabs>
    </w:pPr>
    <w:r>
      <w:rPr>
        <w:rFonts w:ascii="Nunito Sans" w:cs="Nunito Sans" w:eastAsia="Nunito Sans" w:hAnsi="Nunito Sans"/>
        <w:color w:val="5B6F78"/>
        <w:sz w:val="14"/>
        <w:szCs w:val="14"/>
        <w:highlight w:val="yellow"/>
      </w:rPr>
      <w:t xml:space="preserve">[Nombre de la organización]</w:t>
    </w:r>
    <w:r>
      <w:rPr>
        <w:rFonts w:ascii="Nunito Sans" w:cs="Nunito Sans" w:eastAsia="Nunito Sans" w:hAnsi="Nunito Sans"/>
        <w:color w:val="5B6F78"/>
        <w:sz w:val="14"/>
        <w:szCs w:val="14"/>
      </w:rPr>
      <w:t xml:space="preserve">  |  Procedimiento de Aprobación y Revisión de Políticas  |  Versión [1.0]  |  Plantilla de Method into Impact, edición 2026-10</w:t>
    </w:r>
    <w:r>
      <w:rPr>
        <w:rFonts w:ascii="Nunito Sans" w:cs="Nunito Sans" w:eastAsia="Nunito Sans" w:hAnsi="Nunito Sans"/>
        <w:color w:val="5B6F78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D8" w:sz="4" w:space="6"/>
      </w:pBdr>
      <w:tabs>
        <w:tab w:val="right" w:pos="9524"/>
      </w:tabs>
      <w:spacing w:after="0"/>
    </w:pPr>
    <w:r>
      <w:drawing>
        <wp:inline distT="0" distB="0" distL="0" distR="0">
          <wp:extent cx="1333500" cy="204788"/>
          <wp:effectExtent t="0" r="0" b="0" l="0"/>
          <wp:docPr id="84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047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Nunito Sans" w:cs="Nunito Sans" w:eastAsia="Nunito Sans" w:hAnsi="Nunito Sans"/>
        <w:b/>
        <w:bCs/>
        <w:color w:val="5B6F78"/>
        <w:spacing w:val="30"/>
        <w:sz w:val="14"/>
        <w:szCs w:val="14"/>
      </w:rPr>
      <w:t xml:space="preserve">	PROCEDIMIENTO DE APROBACIÓN Y REVISIÓN DE POLÍTICAS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  <w:rPr>
        <w:color w:val="16746E"/>
      </w:rPr>
    </w:lvl>
    <w:lvl w:ilvl="1" w:tentative="1">
      <w:start w:val="1"/>
      <w:numFmt w:val="bullet"/>
      <w:lvlText w:val="–"/>
      <w:lvlJc w:val="left"/>
      <w:pPr>
        <w:ind w:left="720" w:hanging="260"/>
      </w:pPr>
      <w:rPr>
        <w:color w:val="16746E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  <w:rPr>
        <w:b/>
        <w:bCs/>
        <w:color w:val="16746E"/>
      </w:rPr>
    </w:lvl>
    <w:lvl w:ilvl="1" w:tentative="1">
      <w:start w:val="1"/>
      <w:numFmt w:val="lowerLetter"/>
      <w:lvlText w:val="(%2)"/>
      <w:lvlJc w:val="left"/>
      <w:pPr>
        <w:ind w:left="800" w:hanging="360"/>
      </w:pPr>
      <w:rPr>
        <w:color w:val="1674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02E3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DM Serif Display" w:cs="DM Serif Display" w:eastAsia="DM Serif Display" w:hAnsi="DM Serif Display"/>
      <w:color w:val="123C48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DM Serif Display" w:cs="DM Serif Display" w:eastAsia="DM Serif Display" w:hAnsi="DM Serif Display"/>
      <w:color w:val="123C48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Nunito Sans" w:cs="Nunito Sans" w:eastAsia="Nunito Sans" w:hAnsi="Nunito Sans"/>
      <w:b/>
      <w:bCs/>
      <w:color w:val="16746E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84047304b5248b738443469294e6487b5bff68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baf2bce2db023367740f277ae96b7322baa269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Aprobación y Revisión de Políticas</dc:title>
  <dc:creator>Method into Impact</dc:creator>
  <dc:description>Cómo [[Nombre de la organización]] decide qué políticas necesita, y cómo las redacta, las consulta, las aprueba, las difunde, las guarda y las revisa, para que todas las personas trabajen con una única versión vigente y aprobada.</dc:description>
  <cp:lastModifiedBy>Un-named</cp:lastModifiedBy>
  <cp:revision>1</cp:revision>
  <dcterms:created xsi:type="dcterms:W3CDTF">2026-10-29T06:09:26.302Z</dcterms:created>
  <dcterms:modified xsi:type="dcterms:W3CDTF">2026-10-29T06:09:26.302Z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