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SALVAGUARDA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y Procedimiento de Salvaguarda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protege del daño a niñas, niños y adolescentes, a las personas adultas en situación de riesgo y a todas las personas con las que trabajamos, incluida la explotación, el abuso y el acoso sexuales, y qué hacemos cuando alguien plantea una preocupación.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de salvaguarda demuestra que ha reflexionado sobre cómo su trabajo podría dañar a las personas y qué hará al respecto. Financiadores, socios y reguladores la leen con más atención que cualquier otra política, porque protege a las personas con menos poder. Esta plantilla abarca a niñas, niños y adolescentes, a las personas adultas en situación de riesgo y la protección contra la explotación, el abuso y el acoso sexuales (EAAS), con un procedimiento centrado en la persona sobreviviente, un formulario de reporte y un mapa de derivación.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durante la debida diligencia; agencias de las Naciones Unidas y ONG internacionales antes de establecer una alianza; reguladores gubernamentales y organismos de registro; escuelas, centros de salud y socios comunitarios;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horas para adaptarla, más 2–3 horas para mapear los servicios de derivación locales; 30–45 minutos para que el órgano de gobierno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 lección 10.5 (salvaguarda)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contra el Acoso, la Intimidación y el Hostigamiento · Política y Procedimiento de Denuncia de Irregularidades · Nota sobre el Rol de Contacto Independiente · Procedimiento de Notificación de Incidentes · Procedimiento de Quejas y Retroalimentación · Formulario de Consentimiento para Fotos e Historias · Política de Protección de Datos · Política de Debida Diligencia de Socios y Control de Sanciones · Procedimiento de Contratación Segura · Procedimiento Disciplinario y de Reclamaciones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y Procedimiento de Salvaguarda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consultores, personal de los socios en nuestros proyectos y visitantes de nuestras actividades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[salvaguarda@tuorganizacion.org]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responder e informar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Formulario de reporte de una preocupación de salvaguarda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Mapa de la ruta de derivación</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describe lo que hacemos ahora y quién lo hace. La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salvaguarda.</w:t>
            </w:r>
            <w:r>
              <w:rPr>
                <w:rFonts w:ascii="Nunito Sans" w:cs="Nunito Sans" w:eastAsia="Nunito Sans" w:hAnsi="Nunito Sans"/>
                <w:color w:val="102E3B"/>
                <w:sz w:val="19"/>
                <w:szCs w:val="19"/>
              </w:rPr>
              <w:t xml:space="preserve"> Recibe las preocupaciones, decide las medidas de protección, realiza las derivaciones y lleva los registros que se describen aquí.</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suplente o contacto independiente.</w:t>
            </w:r>
            <w:r>
              <w:rPr>
                <w:rFonts w:ascii="Nunito Sans" w:cs="Nunito Sans" w:eastAsia="Nunito Sans" w:hAnsi="Nunito Sans"/>
                <w:color w:val="102E3B"/>
                <w:sz w:val="19"/>
                <w:szCs w:val="19"/>
              </w:rPr>
              <w:t xml:space="preserve"> Gestiona cualquier preocupación sobre la persona responsable de salvaguarda, o en la que esta esté implicada, y cubre los casos urgentes cuando no se pueda localizar a la persona responsable durante más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es el miembro del órgano de gobierno a cargo de la salvaguarda.</w:t>
            </w:r>
            <w:r>
              <w:rPr>
                <w:rFonts w:ascii="Nunito Sans" w:cs="Nunito Sans" w:eastAsia="Nunito Sans" w:hAnsi="Nunito Sans"/>
                <w:color w:val="102E3B"/>
                <w:sz w:val="19"/>
                <w:szCs w:val="19"/>
              </w:rPr>
              <w:t xml:space="preserve"> Recibe un resumen de los casos y comprueba que se cumple esta política.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cambian nuestras actividades y después de cualquier incidente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comprueba que han aceptado. En una organización muy pequeña, la persona fundadora suele ser la responsable de salvaguarda. En ese caso, la persona suplente debe ser alguien a quien la fundadora no dirija, como un miembro del órgano de gobierno o una persona de confianza ajena a la organización, para que una preocupación sobre la fundadora tenga un lugar seguro adonde ir. La Nota sobre el Rol de Contacto Independiente explica este rol. Elige como responsable a alguien localizable durante las actividades y que tenga, o vaya a recibir, una formación reconocida en salvaguarda.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Tenemos tolerancia cero con el abuso, la explotación, el acoso o la negligencia, y con no actuar ante una preocupación.</w:t>
            </w:r>
          </w:p>
          <w:p>
            <w:pPr>
              <w:pStyle w:val="ListParagraph"/>
              <w:numPr>
                <w:ilvl w:val="0"/>
                <w:numId w:val="3"/>
              </w:numPr>
              <w:spacing w:after="80" w:line="290"/>
            </w:pPr>
            <w:r>
              <w:rPr>
                <w:rFonts w:ascii="Nunito Sans" w:cs="Nunito Sans" w:eastAsia="Nunito Sans" w:hAnsi="Nunito Sans"/>
                <w:color w:val="102E3B"/>
                <w:sz w:val="19"/>
                <w:szCs w:val="19"/>
              </w:rPr>
              <w:t xml:space="preserve">Esta política protege a niñas, niños y adolescentes (toda persona menor de 18 años) y a las personas adultas en situación de riesgo, y protege a todas las personas contra la explotación, el abuso y el acoso sexuales.</w:t>
            </w:r>
          </w:p>
          <w:p>
            <w:pPr>
              <w:pStyle w:val="ListParagraph"/>
              <w:numPr>
                <w:ilvl w:val="0"/>
                <w:numId w:val="3"/>
              </w:numPr>
              <w:spacing w:after="80" w:line="290"/>
            </w:pPr>
            <w:r>
              <w:rPr>
                <w:rFonts w:ascii="Nunito Sans" w:cs="Nunito Sans" w:eastAsia="Nunito Sans" w:hAnsi="Nunito Sans"/>
                <w:color w:val="102E3B"/>
                <w:sz w:val="19"/>
                <w:szCs w:val="19"/>
              </w:rPr>
              <w:t xml:space="preserve">Seguimos los seis principios básicos del IASC. Ninguna actividad sexual con personas menores de 18 años. Ningún intercambio de ayuda, dinero o trabajo por sexo.</w:t>
            </w:r>
          </w:p>
          <w:p>
            <w:pPr>
              <w:pStyle w:val="ListParagraph"/>
              <w:numPr>
                <w:ilvl w:val="0"/>
                <w:numId w:val="3"/>
              </w:numPr>
              <w:spacing w:after="80" w:line="290"/>
            </w:pPr>
            <w:r>
              <w:rPr>
                <w:rFonts w:ascii="Nunito Sans" w:cs="Nunito Sans" w:eastAsia="Nunito Sans" w:hAnsi="Nunito Sans"/>
                <w:color w:val="102E3B"/>
                <w:sz w:val="19"/>
                <w:szCs w:val="19"/>
              </w:rPr>
              <w:t xml:space="preserve">Si alguien corre un peligro inmediato, contacte primero con los servicios de emergencia. Después, informe a la persona responsable de salvaguarda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No necesita pruebas.</w:t>
            </w:r>
          </w:p>
          <w:p>
            <w:pPr>
              <w:pStyle w:val="ListParagraph"/>
              <w:numPr>
                <w:ilvl w:val="0"/>
                <w:numId w:val="3"/>
              </w:numPr>
              <w:spacing w:after="80" w:line="290"/>
            </w:pPr>
            <w:r>
              <w:rPr>
                <w:rFonts w:ascii="Nunito Sans" w:cs="Nunito Sans" w:eastAsia="Nunito Sans" w:hAnsi="Nunito Sans"/>
                <w:color w:val="102E3B"/>
                <w:sz w:val="19"/>
                <w:szCs w:val="19"/>
              </w:rPr>
              <w:t xml:space="preserve">Si alguien le cuenta que ha sufrido un daño: escuche, tranquilice, no investigue y anote lo que dijo con sus propias palabras.</w:t>
            </w:r>
          </w:p>
          <w:p>
            <w:pPr>
              <w:pStyle w:val="ListParagraph"/>
              <w:numPr>
                <w:ilvl w:val="0"/>
                <w:numId w:val="3"/>
              </w:numPr>
              <w:spacing w:after="80" w:line="290"/>
            </w:pPr>
            <w:r>
              <w:rPr>
                <w:rFonts w:ascii="Nunito Sans" w:cs="Nunito Sans" w:eastAsia="Nunito Sans" w:hAnsi="Nunito Sans"/>
                <w:color w:val="102E3B"/>
                <w:sz w:val="19"/>
                <w:szCs w:val="19"/>
              </w:rPr>
              <w:t xml:space="preserve">Damos prioridad a la seguridad y los deseos de la persona sobreviviente. Cumplimos la ley sobre la notificación obligatoria y nunca derivamos a una persona adulta sobreviviente de una forma que la ponga en mayor riesgo.</w:t>
            </w:r>
          </w:p>
          <w:p>
            <w:pPr>
              <w:pStyle w:val="ListParagraph"/>
              <w:numPr>
                <w:ilvl w:val="0"/>
                <w:numId w:val="3"/>
              </w:numPr>
              <w:spacing w:after="80" w:line="290"/>
            </w:pPr>
            <w:r>
              <w:rPr>
                <w:rFonts w:ascii="Nunito Sans" w:cs="Nunito Sans" w:eastAsia="Nunito Sans" w:hAnsi="Nunito Sans"/>
                <w:color w:val="102E3B"/>
                <w:sz w:val="19"/>
                <w:szCs w:val="19"/>
              </w:rPr>
              <w:t xml:space="preserve">Contratamos de forma segura, formamos a nuestro equipo y exigimos las mismas normas a nuestros socios y contratistas.</w:t>
            </w:r>
          </w:p>
          <w:p>
            <w:pPr>
              <w:pStyle w:val="ListParagraph"/>
              <w:numPr>
                <w:ilvl w:val="0"/>
                <w:numId w:val="3"/>
              </w:numPr>
              <w:spacing w:after="80" w:line="290"/>
            </w:pPr>
            <w:r>
              <w:rPr>
                <w:rFonts w:ascii="Nunito Sans" w:cs="Nunito Sans" w:eastAsia="Nunito Sans" w:hAnsi="Nunito Sans"/>
                <w:color w:val="102E3B"/>
                <w:sz w:val="19"/>
                <w:szCs w:val="19"/>
              </w:rPr>
              <w:t xml:space="preserve">Las preocupaciones sobre la persona responsable de salvaguarda se dirigen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personal, las personas voluntarias y en prácticas, los miembros del órgano de gobierno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las personas asesoras, y los contratistas y consultores, incluidas las personas que conducen, traducen, fotografían o investigan. También se aplica al personal de los socios mientras ejecutan proyectos con nosotros, a través de nuestro acuerdo con el socio, y a visitantes como financiadores y periodistas mientras participan en nuestras actividades.</w:t>
      </w:r>
    </w:p>
    <w:p>
      <w:pPr>
        <w:spacing w:after="120" w:before="0" w:line="300"/>
      </w:pPr>
      <w:r>
        <w:rPr>
          <w:rFonts w:ascii="Nunito Sans" w:cs="Nunito Sans" w:eastAsia="Nunito Sans" w:hAnsi="Nunito Sans"/>
          <w:color w:val="102E3B"/>
          <w:sz w:val="20"/>
          <w:szCs w:val="20"/>
        </w:rPr>
        <w:t xml:space="preserve">Se aplica en nuestras oficinas y lugares de proyecto, en eventos, durante los viajes, en línea y fuera del horario laboral cuando su conducta pueda afectar a las personas a las que servimos, incluido el contacto que comenzó a través de nuestro trabajo y continuó en el ámbito privado.</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Cuando trabajamos en otros países, también cumplimos la ley que se aplica allí. Cuando esta política, la política de un socio o de un financiador y la ley difieren, seguimos la norma que ofrece más protección a las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PAÍSES</w:t>
            </w:r>
          </w:p>
          <w:p>
            <w:pPr>
              <w:spacing w:after="120" w:before="0" w:line="300"/>
            </w:pPr>
            <w:r>
              <w:rPr>
                <w:rFonts w:ascii="Nunito Sans" w:cs="Nunito Sans" w:eastAsia="Nunito Sans" w:hAnsi="Nunito Sans"/>
                <w:color w:val="102E3B"/>
                <w:sz w:val="19"/>
                <w:szCs w:val="19"/>
              </w:rPr>
              <w:t xml:space="preserve">Indica el país donde está registrada tu organización y cada país donde realizas actividades. Para cada uno, consulta con un abogado local o con el organismo de protección de la infancia: la definición legal de niño o niña y cualquier norma especial para jóvenes de 16 y 17 años; si alguien está obligado a denunciar una sospecha de abuso infantil (consulta el recuadro sobre notificación obligatoria); y si existen certificados de antecedentes penales y si se pueden solicitar legalmente para tus roles. Si trabajas en un solo país, elimina la segunda frase.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Niño, niña o adolescente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 persona menor de 18 años, sea cual sea la edad local de mayoría de edad o de consentimiento sexual, de acuerdo con la Convención sobre los Derechos del Niño de las Naciones Unidas (1989).</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adulta en situación de riesgo</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de 18 años o más que puede tener menos capacidad para protegerse del daño debido a sus circunstancias: por ejemplo, discapacidad, enfermedad, edad avanzada, trauma, desplazamiento, detención, pobreza extrema, estigma o dependencia de otras personas, incluida la dependencia de nosotros. Puede ser temporal y no significa que la persona no pueda tomar sus propias decisiones.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Abuso y daño</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Daño físico, sexual, emocional, económico y discriminatorio, negligencia y explotación, como el trabajo infantil o la trata, en persona o en línea.</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Explotación sexual</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Abusar de una situación de vulnerabilidad, poder o confianza con fines sexuales, incluido para obtener un beneficio económico, social o político.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Abuso sexual</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Intrusión física de carácter sexual, real o en forma de amenaza, por la fuerza o en condiciones de desigualdad o coerción. En el caso de niñas, niños y adolescentes, cualquier actividad sexual, mensajes o imágenes sexuales, o exposición a material sexual.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Acoso sexual</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Conducta no deseada de carácter sexual que atenta contra la dignidad de una persona o crea un entorno intimidatorio, hostil o humillante, también entre colegas.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EAAS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explotación, el abuso y el acoso sexuales en su conjunto.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Captación (grooming)</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Ganarse la confianza de un niño, niña o persona adulta, y a menudo de su familia, para abusar de ella o explotarla. Ocurre con frecuencia en línea.</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sobreviviente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ha sufrido el daño. Usamos la palabra que ella prefiera.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spacing w:after="120" w:before="0" w:line="300"/>
      </w:pPr>
      <w:r>
        <w:rPr>
          <w:rFonts w:ascii="Nunito Sans" w:cs="Nunito Sans" w:eastAsia="Nunito Sans" w:hAnsi="Nunito Sans"/>
          <w:color w:val="102E3B"/>
          <w:sz w:val="20"/>
          <w:szCs w:val="20"/>
        </w:rPr>
        <w:t xml:space="preserve">Damos prioridad a la seguridad, la dignidad y el interés superior de niñas, niños y adolescentes y de las personas adultas en situación de riesgo. Nuestra respuesta se centra en la persona sobreviviente: su seguridad, sus deseos, su confidencialidad y su dignidad guían lo que hacemos. Procuramos no causar daño, tampoco con nuestra respuesta. Prestamos especial atención a las personas a las que les cuesta más hacerse oír. La cultura nunca es una excusa para el daño.</w:t>
      </w:r>
    </w:p>
    <w:p>
      <w:pPr>
        <w:pStyle w:val="Heading2"/>
        <w:keepNext/>
        <w:spacing w:after="120" w:before="280"/>
      </w:pPr>
      <w:r>
        <w:rPr>
          <w:rFonts w:ascii="DM Serif Display" w:cs="DM Serif Display" w:eastAsia="DM Serif Display" w:hAnsi="DM Serif Display"/>
          <w:color w:val="123C48"/>
          <w:sz w:val="28"/>
          <w:szCs w:val="28"/>
        </w:rPr>
        <w:t xml:space="preserve">2. Protección contra la explotación, el abuso y el acoso sexuales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sigue los Seis Principios Básicos relativos a la Explotación y el Abuso Sexuales (2019) del Comité Permanente entre Organismos (IASC):</w:t>
      </w:r>
    </w:p>
    <w:p>
      <w:pPr>
        <w:pStyle w:val="ListParagraph"/>
        <w:numPr>
          <w:ilvl w:val="0"/>
          <w:numId w:val="4"/>
        </w:numPr>
        <w:spacing w:after="80" w:line="290"/>
      </w:pPr>
      <w:r>
        <w:rPr>
          <w:rFonts w:ascii="Nunito Sans" w:cs="Nunito Sans" w:eastAsia="Nunito Sans" w:hAnsi="Nunito Sans"/>
          <w:color w:val="102E3B"/>
          <w:sz w:val="20"/>
          <w:szCs w:val="20"/>
        </w:rPr>
        <w:t xml:space="preserve">La explotación y el abuso sexuales constituyen faltas muy graves y son motivo de despido o de terminación de cualquier acuerdo con nosotros.</w:t>
      </w:r>
    </w:p>
    <w:p>
      <w:pPr>
        <w:pStyle w:val="ListParagraph"/>
        <w:numPr>
          <w:ilvl w:val="0"/>
          <w:numId w:val="4"/>
        </w:numPr>
        <w:spacing w:after="80" w:line="290"/>
      </w:pPr>
      <w:r>
        <w:rPr>
          <w:rFonts w:ascii="Nunito Sans" w:cs="Nunito Sans" w:eastAsia="Nunito Sans" w:hAnsi="Nunito Sans"/>
          <w:color w:val="102E3B"/>
          <w:sz w:val="20"/>
          <w:szCs w:val="20"/>
        </w:rPr>
        <w:t xml:space="preserve">Se prohíbe la actividad sexual con cualquier persona menor de 18 años, sea cual sea la edad local de mayoría de edad o de consentimiento. Equivocarse sobre la edad no es una defensa.</w:t>
      </w:r>
    </w:p>
    <w:p>
      <w:pPr>
        <w:pStyle w:val="ListParagraph"/>
        <w:numPr>
          <w:ilvl w:val="0"/>
          <w:numId w:val="4"/>
        </w:numPr>
        <w:spacing w:after="80" w:line="290"/>
      </w:pPr>
      <w:r>
        <w:rPr>
          <w:rFonts w:ascii="Nunito Sans" w:cs="Nunito Sans" w:eastAsia="Nunito Sans" w:hAnsi="Nunito Sans"/>
          <w:color w:val="102E3B"/>
          <w:sz w:val="20"/>
          <w:szCs w:val="20"/>
        </w:rPr>
        <w:t xml:space="preserve">Se prohíbe intercambiar dinero, empleo, bienes, servicios o asistencia por sexo, favores sexuales o cualquier otro comportamiento humillante, degradante o de explotación. Esto incluye la asistencia que se debe a las personas a las que servimos. </w:t>
      </w:r>
      <w:r>
        <w:rPr>
          <w:rFonts w:ascii="Nunito Sans" w:cs="Nunito Sans" w:eastAsia="Nunito Sans" w:hAnsi="Nunito Sans"/>
          <w:color w:val="102E3B"/>
          <w:sz w:val="20"/>
          <w:szCs w:val="20"/>
          <w:highlight w:val="yellow"/>
        </w:rPr>
        <w:t xml:space="preserve">[También prohibimos pagar por sexo mientras se trabaja para nosotros, incluso donde sea legal.]</w:t>
      </w:r>
    </w:p>
    <w:p>
      <w:pPr>
        <w:pStyle w:val="ListParagraph"/>
        <w:numPr>
          <w:ilvl w:val="0"/>
          <w:numId w:val="4"/>
        </w:numPr>
        <w:spacing w:after="80" w:line="290"/>
      </w:pPr>
      <w:r>
        <w:rPr>
          <w:rFonts w:ascii="Nunito Sans" w:cs="Nunito Sans" w:eastAsia="Nunito Sans" w:hAnsi="Nunito Sans"/>
          <w:color w:val="102E3B"/>
          <w:sz w:val="20"/>
          <w:szCs w:val="20"/>
        </w:rPr>
        <w:t xml:space="preserve">Se prohíben las relaciones sexuales con las personas a las que servimos que impliquen un uso indebido del rango o la posición. Socavan la integridad de nuestro trabajo. Cualquier relación con una persona a la que servimos debe declararse a la persona responsable de salvaguarda.</w:t>
      </w:r>
    </w:p>
    <w:p>
      <w:pPr>
        <w:pStyle w:val="ListParagraph"/>
        <w:numPr>
          <w:ilvl w:val="0"/>
          <w:numId w:val="4"/>
        </w:numPr>
        <w:spacing w:after="80" w:line="290"/>
      </w:pPr>
      <w:r>
        <w:rPr>
          <w:rFonts w:ascii="Nunito Sans" w:cs="Nunito Sans" w:eastAsia="Nunito Sans" w:hAnsi="Nunito Sans"/>
          <w:color w:val="102E3B"/>
          <w:sz w:val="20"/>
          <w:szCs w:val="20"/>
        </w:rPr>
        <w:t xml:space="preserve">Cualquier persona que tenga una preocupación o sospecha sobre explotación o abuso sexuales por parte de alguien vinculado a nosotros debe informar de ello.</w:t>
      </w:r>
    </w:p>
    <w:p>
      <w:pPr>
        <w:pStyle w:val="ListParagraph"/>
        <w:numPr>
          <w:ilvl w:val="0"/>
          <w:numId w:val="4"/>
        </w:numPr>
        <w:spacing w:after="80" w:line="290"/>
      </w:pPr>
      <w:r>
        <w:rPr>
          <w:rFonts w:ascii="Nunito Sans" w:cs="Nunito Sans" w:eastAsia="Nunito Sans" w:hAnsi="Nunito Sans"/>
          <w:color w:val="102E3B"/>
          <w:sz w:val="20"/>
          <w:szCs w:val="20"/>
        </w:rPr>
        <w:t xml:space="preserve">Todas las personas deben ayudar a mantener un entorno que prevenga la explotación y el abuso sexuales. Las personas con funciones de dirección y los miembros del órgano de gobierno tienen un deber especial de crear y apoyar los sistemas que lo hacen posible.</w:t>
      </w:r>
    </w:p>
    <w:p>
      <w:pPr>
        <w:spacing w:after="120" w:before="0" w:line="300"/>
      </w:pPr>
      <w:r>
        <w:rPr>
          <w:rFonts w:ascii="Nunito Sans" w:cs="Nunito Sans" w:eastAsia="Nunito Sans" w:hAnsi="Nunito Sans"/>
          <w:color w:val="102E3B"/>
          <w:sz w:val="20"/>
          <w:szCs w:val="20"/>
        </w:rPr>
        <w:t xml:space="preserve">El acoso sexual a cualquier persona, incluidos colegas y personal de los socios, también incumple esta política. Nuestra Política y Procedimiento contra el Acoso, la Intimidación y el Hostigamiento explica cómo lo gestionamos entre colegas.</w:t>
      </w:r>
    </w:p>
    <w:p>
      <w:pPr>
        <w:pStyle w:val="Heading2"/>
        <w:keepNext/>
        <w:spacing w:after="120" w:before="280"/>
      </w:pPr>
      <w:r>
        <w:rPr>
          <w:rFonts w:ascii="DM Serif Display" w:cs="DM Serif Display" w:eastAsia="DM Serif Display" w:hAnsi="DM Serif Display"/>
          <w:color w:val="123C48"/>
          <w:sz w:val="28"/>
          <w:szCs w:val="28"/>
        </w:rPr>
        <w:t xml:space="preserve">3. Actividades seguras</w:t>
      </w:r>
    </w:p>
    <w:p>
      <w:pPr>
        <w:spacing w:after="120" w:before="0" w:line="300"/>
      </w:pPr>
      <w:r>
        <w:rPr>
          <w:rFonts w:ascii="Nunito Sans" w:cs="Nunito Sans" w:eastAsia="Nunito Sans" w:hAnsi="Nunito Sans"/>
          <w:color w:val="102E3B"/>
          <w:sz w:val="20"/>
          <w:szCs w:val="20"/>
        </w:rPr>
        <w:t xml:space="preserve">Antes de cualquier actividad con niñas, niños y adolescentes o con personas adultas en situación de riesgo, la persona responsable de la actividad y la persona responsable de salvaguarda completan una breve evaluación de riesgos: quién participa, quién tiene contacto con esas personas, qué información recopilamos, cómo pueden las personas participantes plantear una preocupación y adónde podemos derivar a alguien (Anexo B). Normas mínimas:</w:t>
      </w:r>
    </w:p>
    <w:p>
      <w:pPr>
        <w:pStyle w:val="ListParagraph"/>
        <w:numPr>
          <w:ilvl w:val="0"/>
          <w:numId w:val="3"/>
        </w:numPr>
        <w:spacing w:after="80" w:line="290"/>
      </w:pPr>
      <w:r>
        <w:rPr>
          <w:rFonts w:ascii="Nunito Sans" w:cs="Nunito Sans" w:eastAsia="Nunito Sans" w:hAnsi="Nunito Sans"/>
          <w:color w:val="102E3B"/>
          <w:sz w:val="20"/>
          <w:szCs w:val="20"/>
        </w:rPr>
        <w:t xml:space="preserve">Hay al menos dos personas adultas presentes, o la actividad se realiza a la vista de otras personas. Cualquier contacto individual se acuerda de antemano con la persona responsable de salvaguarda y se registra.</w:t>
      </w:r>
    </w:p>
    <w:p>
      <w:pPr>
        <w:pStyle w:val="ListParagraph"/>
        <w:numPr>
          <w:ilvl w:val="0"/>
          <w:numId w:val="3"/>
        </w:numPr>
        <w:spacing w:after="80" w:line="290"/>
      </w:pPr>
      <w:r>
        <w:rPr>
          <w:rFonts w:ascii="Nunito Sans" w:cs="Nunito Sans" w:eastAsia="Nunito Sans" w:hAnsi="Nunito Sans"/>
          <w:color w:val="102E3B"/>
          <w:sz w:val="20"/>
          <w:szCs w:val="20"/>
        </w:rPr>
        <w:t xml:space="preserve">Ningún niño, niña o adolescente se queda con una persona voluntaria o visitante que no haya pasado por el proceso de contratación segura.</w:t>
      </w:r>
    </w:p>
    <w:p>
      <w:pPr>
        <w:pStyle w:val="ListParagraph"/>
        <w:numPr>
          <w:ilvl w:val="0"/>
          <w:numId w:val="3"/>
        </w:numPr>
        <w:spacing w:after="80" w:line="290"/>
      </w:pPr>
      <w:r>
        <w:rPr>
          <w:rFonts w:ascii="Nunito Sans" w:cs="Nunito Sans" w:eastAsia="Nunito Sans" w:hAnsi="Nunito Sans"/>
          <w:color w:val="102E3B"/>
          <w:sz w:val="20"/>
          <w:szCs w:val="20"/>
        </w:rPr>
        <w:t xml:space="preserve">Obtenemos el consentimiento informado de las personas participantes, y de un padre, madre o tutor en el caso de niñas, niños y adolescentes, antes de las actividades, de tomar fotografías o de recopilar datos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No transportamos a las personas participantes en vehículos privados, salvo que la persona responsable de salvaguarda lo autorice y haya una segunda persona adulta presente.</w:t>
      </w:r>
    </w:p>
    <w:p>
      <w:pPr>
        <w:pStyle w:val="ListParagraph"/>
        <w:numPr>
          <w:ilvl w:val="0"/>
          <w:numId w:val="3"/>
        </w:numPr>
        <w:spacing w:after="80" w:line="290"/>
      </w:pPr>
      <w:r>
        <w:rPr>
          <w:rFonts w:ascii="Nunito Sans" w:cs="Nunito Sans" w:eastAsia="Nunito Sans" w:hAnsi="Nunito Sans"/>
          <w:color w:val="102E3B"/>
          <w:sz w:val="20"/>
          <w:szCs w:val="20"/>
        </w:rPr>
        <w:t xml:space="preserve">No organizamos visitas a centros residenciales de acogida de menores ni voluntariados de corta duración en orfanatos.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TUS ACTIVIDADES</w:t>
            </w:r>
          </w:p>
          <w:p>
            <w:pPr>
              <w:spacing w:after="120" w:before="0" w:line="300"/>
            </w:pPr>
            <w:r>
              <w:rPr>
                <w:rFonts w:ascii="Nunito Sans" w:cs="Nunito Sans" w:eastAsia="Nunito Sans" w:hAnsi="Nunito Sans"/>
                <w:color w:val="102E3B"/>
                <w:sz w:val="19"/>
                <w:szCs w:val="19"/>
              </w:rPr>
              <w:t xml:space="preserve">Conserva las normas que correspondan a lo que haces y añade normas para tu contexto: viajes con pernoctación, visitas a domicilios, deporte, sesiones de salud, distribuciones o trabajo en campamentos o centros de detención. Si no tienes contacto directo con niñas, niños y adolescentes ni con personas adultas en situación de riesgo (por ejemplo, si solo financias o formas a otras organizaciones), indícalo, pero mantén el deber de informar y las normas para socios de la sección 7. Añade los riesgos de salvaguarda a tu Registro de Riesgos.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Contratación segura</w:t>
      </w:r>
    </w:p>
    <w:p>
      <w:pPr>
        <w:spacing w:after="120" w:before="0" w:line="300"/>
      </w:pPr>
      <w:r>
        <w:rPr>
          <w:rFonts w:ascii="Nunito Sans" w:cs="Nunito Sans" w:eastAsia="Nunito Sans" w:hAnsi="Nunito Sans"/>
          <w:color w:val="102E3B"/>
          <w:sz w:val="20"/>
          <w:szCs w:val="20"/>
        </w:rPr>
        <w:t xml:space="preserve">Para cada rol, remunerado o no, que implique contacto con niñas, niños y adolescentes o con personas adultas en situación de riesgo, o acceso a su información personal:</w:t>
      </w:r>
    </w:p>
    <w:p>
      <w:pPr>
        <w:pStyle w:val="ListParagraph"/>
        <w:numPr>
          <w:ilvl w:val="0"/>
          <w:numId w:val="5"/>
        </w:numPr>
        <w:spacing w:after="80" w:line="290"/>
      </w:pPr>
      <w:r>
        <w:rPr>
          <w:rFonts w:ascii="Nunito Sans" w:cs="Nunito Sans" w:eastAsia="Nunito Sans" w:hAnsi="Nunito Sans"/>
          <w:color w:val="102E3B"/>
          <w:sz w:val="20"/>
          <w:szCs w:val="20"/>
        </w:rPr>
        <w:t xml:space="preserve">declaramos nuestro compromiso con la salvaguarda en el anuncio y en la descripción del rol, y hacemos una pregunta sobre salvaguarda en la entrevista;</w:t>
      </w:r>
    </w:p>
    <w:p>
      <w:pPr>
        <w:pStyle w:val="ListParagraph"/>
        <w:numPr>
          <w:ilvl w:val="0"/>
          <w:numId w:val="5"/>
        </w:numPr>
        <w:spacing w:after="80" w:line="290"/>
      </w:pPr>
      <w:r>
        <w:rPr>
          <w:rFonts w:ascii="Nunito Sans" w:cs="Nunito Sans" w:eastAsia="Nunito Sans" w:hAnsi="Nunito Sans"/>
          <w:color w:val="102E3B"/>
          <w:sz w:val="20"/>
          <w:szCs w:val="20"/>
        </w:rPr>
        <w:t xml:space="preserve">pedimos una autodeclaración firmada de que la persona candidata no ha sido despedida ni condenada, ni ha dejado un puesto durante una investigación, por explotación, abuso o acoso sexuales o por delitos contra niñas, niños y adolescentes o personas adultas en situación de riesgo, y de que no tiene prohibido realizar ese tipo de trabajo;</w:t>
      </w:r>
    </w:p>
    <w:p>
      <w:pPr>
        <w:pStyle w:val="ListParagraph"/>
        <w:numPr>
          <w:ilvl w:val="0"/>
          <w:numId w:val="5"/>
        </w:numPr>
        <w:spacing w:after="80" w:line="290"/>
      </w:pPr>
      <w:r>
        <w:rPr>
          <w:rFonts w:ascii="Nunito Sans" w:cs="Nunito Sans" w:eastAsia="Nunito Sans" w:hAnsi="Nunito Sans"/>
          <w:color w:val="102E3B"/>
          <w:sz w:val="20"/>
          <w:szCs w:val="20"/>
        </w:rPr>
        <w:t xml:space="preserve">solicitamos al menos dos referencias, una de ellas del empleador más reciente, y preguntamos directamente a quienes dan las referencias si la persona candidata fue investigada por explotación, abuso o acoso sexuales, o si se determinó que los había cometido;</w:t>
      </w:r>
    </w:p>
    <w:p>
      <w:pPr>
        <w:pStyle w:val="ListParagraph"/>
        <w:numPr>
          <w:ilvl w:val="0"/>
          <w:numId w:val="5"/>
        </w:numPr>
        <w:spacing w:after="80" w:line="290"/>
      </w:pPr>
      <w:r>
        <w:rPr>
          <w:rFonts w:ascii="Nunito Sans" w:cs="Nunito Sans" w:eastAsia="Nunito Sans" w:hAnsi="Nunito Sans"/>
          <w:color w:val="102E3B"/>
          <w:sz w:val="20"/>
          <w:szCs w:val="20"/>
        </w:rPr>
        <w:t xml:space="preserve">verificamos la identidad y, cuando sean relevantes, las titulaciones;</w:t>
      </w:r>
    </w:p>
    <w:p>
      <w:pPr>
        <w:pStyle w:val="ListParagraph"/>
        <w:numPr>
          <w:ilvl w:val="0"/>
          <w:numId w:val="5"/>
        </w:numPr>
        <w:spacing w:after="80" w:line="290"/>
      </w:pPr>
      <w:r>
        <w:rPr>
          <w:rFonts w:ascii="Nunito Sans" w:cs="Nunito Sans" w:eastAsia="Nunito Sans" w:hAnsi="Nunito Sans"/>
          <w:color w:val="102E3B"/>
          <w:sz w:val="20"/>
          <w:szCs w:val="20"/>
        </w:rPr>
        <w:t xml:space="preserve">solicitamos un certificado policial o de antecedentes penales cuando exista, sea legal y razonablemente fiable;</w:t>
      </w:r>
    </w:p>
    <w:p>
      <w:pPr>
        <w:pStyle w:val="ListParagraph"/>
        <w:numPr>
          <w:ilvl w:val="0"/>
          <w:numId w:val="5"/>
        </w:numPr>
        <w:spacing w:after="80" w:line="290"/>
      </w:pPr>
      <w:r>
        <w:rPr>
          <w:rFonts w:ascii="Nunito Sans" w:cs="Nunito Sans" w:eastAsia="Nunito Sans" w:hAnsi="Nunito Sans"/>
          <w:color w:val="102E3B"/>
          <w:sz w:val="20"/>
          <w:szCs w:val="20"/>
        </w:rPr>
        <w:t xml:space="preserve">nos aseguramos de que la persona firme esta política y el Código de Conducta y complete la inducción antes de empezar un trabajo que implique contacto.</w:t>
      </w:r>
    </w:p>
    <w:p>
      <w:pPr>
        <w:spacing w:after="120" w:before="0" w:line="300"/>
      </w:pPr>
      <w:r>
        <w:rPr>
          <w:rFonts w:ascii="Nunito Sans" w:cs="Nunito Sans" w:eastAsia="Nunito Sans" w:hAnsi="Nunito Sans"/>
          <w:color w:val="102E3B"/>
          <w:sz w:val="20"/>
          <w:szCs w:val="20"/>
        </w:rPr>
        <w:t xml:space="preserve">Seguimos los principios del Misconduct Disclosure Scheme (sistema de divulgación de conductas indebidas): cuando se nos piden referencias, compartimos las conclusiones confirmadas de explotación, abuso o acoso sexuales cuando la ley lo permite. Ninguna verificación es una garantía. La supervisión y una cultura en la que se alza la voz importan igual. Nuestro Procedimiento de Contratación Segura describe cada paso, con listas de verificación, una solicitud de referencias y un formulario de autodeclaración.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CERTIFICADOS POLICIALES POR PAÍS</w:t>
            </w:r>
          </w:p>
          <w:p>
            <w:pPr>
              <w:spacing w:after="120" w:before="0" w:line="300"/>
            </w:pPr>
            <w:r>
              <w:rPr>
                <w:rFonts w:ascii="Nunito Sans" w:cs="Nunito Sans" w:eastAsia="Nunito Sans" w:hAnsi="Nunito Sans"/>
                <w:color w:val="102E3B"/>
                <w:sz w:val="19"/>
                <w:szCs w:val="19"/>
              </w:rPr>
              <w:t xml:space="preserve">Decide qué roles necesitan un certificado y de qué país. Notas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certificados del Disclosure and Barring Service (DBS); certificados ampliados con consulta de las listas de inhabilitación solo para los roles que reúnan los requisitos.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un Police Clearance Certificate (a menudo llamado Certificate of Good Conduct) expedido por la Directorate of Criminal Investigations.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 certificado de antecedentes policiales, más la consulta del National Child Protection Register y del National Register for Sex Offenders para las personas que trabajan con niñas, niños y adolescentes. Comprueba tus obligaciones actuales en virtud de la Children's Act 38 of 2005.</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y Brasil:</w:t>
            </w:r>
            <w:r>
              <w:rPr>
                <w:rFonts w:ascii="Nunito Sans" w:cs="Nunito Sans" w:eastAsia="Nunito Sans" w:hAnsi="Nunito Sans"/>
                <w:color w:val="102E3B"/>
                <w:sz w:val="19"/>
                <w:szCs w:val="19"/>
              </w:rPr>
              <w:t xml:space="preserve"> la verificación policial y los certificados de antecedentes penales los expiden autoridades estatales (y en Brasil también federales); los procesos varían.</w:t>
            </w:r>
          </w:p>
          <w:p>
            <w:pPr>
              <w:spacing w:after="120" w:before="0" w:line="300"/>
            </w:pPr>
            <w:r>
              <w:rPr>
                <w:rFonts w:ascii="Nunito Sans" w:cs="Nunito Sans" w:eastAsia="Nunito Sans" w:hAnsi="Nunito Sans"/>
                <w:color w:val="102E3B"/>
                <w:sz w:val="19"/>
                <w:szCs w:val="19"/>
              </w:rPr>
              <w:t xml:space="preserve">Donde las verificaciones no sean fiables o no estén disponibles, apóyate más en las referencias, la autodeclaración y la supervisión, y deja constancia del motivo. Los datos sobre antecedentes penales son muy sensibles según la mayoría de las leyes de protección de datos: recopila solo lo que necesites y elimínalos después de tomar la decisión.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Comportamiento, seguridad en línea e imágenes</w:t>
      </w:r>
    </w:p>
    <w:p>
      <w:pPr>
        <w:spacing w:after="120" w:before="0" w:line="300"/>
      </w:pPr>
      <w:r>
        <w:rPr>
          <w:rFonts w:ascii="Nunito Sans" w:cs="Nunito Sans" w:eastAsia="Nunito Sans" w:hAnsi="Nunito Sans"/>
          <w:color w:val="102E3B"/>
          <w:sz w:val="20"/>
          <w:szCs w:val="20"/>
        </w:rPr>
        <w:t xml:space="preserve">Todas las personas siguen nuestro Código de Conducta, que establece el comportamiento que esperamos. El daño también puede producirse a través de teléfonos, aplicaciones de mensajería y redes sociales. Nosotros:</w:t>
      </w:r>
    </w:p>
    <w:p>
      <w:pPr>
        <w:pStyle w:val="ListParagraph"/>
        <w:numPr>
          <w:ilvl w:val="0"/>
          <w:numId w:val="3"/>
        </w:numPr>
        <w:spacing w:after="80" w:line="290"/>
      </w:pPr>
      <w:r>
        <w:rPr>
          <w:rFonts w:ascii="Nunito Sans" w:cs="Nunito Sans" w:eastAsia="Nunito Sans" w:hAnsi="Nunito Sans"/>
          <w:color w:val="102E3B"/>
          <w:sz w:val="20"/>
          <w:szCs w:val="20"/>
        </w:rPr>
        <w:t xml:space="preserve">usamos cuentas y equipos de la organización para comunicarnos con niñas, niños y adolescentes o con personas adultas en situación de riesgo. Cuando se necesite una aplicación de mensajería, la persona responsable de salvaguarda decide cuál y un segundo miembro del equipo forma parte del grupo;</w:t>
      </w:r>
    </w:p>
    <w:p>
      <w:pPr>
        <w:pStyle w:val="ListParagraph"/>
        <w:numPr>
          <w:ilvl w:val="0"/>
          <w:numId w:val="3"/>
        </w:numPr>
        <w:spacing w:after="80" w:line="290"/>
      </w:pPr>
      <w:r>
        <w:rPr>
          <w:rFonts w:ascii="Nunito Sans" w:cs="Nunito Sans" w:eastAsia="Nunito Sans" w:hAnsi="Nunito Sans"/>
          <w:color w:val="102E3B"/>
          <w:sz w:val="20"/>
          <w:szCs w:val="20"/>
        </w:rPr>
        <w:t xml:space="preserve">nunca contactamos con niñas, niños y adolescentes mediante mensajes privados o redes sociales personales, ni los seguimos desde cuentas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realizamos las sesiones en línea con niñas, niños y adolescentes con dos personas adultas, el consentimiento de sus padres o tutores y un chat moderado, y solo las grabamos con consentimiento y con un fin claro;</w:t>
      </w:r>
    </w:p>
    <w:p>
      <w:pPr>
        <w:pStyle w:val="ListParagraph"/>
        <w:numPr>
          <w:ilvl w:val="0"/>
          <w:numId w:val="3"/>
        </w:numPr>
        <w:spacing w:after="80" w:line="290"/>
      </w:pPr>
      <w:r>
        <w:rPr>
          <w:rFonts w:ascii="Nunito Sans" w:cs="Nunito Sans" w:eastAsia="Nunito Sans" w:hAnsi="Nunito Sans"/>
          <w:color w:val="102E3B"/>
          <w:sz w:val="20"/>
          <w:szCs w:val="20"/>
        </w:rPr>
        <w:t xml:space="preserve">desactivamos las etiquetas de ubicación y nunca publicamos nada que revele dónde se puede encontrar a un niño o niña, a una persona sobreviviente o un refugio;</w:t>
      </w:r>
    </w:p>
    <w:p>
      <w:pPr>
        <w:pStyle w:val="ListParagraph"/>
        <w:numPr>
          <w:ilvl w:val="0"/>
          <w:numId w:val="3"/>
        </w:numPr>
        <w:spacing w:after="80" w:line="290"/>
      </w:pPr>
      <w:r>
        <w:rPr>
          <w:rFonts w:ascii="Nunito Sans" w:cs="Nunito Sans" w:eastAsia="Nunito Sans" w:hAnsi="Nunito Sans"/>
          <w:color w:val="102E3B"/>
          <w:sz w:val="20"/>
          <w:szCs w:val="20"/>
        </w:rPr>
        <w:t xml:space="preserve">nunca introducimos nombres, historias, imágenes o detalles de casos de niñas, niños y adolescentes, personas sobrevivientes o personas adultas en situación de riesgo en herramientas de IA o servicios en línea que no hayamos aprobado.</w:t>
      </w:r>
    </w:p>
    <w:p>
      <w:pPr>
        <w:spacing w:after="120" w:before="0" w:line="300"/>
      </w:pPr>
      <w:r>
        <w:rPr>
          <w:rFonts w:ascii="Nunito Sans" w:cs="Nunito Sans" w:eastAsia="Nunito Sans" w:hAnsi="Nunito Sans"/>
          <w:color w:val="102E3B"/>
          <w:sz w:val="20"/>
          <w:szCs w:val="20"/>
        </w:rPr>
        <w:t xml:space="preserve">Contamos las historias de las personas solo con su consentimiento informado, mediante nuestro Formulario de Consentimiento para Fotos e Historias, y nunca de una forma que pueda identificar a un niño o niña en riesgo o poner en peligro a nadie. Informe de los daños en línea, incluida la captación (grooming), la sextorsión (amenazas de difundir imágenes sexuales si la persona no paga o hace algo) y la difusión de imágenes íntimas, como de cualquier otra preocupación.</w:t>
      </w:r>
    </w:p>
    <w:p>
      <w:pPr>
        <w:pStyle w:val="Heading2"/>
        <w:keepNext/>
        <w:spacing w:after="120" w:before="280"/>
      </w:pPr>
      <w:r>
        <w:rPr>
          <w:rFonts w:ascii="DM Serif Display" w:cs="DM Serif Display" w:eastAsia="DM Serif Display" w:hAnsi="DM Serif Display"/>
          <w:color w:val="123C48"/>
          <w:sz w:val="28"/>
          <w:szCs w:val="28"/>
        </w:rPr>
        <w:t xml:space="preserve">6. Formación</w:t>
      </w:r>
    </w:p>
    <w:p>
      <w:pPr>
        <w:spacing w:after="120" w:before="0" w:line="300"/>
      </w:pPr>
      <w:r>
        <w:rPr>
          <w:rFonts w:ascii="Nunito Sans" w:cs="Nunito Sans" w:eastAsia="Nunito Sans" w:hAnsi="Nunito Sans"/>
          <w:color w:val="102E3B"/>
          <w:sz w:val="20"/>
          <w:szCs w:val="20"/>
        </w:rPr>
        <w:t xml:space="preserve">Todas las personas completan la inducción en salvaguarda en </w:t>
      </w:r>
      <w:r>
        <w:rPr>
          <w:rFonts w:ascii="Nunito Sans" w:cs="Nunito Sans" w:eastAsia="Nunito Sans" w:hAnsi="Nunito Sans"/>
          <w:color w:val="102E3B"/>
          <w:sz w:val="20"/>
          <w:szCs w:val="20"/>
          <w:highlight w:val="yellow"/>
        </w:rPr>
        <w:t xml:space="preserve">[sus dos primeras semanas]</w:t>
      </w:r>
      <w:r>
        <w:rPr>
          <w:rFonts w:ascii="Nunito Sans" w:cs="Nunito Sans" w:eastAsia="Nunito Sans" w:hAnsi="Nunito Sans"/>
          <w:color w:val="102E3B"/>
          <w:sz w:val="20"/>
          <w:szCs w:val="20"/>
        </w:rPr>
        <w:t xml:space="preserve">, antes de realizar un trabajo de contacto sin supervisión, y un breve curso de actualización cada año. La persona responsable de salvaguarda y su suplente completan una formación reconocida y la renuevan cada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Informamos a las personas a las que servimos, en su idioma y en un formato accesible, del comportamiento que pueden esperar de nosotros, de que nuestra ayuda es gratuita y de cómo plantear una preocupación.</w:t>
      </w:r>
    </w:p>
    <w:p>
      <w:pPr>
        <w:pStyle w:val="Heading2"/>
        <w:keepNext/>
        <w:spacing w:after="120" w:before="280"/>
      </w:pPr>
      <w:r>
        <w:rPr>
          <w:rFonts w:ascii="DM Serif Display" w:cs="DM Serif Display" w:eastAsia="DM Serif Display" w:hAnsi="DM Serif Display"/>
          <w:color w:val="123C48"/>
          <w:sz w:val="28"/>
          <w:szCs w:val="28"/>
        </w:rPr>
        <w:t xml:space="preserve">7. Socios, contratistas y proveedores</w:t>
      </w:r>
    </w:p>
    <w:p>
      <w:pPr>
        <w:spacing w:after="120" w:before="0" w:line="300"/>
      </w:pPr>
      <w:r>
        <w:rPr>
          <w:rFonts w:ascii="Nunito Sans" w:cs="Nunito Sans" w:eastAsia="Nunito Sans" w:hAnsi="Nunito Sans"/>
          <w:color w:val="102E3B"/>
          <w:sz w:val="20"/>
          <w:szCs w:val="20"/>
        </w:rPr>
        <w:t xml:space="preserve">Nuestras normas se aplican a todas las personas que trabajan en nuestros proyectos. Comprobamos las medidas de salvaguarda de los socios conforme a nuestra Política de Debida Diligencia de Socios y Control de Sanciones. Nuestros acuerdos exigen que los socios, los subreceptores de subvenciones y los contratistas:</w:t>
      </w:r>
    </w:p>
    <w:p>
      <w:pPr>
        <w:pStyle w:val="ListParagraph"/>
        <w:numPr>
          <w:ilvl w:val="0"/>
          <w:numId w:val="6"/>
        </w:numPr>
        <w:spacing w:after="80" w:line="290"/>
      </w:pPr>
      <w:r>
        <w:rPr>
          <w:rFonts w:ascii="Nunito Sans" w:cs="Nunito Sans" w:eastAsia="Nunito Sans" w:hAnsi="Nunito Sans"/>
          <w:color w:val="102E3B"/>
          <w:sz w:val="20"/>
          <w:szCs w:val="20"/>
        </w:rPr>
        <w:t xml:space="preserve">sigan esta política, o la suya propia si es al menos igual de sólida, y los seis principios básicos del IASC;</w:t>
      </w:r>
    </w:p>
    <w:p>
      <w:pPr>
        <w:pStyle w:val="ListParagraph"/>
        <w:numPr>
          <w:ilvl w:val="0"/>
          <w:numId w:val="6"/>
        </w:numPr>
        <w:spacing w:after="80" w:line="290"/>
      </w:pPr>
      <w:r>
        <w:rPr>
          <w:rFonts w:ascii="Nunito Sans" w:cs="Nunito Sans" w:eastAsia="Nunito Sans" w:hAnsi="Nunito Sans"/>
          <w:color w:val="102E3B"/>
          <w:sz w:val="20"/>
          <w:szCs w:val="20"/>
        </w:rPr>
        <w:t xml:space="preserve">designen un punto focal de salvaguarda y apliquen la contratación segura en nuestros proyectos;</w:t>
      </w:r>
    </w:p>
    <w:p>
      <w:pPr>
        <w:pStyle w:val="ListParagraph"/>
        <w:numPr>
          <w:ilvl w:val="0"/>
          <w:numId w:val="6"/>
        </w:numPr>
        <w:spacing w:after="80" w:line="290"/>
      </w:pPr>
      <w:r>
        <w:rPr>
          <w:rFonts w:ascii="Nunito Sans" w:cs="Nunito Sans" w:eastAsia="Nunito Sans" w:hAnsi="Nunito Sans"/>
          <w:color w:val="102E3B"/>
          <w:sz w:val="20"/>
          <w:szCs w:val="20"/>
        </w:rPr>
        <w:t xml:space="preserve">nos informen de cualquier preocupación de salvaguarda relacionada con nuestro trabajo en un plazo de </w:t>
      </w:r>
      <w:r>
        <w:rPr>
          <w:rFonts w:ascii="Nunito Sans" w:cs="Nunito Sans" w:eastAsia="Nunito Sans" w:hAnsi="Nunito Sans"/>
          <w:color w:val="102E3B"/>
          <w:sz w:val="20"/>
          <w:szCs w:val="20"/>
          <w:highlight w:val="yellow"/>
        </w:rPr>
        <w:t xml:space="preserve">[24 horas / 48 horas]</w:t>
      </w:r>
      <w:r>
        <w:rPr>
          <w:rFonts w:ascii="Nunito Sans" w:cs="Nunito Sans" w:eastAsia="Nunito Sans" w:hAnsi="Nunito Sans"/>
          <w:color w:val="102E3B"/>
          <w:sz w:val="20"/>
          <w:szCs w:val="20"/>
        </w:rPr>
        <w:t xml:space="preserve">, protegiendo la identidad de la persona sobreviviente;</w:t>
      </w:r>
    </w:p>
    <w:p>
      <w:pPr>
        <w:pStyle w:val="ListParagraph"/>
        <w:numPr>
          <w:ilvl w:val="0"/>
          <w:numId w:val="6"/>
        </w:numPr>
        <w:spacing w:after="80" w:line="290"/>
      </w:pPr>
      <w:r>
        <w:rPr>
          <w:rFonts w:ascii="Nunito Sans" w:cs="Nunito Sans" w:eastAsia="Nunito Sans" w:hAnsi="Nunito Sans"/>
          <w:color w:val="102E3B"/>
          <w:sz w:val="20"/>
          <w:szCs w:val="20"/>
        </w:rPr>
        <w:t xml:space="preserve">cooperen con cualquier revisión y acepten que podamos poner fin al acuerdo por un incumplimiento;</w:t>
      </w:r>
    </w:p>
    <w:p>
      <w:pPr>
        <w:pStyle w:val="ListParagraph"/>
        <w:numPr>
          <w:ilvl w:val="0"/>
          <w:numId w:val="6"/>
        </w:numPr>
        <w:spacing w:after="80" w:line="290"/>
      </w:pPr>
      <w:r>
        <w:rPr>
          <w:rFonts w:ascii="Nunito Sans" w:cs="Nunito Sans" w:eastAsia="Nunito Sans" w:hAnsi="Nunito Sans"/>
          <w:color w:val="102E3B"/>
          <w:sz w:val="20"/>
          <w:szCs w:val="20"/>
        </w:rPr>
        <w:t xml:space="preserve">trasladen los mismos requisitos a cualquier persona o entidad que subcontraten.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TRASLADO DE REQUISITOS A LOS SOCIOS</w:t>
            </w:r>
          </w:p>
          <w:p>
            <w:pPr>
              <w:spacing w:after="120" w:before="0" w:line="300"/>
            </w:pPr>
            <w:r>
              <w:rPr>
                <w:rFonts w:ascii="Nunito Sans" w:cs="Nunito Sans" w:eastAsia="Nunito Sans" w:hAnsi="Nunito Sans"/>
                <w:color w:val="102E3B"/>
                <w:sz w:val="19"/>
                <w:szCs w:val="19"/>
              </w:rPr>
              <w:t xml:space="preserve">Ajusta el requisito al socio. Un grupo comunitario que organiza un evento puntual puede necesitar solo un código de conducta firmado y una sesión informativa. Un subreceptor que trabaja con niñas, niños y adolescentes necesita una política completa, un punto focal y obligaciones de notificación incluidas en el Acuerdo de Subvención a Socios. Revisa las condiciones de tus financiadores: muchos financiadores institucionales exigen que las cláusulas de salvaguarda se trasladen a todos los socios de la cadena, a veces con plazos de notificación fijos.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responder e informar</w:t>
      </w:r>
    </w:p>
    <w:p>
      <w:pPr>
        <w:pStyle w:val="Heading2"/>
        <w:keepNext/>
        <w:spacing w:after="120" w:before="280"/>
      </w:pPr>
      <w:r>
        <w:rPr>
          <w:rFonts w:ascii="DM Serif Display" w:cs="DM Serif Display" w:eastAsia="DM Serif Display" w:hAnsi="DM Serif Display"/>
          <w:color w:val="123C48"/>
          <w:sz w:val="28"/>
          <w:szCs w:val="28"/>
        </w:rPr>
        <w:t xml:space="preserve">8. Si alguien corre un peligro inmediato</w:t>
      </w:r>
    </w:p>
    <w:p>
      <w:pPr>
        <w:spacing w:after="120" w:before="0" w:line="300"/>
      </w:pPr>
      <w:r>
        <w:rPr>
          <w:rFonts w:ascii="Nunito Sans" w:cs="Nunito Sans" w:eastAsia="Nunito Sans" w:hAnsi="Nunito Sans"/>
          <w:color w:val="102E3B"/>
          <w:sz w:val="20"/>
          <w:szCs w:val="20"/>
        </w:rPr>
        <w:t xml:space="preserve">Contacte con los servicios de emergencia en el </w:t>
      </w:r>
      <w:r>
        <w:rPr>
          <w:rFonts w:ascii="Nunito Sans" w:cs="Nunito Sans" w:eastAsia="Nunito Sans" w:hAnsi="Nunito Sans"/>
          <w:color w:val="102E3B"/>
          <w:sz w:val="20"/>
          <w:szCs w:val="20"/>
          <w:highlight w:val="yellow"/>
        </w:rPr>
        <w:t xml:space="preserve">[número de emergencia local]</w:t>
      </w:r>
      <w:r>
        <w:rPr>
          <w:rFonts w:ascii="Nunito Sans" w:cs="Nunito Sans" w:eastAsia="Nunito Sans" w:hAnsi="Nunito Sans"/>
          <w:color w:val="102E3B"/>
          <w:sz w:val="20"/>
          <w:szCs w:val="20"/>
        </w:rPr>
        <w:t xml:space="preserve">, o lleve a la persona a </w:t>
      </w:r>
      <w:r>
        <w:rPr>
          <w:rFonts w:ascii="Nunito Sans" w:cs="Nunito Sans" w:eastAsia="Nunito Sans" w:hAnsi="Nunito Sans"/>
          <w:color w:val="102E3B"/>
          <w:sz w:val="20"/>
          <w:szCs w:val="20"/>
          <w:highlight w:val="yellow"/>
        </w:rPr>
        <w:t xml:space="preserve">[centro de salud más cercano]</w:t>
      </w:r>
      <w:r>
        <w:rPr>
          <w:rFonts w:ascii="Nunito Sans" w:cs="Nunito Sans" w:eastAsia="Nunito Sans" w:hAnsi="Nunito Sans"/>
          <w:color w:val="102E3B"/>
          <w:sz w:val="20"/>
          <w:szCs w:val="20"/>
        </w:rPr>
        <w:t xml:space="preserve">, si es seguro para usted y para ella. Después, informe a la persona responsable de salvaguarda en un plazo de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Si alguien le cuenta que ha sufrido un daño</w:t>
      </w:r>
    </w:p>
    <w:p>
      <w:pPr>
        <w:pStyle w:val="ListParagraph"/>
        <w:numPr>
          <w:ilvl w:val="0"/>
          <w:numId w:val="3"/>
        </w:numPr>
        <w:spacing w:after="80" w:line="290"/>
      </w:pPr>
      <w:r>
        <w:rPr>
          <w:rFonts w:ascii="Nunito Sans" w:cs="Nunito Sans" w:eastAsia="Nunito Sans" w:hAnsi="Nunito Sans"/>
          <w:b/>
          <w:bCs/>
          <w:color w:val="102E3B"/>
          <w:sz w:val="20"/>
          <w:szCs w:val="20"/>
        </w:rPr>
        <w:t xml:space="preserve">Escuche</w:t>
      </w:r>
      <w:r>
        <w:rPr>
          <w:rFonts w:ascii="Nunito Sans" w:cs="Nunito Sans" w:eastAsia="Nunito Sans" w:hAnsi="Nunito Sans"/>
          <w:color w:val="102E3B"/>
          <w:sz w:val="20"/>
          <w:szCs w:val="20"/>
        </w:rPr>
        <w:t xml:space="preserve"> con calma. Deje que la persona hable a su manera y a su ritmo.</w:t>
      </w:r>
    </w:p>
    <w:p>
      <w:pPr>
        <w:pStyle w:val="ListParagraph"/>
        <w:numPr>
          <w:ilvl w:val="0"/>
          <w:numId w:val="3"/>
        </w:numPr>
        <w:spacing w:after="80" w:line="290"/>
      </w:pPr>
      <w:r>
        <w:rPr>
          <w:rFonts w:ascii="Nunito Sans" w:cs="Nunito Sans" w:eastAsia="Nunito Sans" w:hAnsi="Nunito Sans"/>
          <w:b/>
          <w:bCs/>
          <w:color w:val="102E3B"/>
          <w:sz w:val="20"/>
          <w:szCs w:val="20"/>
        </w:rPr>
        <w:t xml:space="preserve">Tranquilícela</w:t>
      </w:r>
      <w:r>
        <w:rPr>
          <w:rFonts w:ascii="Nunito Sans" w:cs="Nunito Sans" w:eastAsia="Nunito Sans" w:hAnsi="Nunito Sans"/>
          <w:color w:val="102E3B"/>
          <w:sz w:val="20"/>
          <w:szCs w:val="20"/>
        </w:rPr>
        <w:t xml:space="preserve"> diciéndole que ha hecho bien en contárselo y que no es culpa suya. Compruebe que ahora está a salvo.</w:t>
      </w:r>
    </w:p>
    <w:p>
      <w:pPr>
        <w:pStyle w:val="ListParagraph"/>
        <w:numPr>
          <w:ilvl w:val="0"/>
          <w:numId w:val="3"/>
        </w:numPr>
        <w:spacing w:after="80" w:line="290"/>
      </w:pPr>
      <w:r>
        <w:rPr>
          <w:rFonts w:ascii="Nunito Sans" w:cs="Nunito Sans" w:eastAsia="Nunito Sans" w:hAnsi="Nunito Sans"/>
          <w:b/>
          <w:bCs/>
          <w:color w:val="102E3B"/>
          <w:sz w:val="20"/>
          <w:szCs w:val="20"/>
        </w:rPr>
        <w:t xml:space="preserve">Sea honesto</w:t>
      </w:r>
      <w:r>
        <w:rPr>
          <w:rFonts w:ascii="Nunito Sans" w:cs="Nunito Sans" w:eastAsia="Nunito Sans" w:hAnsi="Nunito Sans"/>
          <w:color w:val="102E3B"/>
          <w:sz w:val="20"/>
          <w:szCs w:val="20"/>
        </w:rPr>
        <w:t xml:space="preserve"> sobre lo que ocurrirá después. No prometa guardar el secreto: diga que solo compartirá lo necesario para ayudar.</w:t>
      </w:r>
    </w:p>
    <w:p>
      <w:pPr>
        <w:pStyle w:val="ListParagraph"/>
        <w:numPr>
          <w:ilvl w:val="0"/>
          <w:numId w:val="3"/>
        </w:numPr>
        <w:spacing w:after="80" w:line="290"/>
      </w:pPr>
      <w:r>
        <w:rPr>
          <w:rFonts w:ascii="Nunito Sans" w:cs="Nunito Sans" w:eastAsia="Nunito Sans" w:hAnsi="Nunito Sans"/>
          <w:b/>
          <w:bCs/>
          <w:color w:val="102E3B"/>
          <w:sz w:val="20"/>
          <w:szCs w:val="20"/>
        </w:rPr>
        <w:t xml:space="preserve">No investigue.</w:t>
      </w:r>
      <w:r>
        <w:rPr>
          <w:rFonts w:ascii="Nunito Sans" w:cs="Nunito Sans" w:eastAsia="Nunito Sans" w:hAnsi="Nunito Sans"/>
          <w:color w:val="102E3B"/>
          <w:sz w:val="20"/>
          <w:szCs w:val="20"/>
        </w:rPr>
        <w:t xml:space="preserve"> No haga preguntas que sugieran la respuesta ("¿Te tocó?"), no examine lesiones, no busque pruebas ni confronte a nadie.</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Registre</w:t>
      </w:r>
      <w:r>
        <w:rPr>
          <w:rFonts w:ascii="Nunito Sans" w:cs="Nunito Sans" w:eastAsia="Nunito Sans" w:hAnsi="Nunito Sans"/>
          <w:color w:val="102E3B"/>
          <w:sz w:val="20"/>
          <w:szCs w:val="20"/>
        </w:rPr>
        <w:t xml:space="preserve"> lo antes posible lo que dijo, con sus propias palabras, con la fecha, la hora y el lugar. Hechos, no opiniones.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Informe</w:t>
      </w:r>
      <w:r>
        <w:rPr>
          <w:rFonts w:ascii="Nunito Sans" w:cs="Nunito Sans" w:eastAsia="Nunito Sans" w:hAnsi="Nunito Sans"/>
          <w:color w:val="102E3B"/>
          <w:sz w:val="20"/>
          <w:szCs w:val="20"/>
        </w:rPr>
        <w:t xml:space="preserve"> a la persona responsable de salvaguarda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No lo comente con nadie más.</w:t>
      </w:r>
    </w:p>
    <w:p>
      <w:pPr>
        <w:pStyle w:val="Heading2"/>
        <w:keepNext/>
        <w:spacing w:after="120" w:before="280"/>
      </w:pPr>
      <w:r>
        <w:rPr>
          <w:rFonts w:ascii="DM Serif Display" w:cs="DM Serif Display" w:eastAsia="DM Serif Display" w:hAnsi="DM Serif Display"/>
          <w:color w:val="123C48"/>
          <w:sz w:val="28"/>
          <w:szCs w:val="28"/>
        </w:rPr>
        <w:t xml:space="preserve">10. Cómo informar</w:t>
      </w:r>
    </w:p>
    <w:p>
      <w:pPr>
        <w:spacing w:after="120" w:before="0" w:line="300"/>
      </w:pPr>
      <w:r>
        <w:rPr>
          <w:rFonts w:ascii="Nunito Sans" w:cs="Nunito Sans" w:eastAsia="Nunito Sans" w:hAnsi="Nunito Sans"/>
          <w:color w:val="102E3B"/>
          <w:sz w:val="20"/>
          <w:szCs w:val="20"/>
        </w:rPr>
        <w:t xml:space="preserve">Informe de cualquier preocupación, sospecha o revelación sobre cualquier persona vinculada a nuestro trabajo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No necesita pruebas. Use el formulario del Anexo A, o informe por teléfono o en persona.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VÍA</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[salvaguarda@tuorganizacion.org]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 o contacto independiente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r>
              <w:rPr>
                <w:rFonts w:ascii="Nunito Sans" w:cs="Nunito Sans" w:eastAsia="Nunito Sans" w:hAnsi="Nunito Sans"/>
                <w:color w:val="102E3B"/>
                <w:sz w:val="18"/>
                <w:szCs w:val="18"/>
              </w:rPr>
              <w:t xml:space="preserve">: si la preocupación se refiere a la persona responsable, si esta está implicada o si no se la puede localizar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órgano de gobierno a cargo de la salvaguarda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r>
              <w:rPr>
                <w:rFonts w:ascii="Nunito Sans" w:cs="Nunito Sans" w:eastAsia="Nunito Sans" w:hAnsi="Nunito Sans"/>
                <w:color w:val="102E3B"/>
                <w:sz w:val="18"/>
                <w:szCs w:val="18"/>
              </w:rPr>
              <w:t xml:space="preserve">: si las dos personas anteriores están implicadas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Vía anónima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[Buzón de sugerencias / formulario anónimo / línea directa]</w:t>
            </w:r>
            <w:r>
              <w:rPr>
                <w:rFonts w:ascii="Nunito Sans" w:cs="Nunito Sans" w:eastAsia="Nunito Sans" w:hAnsi="Nunito Sans"/>
                <w:color w:val="102E3B"/>
                <w:sz w:val="18"/>
                <w:szCs w:val="18"/>
              </w:rPr>
              <w:t xml:space="preserve">. Es posible que no podamos informarle de los avances.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miembro de nuestro equipo, </w:t>
            </w:r>
            <w:r>
              <w:rPr>
                <w:rFonts w:ascii="Nunito Sans" w:cs="Nunito Sans" w:eastAsia="Nunito Sans" w:hAnsi="Nunito Sans"/>
                <w:color w:val="102E3B"/>
                <w:sz w:val="18"/>
                <w:szCs w:val="18"/>
                <w:highlight w:val="yellow"/>
              </w:rPr>
              <w:t xml:space="preserve">[canales de retroalimentación comunitaria]</w:t>
            </w:r>
            <w:r>
              <w:rPr>
                <w:rFonts w:ascii="Nunito Sans" w:cs="Nunito Sans" w:eastAsia="Nunito Sans" w:hAnsi="Nunito Sans"/>
                <w:color w:val="102E3B"/>
                <w:sz w:val="18"/>
                <w:szCs w:val="18"/>
              </w:rPr>
              <w:t xml:space="preserve"> o directamente la persona responsable de salvaguarda (consulte nuestro Procedimiento de Quejas y Retroalimentación)</w:t>
            </w:r>
          </w:p>
        </w:tc>
      </w:tr>
    </w:tbl>
    <w:p>
      <w:pPr>
        <w:spacing w:after="120"/>
      </w:pPr>
    </w:p>
    <w:p>
      <w:pPr>
        <w:spacing w:after="120" w:before="0" w:line="300"/>
      </w:pPr>
      <w:r>
        <w:rPr>
          <w:rFonts w:ascii="Nunito Sans" w:cs="Nunito Sans" w:eastAsia="Nunito Sans" w:hAnsi="Nunito Sans"/>
          <w:color w:val="102E3B"/>
          <w:sz w:val="20"/>
          <w:szCs w:val="20"/>
        </w:rPr>
        <w:t xml:space="preserve">También puede utilizar nuestra Política y Procedimiento de Denuncia de Irregularidades y siempre puede acudir directamente a la policía o a los servicios locales de protección de la infancia.</w:t>
      </w:r>
    </w:p>
    <w:p>
      <w:pPr>
        <w:pStyle w:val="Heading2"/>
        <w:keepNext/>
        <w:spacing w:after="120" w:before="280"/>
      </w:pPr>
      <w:r>
        <w:rPr>
          <w:rFonts w:ascii="DM Serif Display" w:cs="DM Serif Display" w:eastAsia="DM Serif Display" w:hAnsi="DM Serif Display"/>
          <w:color w:val="123C48"/>
          <w:sz w:val="28"/>
          <w:szCs w:val="28"/>
        </w:rPr>
        <w:t xml:space="preserve">11. Plazos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Peligro inmediato: contactar con los servicios de emergencia</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persona responsable de salvaguarda de un peligro inmediato o de un incidente grave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horas]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persona responsable de salvaguarda de cualquier otra preocupación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del reporte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 si alguien puede estar en riesgo; en otro caso, </w:t>
            </w:r>
            <w:r>
              <w:rPr>
                <w:rFonts w:ascii="Nunito Sans" w:cs="Nunito Sans" w:eastAsia="Nunito Sans" w:hAnsi="Nunito Sans"/>
                <w:color w:val="102E3B"/>
                <w:sz w:val="18"/>
                <w:szCs w:val="18"/>
                <w:highlight w:val="yellow"/>
              </w:rPr>
              <w:t xml:space="preserve">[2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inicial y medidas de protección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si hay niñas, niños o adolescentes o si se trata de EAAS; en otro caso,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Derivación cuando la ley lo exija</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Dentro del plazo legal, o en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si no hay ninguno establecido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Notificar a financiadores, reguladores o aseguradoras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Dentro del plazo de cada acuerdo o norma (sección 15)</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Cerrar el caso</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de </w:t>
            </w:r>
            <w:r>
              <w:rPr>
                <w:rFonts w:ascii="Nunito Sans" w:cs="Nunito Sans" w:eastAsia="Nunito Sans" w:hAnsi="Nunito Sans"/>
                <w:color w:val="102E3B"/>
                <w:sz w:val="18"/>
                <w:szCs w:val="18"/>
                <w:highlight w:val="yellow"/>
              </w:rPr>
              <w:t xml:space="preserve">[30 / 60]</w:t>
            </w:r>
            <w:r>
              <w:rPr>
                <w:rFonts w:ascii="Nunito Sans" w:cs="Nunito Sans" w:eastAsia="Nunito Sans" w:hAnsi="Nunito Sans"/>
                <w:color w:val="102E3B"/>
                <w:sz w:val="18"/>
                <w:szCs w:val="18"/>
              </w:rPr>
              <w:t xml:space="preserve"> días, salvo que haya un proceso externo en curso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Qué ocurre después de un reporte</w:t>
      </w:r>
    </w:p>
    <w:p>
      <w:pPr>
        <w:spacing w:after="120" w:before="0" w:line="300"/>
      </w:pPr>
      <w:r>
        <w:rPr>
          <w:rFonts w:ascii="Nunito Sans" w:cs="Nunito Sans" w:eastAsia="Nunito Sans" w:hAnsi="Nunito Sans"/>
          <w:color w:val="102E3B"/>
          <w:sz w:val="20"/>
          <w:szCs w:val="20"/>
        </w:rPr>
        <w:t xml:space="preserve">La persona responsable de salvaguarda, o la persona suplente si la responsable está implicada:</w:t>
      </w:r>
    </w:p>
    <w:p>
      <w:pPr>
        <w:pStyle w:val="ListParagraph"/>
        <w:numPr>
          <w:ilvl w:val="0"/>
          <w:numId w:val="7"/>
        </w:numPr>
        <w:spacing w:after="80" w:line="290"/>
      </w:pPr>
      <w:r>
        <w:rPr>
          <w:rFonts w:ascii="Nunito Sans" w:cs="Nunito Sans" w:eastAsia="Nunito Sans" w:hAnsi="Nunito Sans"/>
          <w:b/>
          <w:bCs/>
          <w:color w:val="102E3B"/>
          <w:sz w:val="20"/>
          <w:szCs w:val="20"/>
        </w:rPr>
        <w:t xml:space="preserve">Acusa recibo</w:t>
      </w:r>
      <w:r>
        <w:rPr>
          <w:rFonts w:ascii="Nunito Sans" w:cs="Nunito Sans" w:eastAsia="Nunito Sans" w:hAnsi="Nunito Sans"/>
          <w:color w:val="102E3B"/>
          <w:sz w:val="20"/>
          <w:szCs w:val="20"/>
        </w:rPr>
        <w:t xml:space="preserve"> del reporte y asigna un número de referencia.</w:t>
      </w:r>
    </w:p>
    <w:p>
      <w:pPr>
        <w:pStyle w:val="ListParagraph"/>
        <w:numPr>
          <w:ilvl w:val="0"/>
          <w:numId w:val="7"/>
        </w:numPr>
        <w:spacing w:after="80" w:line="290"/>
      </w:pPr>
      <w:r>
        <w:rPr>
          <w:rFonts w:ascii="Nunito Sans" w:cs="Nunito Sans" w:eastAsia="Nunito Sans" w:hAnsi="Nunito Sans"/>
          <w:b/>
          <w:bCs/>
          <w:color w:val="102E3B"/>
          <w:sz w:val="20"/>
          <w:szCs w:val="20"/>
        </w:rPr>
        <w:t xml:space="preserve">Evalúa el riesgo:</w:t>
      </w:r>
      <w:r>
        <w:rPr>
          <w:rFonts w:ascii="Nunito Sans" w:cs="Nunito Sans" w:eastAsia="Nunito Sans" w:hAnsi="Nunito Sans"/>
          <w:color w:val="102E3B"/>
          <w:sz w:val="20"/>
          <w:szCs w:val="20"/>
        </w:rPr>
        <w:t xml:space="preserve"> ¿hay alguien en peligro?, ¿hay un niño, niña o adolescente implicado?, ¿exige la ley presentar una denuncia? Pide asesoramiento especializado cuando tenga dudas.</w:t>
      </w:r>
    </w:p>
    <w:p>
      <w:pPr>
        <w:pStyle w:val="ListParagraph"/>
        <w:numPr>
          <w:ilvl w:val="0"/>
          <w:numId w:val="7"/>
        </w:numPr>
        <w:spacing w:after="80" w:line="290"/>
      </w:pPr>
      <w:r>
        <w:rPr>
          <w:rFonts w:ascii="Nunito Sans" w:cs="Nunito Sans" w:eastAsia="Nunito Sans" w:hAnsi="Nunito Sans"/>
          <w:b/>
          <w:bCs/>
          <w:color w:val="102E3B"/>
          <w:sz w:val="20"/>
          <w:szCs w:val="20"/>
        </w:rPr>
        <w:t xml:space="preserve">Protege</w:t>
      </w:r>
      <w:r>
        <w:rPr>
          <w:rFonts w:ascii="Nunito Sans" w:cs="Nunito Sans" w:eastAsia="Nunito Sans" w:hAnsi="Nunito Sans"/>
          <w:color w:val="102E3B"/>
          <w:sz w:val="20"/>
          <w:szCs w:val="20"/>
        </w:rPr>
        <w:t xml:space="preserve"> de inmediato a las personas cuando sea necesario: por ejemplo, apartando a la persona señalada del trabajo de contacto, suspendiéndola o pausando una actividad. Es una precaución, no una conclusión.</w:t>
      </w:r>
    </w:p>
    <w:p>
      <w:pPr>
        <w:pStyle w:val="ListParagraph"/>
        <w:numPr>
          <w:ilvl w:val="0"/>
          <w:numId w:val="7"/>
        </w:numPr>
        <w:spacing w:after="80" w:line="290"/>
      </w:pPr>
      <w:r>
        <w:rPr>
          <w:rFonts w:ascii="Nunito Sans" w:cs="Nunito Sans" w:eastAsia="Nunito Sans" w:hAnsi="Nunito Sans"/>
          <w:b/>
          <w:bCs/>
          <w:color w:val="102E3B"/>
          <w:sz w:val="20"/>
          <w:szCs w:val="20"/>
        </w:rPr>
        <w:t xml:space="preserve">Habla con la persona sobreviviente,</w:t>
      </w:r>
      <w:r>
        <w:rPr>
          <w:rFonts w:ascii="Nunito Sans" w:cs="Nunito Sans" w:eastAsia="Nunito Sans" w:hAnsi="Nunito Sans"/>
          <w:color w:val="102E3B"/>
          <w:sz w:val="20"/>
          <w:szCs w:val="20"/>
        </w:rPr>
        <w:t xml:space="preserve"> cuando sea seguro, sobre sus opciones y deseos, y le ofrece derivarla a servicios de apoyo (Anexo B).</w:t>
      </w:r>
    </w:p>
    <w:p>
      <w:pPr>
        <w:pStyle w:val="ListParagraph"/>
        <w:numPr>
          <w:ilvl w:val="0"/>
          <w:numId w:val="7"/>
        </w:numPr>
        <w:spacing w:after="80" w:line="290"/>
      </w:pPr>
      <w:r>
        <w:rPr>
          <w:rFonts w:ascii="Nunito Sans" w:cs="Nunito Sans" w:eastAsia="Nunito Sans" w:hAnsi="Nunito Sans"/>
          <w:b/>
          <w:bCs/>
          <w:color w:val="102E3B"/>
          <w:sz w:val="20"/>
          <w:szCs w:val="20"/>
        </w:rPr>
        <w:t xml:space="preserve">Deriva</w:t>
      </w:r>
      <w:r>
        <w:rPr>
          <w:rFonts w:ascii="Nunito Sans" w:cs="Nunito Sans" w:eastAsia="Nunito Sans" w:hAnsi="Nunito Sans"/>
          <w:color w:val="102E3B"/>
          <w:sz w:val="20"/>
          <w:szCs w:val="20"/>
        </w:rPr>
        <w:t xml:space="preserve"> el caso a los servicios de protección de la infancia, a la policía o a otras instancias cuando la ley lo exija, cuando un niño, niña o adolescente esté en riesgo o cuando una persona adulta sobreviviente lo acepte (sección 13).</w:t>
      </w:r>
    </w:p>
    <w:p>
      <w:pPr>
        <w:pStyle w:val="ListParagraph"/>
        <w:numPr>
          <w:ilvl w:val="0"/>
          <w:numId w:val="7"/>
        </w:numPr>
        <w:spacing w:after="80" w:line="290"/>
      </w:pPr>
      <w:r>
        <w:rPr>
          <w:rFonts w:ascii="Nunito Sans" w:cs="Nunito Sans" w:eastAsia="Nunito Sans" w:hAnsi="Nunito Sans"/>
          <w:b/>
          <w:bCs/>
          <w:color w:val="102E3B"/>
          <w:sz w:val="20"/>
          <w:szCs w:val="20"/>
        </w:rPr>
        <w:t xml:space="preserve">Lo examina.</w:t>
      </w:r>
      <w:r>
        <w:rPr>
          <w:rFonts w:ascii="Nunito Sans" w:cs="Nunito Sans" w:eastAsia="Nunito Sans" w:hAnsi="Nunito Sans"/>
          <w:color w:val="102E3B"/>
          <w:sz w:val="20"/>
          <w:szCs w:val="20"/>
        </w:rPr>
        <w:t xml:space="preserve"> Nunca investigamos delitos por nuestra cuenta. Para los casos internos graves o complejos designamos a una persona investigadora externa con formación. Si las autoridades investigan, cooperamos y pausamos nuestro propio trabajo si nos lo piden.</w:t>
      </w:r>
    </w:p>
    <w:p>
      <w:pPr>
        <w:pStyle w:val="ListParagraph"/>
        <w:numPr>
          <w:ilvl w:val="0"/>
          <w:numId w:val="7"/>
        </w:numPr>
        <w:spacing w:after="80" w:line="290"/>
      </w:pPr>
      <w:r>
        <w:rPr>
          <w:rFonts w:ascii="Nunito Sans" w:cs="Nunito Sans" w:eastAsia="Nunito Sans" w:hAnsi="Nunito Sans"/>
          <w:b/>
          <w:bCs/>
          <w:color w:val="102E3B"/>
          <w:sz w:val="20"/>
          <w:szCs w:val="20"/>
        </w:rPr>
        <w:t xml:space="preserve">Decide</w:t>
      </w:r>
      <w:r>
        <w:rPr>
          <w:rFonts w:ascii="Nunito Sans" w:cs="Nunito Sans" w:eastAsia="Nunito Sans" w:hAnsi="Nunito Sans"/>
          <w:color w:val="102E3B"/>
          <w:sz w:val="20"/>
          <w:szCs w:val="20"/>
        </w:rPr>
        <w:t xml:space="preserve"> según el criterio del balance de probabilidades (si es más probable que la preocupación sea cierta que no) y actúa conforme a nuestro Procedimiento Disciplinario y de Reclamaciones o a los acuerdos.</w:t>
      </w:r>
    </w:p>
    <w:p>
      <w:pPr>
        <w:pStyle w:val="ListParagraph"/>
        <w:numPr>
          <w:ilvl w:val="0"/>
          <w:numId w:val="7"/>
        </w:numPr>
        <w:spacing w:after="80" w:line="290"/>
      </w:pPr>
      <w:r>
        <w:rPr>
          <w:rFonts w:ascii="Nunito Sans" w:cs="Nunito Sans" w:eastAsia="Nunito Sans" w:hAnsi="Nunito Sans"/>
          <w:b/>
          <w:bCs/>
          <w:color w:val="102E3B"/>
          <w:sz w:val="20"/>
          <w:szCs w:val="20"/>
        </w:rPr>
        <w:t xml:space="preserve">Cierra el caso y aprende:</w:t>
      </w:r>
      <w:r>
        <w:rPr>
          <w:rFonts w:ascii="Nunito Sans" w:cs="Nunito Sans" w:eastAsia="Nunito Sans" w:hAnsi="Nunito Sans"/>
          <w:color w:val="102E3B"/>
          <w:sz w:val="20"/>
          <w:szCs w:val="20"/>
        </w:rPr>
        <w:t xml:space="preserve"> informa a la persona sobreviviente y a quien hizo el reporte de todo lo que la confidencialidad permita, y registra el resultado y lo que cambiaremos.</w:t>
      </w:r>
    </w:p>
    <w:p>
      <w:pPr>
        <w:spacing w:after="120" w:before="0" w:line="300"/>
      </w:pPr>
      <w:r>
        <w:rPr>
          <w:rFonts w:ascii="Nunito Sans" w:cs="Nunito Sans" w:eastAsia="Nunito Sans" w:hAnsi="Nunito Sans"/>
          <w:color w:val="102E3B"/>
          <w:sz w:val="20"/>
          <w:szCs w:val="20"/>
        </w:rPr>
        <w:t xml:space="preserve">A la persona señalada se le comunica el contenido esencial de la acusación cuando es seguro hacerlo, y puede responder. No se presume que nadie haya actuado mal.</w:t>
      </w:r>
    </w:p>
    <w:p>
      <w:pPr>
        <w:pStyle w:val="Heading2"/>
        <w:keepNext/>
        <w:spacing w:after="120" w:before="280"/>
      </w:pPr>
      <w:r>
        <w:rPr>
          <w:rFonts w:ascii="DM Serif Display" w:cs="DM Serif Display" w:eastAsia="DM Serif Display" w:hAnsi="DM Serif Display"/>
          <w:color w:val="123C48"/>
          <w:sz w:val="28"/>
          <w:szCs w:val="28"/>
        </w:rPr>
        <w:t xml:space="preserve">13. La persona sobreviviente primero</w:t>
      </w:r>
    </w:p>
    <w:p>
      <w:pPr>
        <w:pStyle w:val="ListParagraph"/>
        <w:numPr>
          <w:ilvl w:val="0"/>
          <w:numId w:val="3"/>
        </w:numPr>
        <w:spacing w:after="80" w:line="290"/>
      </w:pPr>
      <w:r>
        <w:rPr>
          <w:rFonts w:ascii="Nunito Sans" w:cs="Nunito Sans" w:eastAsia="Nunito Sans" w:hAnsi="Nunito Sans"/>
          <w:b/>
          <w:bCs/>
          <w:color w:val="102E3B"/>
          <w:sz w:val="20"/>
          <w:szCs w:val="20"/>
        </w:rPr>
        <w:t xml:space="preserve">Seguridad.</w:t>
      </w:r>
      <w:r>
        <w:rPr>
          <w:rFonts w:ascii="Nunito Sans" w:cs="Nunito Sans" w:eastAsia="Nunito Sans" w:hAnsi="Nunito Sans"/>
          <w:color w:val="102E3B"/>
          <w:sz w:val="20"/>
          <w:szCs w:val="20"/>
        </w:rPr>
        <w:t xml:space="preserve"> Antes de cualquier derivación, tenemos en cuenta cómo podrían reaccionar la persona que causó el daño, la familia o la comunidad.</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adultas eligen.</w:t>
      </w:r>
      <w:r>
        <w:rPr>
          <w:rFonts w:ascii="Nunito Sans" w:cs="Nunito Sans" w:eastAsia="Nunito Sans" w:hAnsi="Nunito Sans"/>
          <w:color w:val="102E3B"/>
          <w:sz w:val="20"/>
          <w:szCs w:val="20"/>
        </w:rPr>
        <w:t xml:space="preserve"> Explicamos las opciones y respetamos sus decisiones. No comunicamos la experiencia de una persona adulta sobreviviente a la policía ni a líderes comunitarios sin su consentimiento, salvo que la ley lo exija, que un niño, niña o adolescente u otra persona corra un riesgo grave o que su vida esté en peligro.</w:t>
      </w:r>
    </w:p>
    <w:p>
      <w:pPr>
        <w:pStyle w:val="ListParagraph"/>
        <w:numPr>
          <w:ilvl w:val="0"/>
          <w:numId w:val="3"/>
        </w:numPr>
        <w:spacing w:after="80" w:line="290"/>
      </w:pPr>
      <w:r>
        <w:rPr>
          <w:rFonts w:ascii="Nunito Sans" w:cs="Nunito Sans" w:eastAsia="Nunito Sans" w:hAnsi="Nunito Sans"/>
          <w:b/>
          <w:bCs/>
          <w:color w:val="102E3B"/>
          <w:sz w:val="20"/>
          <w:szCs w:val="20"/>
        </w:rPr>
        <w:t xml:space="preserve">Se protege a niñas, niños y adolescentes.</w:t>
      </w:r>
      <w:r>
        <w:rPr>
          <w:rFonts w:ascii="Nunito Sans" w:cs="Nunito Sans" w:eastAsia="Nunito Sans" w:hAnsi="Nunito Sans"/>
          <w:color w:val="102E3B"/>
          <w:sz w:val="20"/>
          <w:szCs w:val="20"/>
        </w:rPr>
        <w:t xml:space="preserve"> Cuando un niño, niña o adolescente pueda correr el riesgo de sufrir un daño significativo, actuamos aunque ellos o su familia no estén de acuerdo, y cumplimos cualquier obligación de notificación obligatoria. Le explicamos lo que va a ocurrir de una forma que pueda entender.</w:t>
      </w:r>
    </w:p>
    <w:p>
      <w:pPr>
        <w:pStyle w:val="ListParagraph"/>
        <w:numPr>
          <w:ilvl w:val="0"/>
          <w:numId w:val="3"/>
        </w:numPr>
        <w:spacing w:after="80" w:line="290"/>
      </w:pPr>
      <w:r>
        <w:rPr>
          <w:rFonts w:ascii="Nunito Sans" w:cs="Nunito Sans" w:eastAsia="Nunito Sans" w:hAnsi="Nunito Sans"/>
          <w:b/>
          <w:bCs/>
          <w:color w:val="102E3B"/>
          <w:sz w:val="20"/>
          <w:szCs w:val="20"/>
        </w:rPr>
        <w:t xml:space="preserve">Si actuamos sin consentimiento,</w:t>
      </w:r>
      <w:r>
        <w:rPr>
          <w:rFonts w:ascii="Nunito Sans" w:cs="Nunito Sans" w:eastAsia="Nunito Sans" w:hAnsi="Nunito Sans"/>
          <w:color w:val="102E3B"/>
          <w:sz w:val="20"/>
          <w:szCs w:val="20"/>
        </w:rPr>
        <w:t xml:space="preserve"> le explicamos a la persona sobreviviente por qué y qué vamos a compartir, y compartimos solo lo necesario.</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Contarlo una sola vez.</w:t>
      </w:r>
      <w:r>
        <w:rPr>
          <w:rFonts w:ascii="Nunito Sans" w:cs="Nunito Sans" w:eastAsia="Nunito Sans" w:hAnsi="Nunito Sans"/>
          <w:color w:val="102E3B"/>
          <w:sz w:val="20"/>
          <w:szCs w:val="20"/>
        </w:rPr>
        <w:t xml:space="preserve"> Solo la persona responsable de salvaguarda, o quien ella designe, recoge el relato completo.</w:t>
      </w:r>
    </w:p>
    <w:p>
      <w:pPr>
        <w:pStyle w:val="ListParagraph"/>
        <w:numPr>
          <w:ilvl w:val="0"/>
          <w:numId w:val="3"/>
        </w:numPr>
        <w:spacing w:after="80" w:line="290"/>
      </w:pPr>
      <w:r>
        <w:rPr>
          <w:rFonts w:ascii="Nunito Sans" w:cs="Nunito Sans" w:eastAsia="Nunito Sans" w:hAnsi="Nunito Sans"/>
          <w:b/>
          <w:bCs/>
          <w:color w:val="102E3B"/>
          <w:sz w:val="20"/>
          <w:szCs w:val="20"/>
        </w:rPr>
        <w:t xml:space="preserve">Apoyo práctico,</w:t>
      </w:r>
      <w:r>
        <w:rPr>
          <w:rFonts w:ascii="Nunito Sans" w:cs="Nunito Sans" w:eastAsia="Nunito Sans" w:hAnsi="Nunito Sans"/>
          <w:color w:val="102E3B"/>
          <w:sz w:val="20"/>
          <w:szCs w:val="20"/>
        </w:rPr>
        <w:t xml:space="preserve"> como transporte seguro o interpretación.</w:t>
      </w:r>
    </w:p>
    <w:p>
      <w:pPr>
        <w:spacing w:after="120" w:before="0" w:line="300"/>
      </w:pPr>
      <w:r>
        <w:rPr>
          <w:rFonts w:ascii="Nunito Sans" w:cs="Nunito Sans" w:eastAsia="Nunito Sans" w:hAnsi="Nunito Sans"/>
          <w:color w:val="102E3B"/>
          <w:sz w:val="20"/>
          <w:szCs w:val="20"/>
        </w:rPr>
        <w:t xml:space="preserve">La derivación puede poner en riesgo a las personas adultas sobrevivientes. En algunos lugares, denunciar la violencia de género (VG) ante la policía puede provocar represalias, estigma, matrimonio forzado o el procesamiento de la persona sobreviviente, por ejemplo por relaciones entre personas del mismo sexo, trabajo sexual, situación migratoria o relaciones sexuales fuera del matrimonio. Cuando existe este riesgo, nos centramos en el apoyo sanitario, psicosocial y jurídico confidencial que elija la persona sobreviviente.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NOTIFICACIÓN OBLIGATORIA</w:t>
            </w:r>
          </w:p>
          <w:p>
            <w:pPr>
              <w:spacing w:after="120" w:before="0" w:line="300"/>
            </w:pPr>
            <w:r>
              <w:rPr>
                <w:rFonts w:ascii="Nunito Sans" w:cs="Nunito Sans" w:eastAsia="Nunito Sans" w:hAnsi="Nunito Sans"/>
                <w:color w:val="102E3B"/>
                <w:sz w:val="19"/>
                <w:szCs w:val="19"/>
              </w:rPr>
              <w:t xml:space="preserve">Averigua lo que exige la ley donde trabajas y sustituye este recuadro por dos o tres frases claras. Ejemplos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la Protection of Children from Sexual Offences (POCSO) Act 2012 obliga a cualquier persona que conozca o sospeche un delito sexual contra un niño o niña a denunciarlo ante la policía o la Special Juvenile Police Unit. No denunciarlo es un delito.</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Children's Act 38 of 2005 (sección 110) obliga a muchos profesionales, como docentes, personal sanitario y trabajadores sociales, a denunciar la sospecha de abuso o negligencia deliberada de un niño o niña. La legislación sobre delitos sexuales también obliga a cualquier persona que conozca un delito sexual contra un niño o niña a denunciarlo ante la policía.</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el Estatuto da Criança e do Adolescente (ECA, Ley 8.069 de 1990) exige que la sospecha de maltrato de un niño, niña o adolescente se comunique al Conselho Tutelar.</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revisa la ley de infancia, el código penal y cualquier ley sobre violencia de género. Algunas obligaciones se aplican solo a determinadas profesiones.</w:t>
            </w:r>
          </w:p>
          <w:p>
            <w:pPr>
              <w:spacing w:after="120" w:before="0" w:line="300"/>
            </w:pPr>
            <w:r>
              <w:rPr>
                <w:rFonts w:ascii="Nunito Sans" w:cs="Nunito Sans" w:eastAsia="Nunito Sans" w:hAnsi="Nunito Sans"/>
                <w:color w:val="102E3B"/>
                <w:sz w:val="19"/>
                <w:szCs w:val="19"/>
              </w:rPr>
              <w:t xml:space="preserve">Decide quién presenta la denuncia: normalmente la persona responsable de salvaguarda, para que los miembros del equipo no carguen con ello en solitario. Si la ley impone una obligación personal a determinadas personas del personal, infórmales.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Derivación a servicios locales</w:t>
      </w:r>
    </w:p>
    <w:p>
      <w:pPr>
        <w:spacing w:after="120" w:before="0" w:line="300"/>
      </w:pPr>
      <w:r>
        <w:rPr>
          <w:rFonts w:ascii="Nunito Sans" w:cs="Nunito Sans" w:eastAsia="Nunito Sans" w:hAnsi="Nunito Sans"/>
          <w:color w:val="102E3B"/>
          <w:sz w:val="20"/>
          <w:szCs w:val="20"/>
        </w:rPr>
        <w:t xml:space="preserve">La persona responsable de salvaguarda mantiene un mapa de servicios locales de confianza para cada lugar donde trabajamos (Anexo B). Antes de incluir un servicio, comprobamos que trata a las personas sobrevivientes con respeto y mantiene la confidencialidad de la información. Actualizamos el mapa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Donde exista un grupo de coordinación sobre VG o protección de la infancia, utilizamos su ruta de derivación.</w:t>
      </w:r>
    </w:p>
    <w:p>
      <w:pPr>
        <w:pStyle w:val="Heading2"/>
        <w:keepNext/>
        <w:spacing w:after="120" w:before="280"/>
      </w:pPr>
      <w:r>
        <w:rPr>
          <w:rFonts w:ascii="DM Serif Display" w:cs="DM Serif Display" w:eastAsia="DM Serif Display" w:hAnsi="DM Serif Display"/>
          <w:color w:val="123C48"/>
          <w:sz w:val="28"/>
          <w:szCs w:val="28"/>
        </w:rPr>
        <w:t xml:space="preserve">15. Información a financiadores, reguladores y otras partes</w:t>
      </w:r>
    </w:p>
    <w:p>
      <w:pPr>
        <w:spacing w:after="120" w:before="0" w:line="300"/>
      </w:pPr>
      <w:r>
        <w:rPr>
          <w:rFonts w:ascii="Nunito Sans" w:cs="Nunito Sans" w:eastAsia="Nunito Sans" w:hAnsi="Nunito Sans"/>
          <w:color w:val="102E3B"/>
          <w:sz w:val="20"/>
          <w:szCs w:val="20"/>
        </w:rPr>
        <w:t xml:space="preserve">Algunos financiadores, reguladores y aseguradoras nos exigen notificar los incidentes de salvaguarda. La persona responsable de salvaguarda informa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presenta estas notificaciones a tiempo. Compartimos solo lo necesario, y nunca el nombre de la persona sobreviviente, salvo que la ley lo exija o ella lo acepte.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FINANCIADORES Y REGULADORES</w:t>
            </w:r>
          </w:p>
          <w:p>
            <w:pPr>
              <w:spacing w:after="120" w:before="0" w:line="300"/>
            </w:pPr>
            <w:r>
              <w:rPr>
                <w:rFonts w:ascii="Nunito Sans" w:cs="Nunito Sans" w:eastAsia="Nunito Sans" w:hAnsi="Nunito Sans"/>
                <w:color w:val="102E3B"/>
                <w:sz w:val="19"/>
                <w:szCs w:val="19"/>
              </w:rPr>
              <w:t xml:space="preserve">Enumera cada financiador, regulador y aseguradora a quien debas notificar, qué se considera notificable y el plazo. Muchos financiadores institucionales exigen la notificación en un plazo breve, por ejemplo de 24 a 72 horas: lee cada acuerdo de subvención. En Inglaterra y Gales, las organizaciones benéficas registradas deben notificar sin demora los incidentes graves, incluidos los de salvaguarda, a la Charity Commission. En otros países, comprueba si tu regulador de ONG o la autoridad de registro tiene una norma de notificación y si tu aseguradora exige que se le comuniquen posibles reclamaciones.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Cuando la preocupación se refiere a la persona responsable de salvaguarda</w:t>
      </w:r>
    </w:p>
    <w:p>
      <w:pPr>
        <w:spacing w:after="120" w:before="0" w:line="300"/>
      </w:pPr>
      <w:r>
        <w:rPr>
          <w:rFonts w:ascii="Nunito Sans" w:cs="Nunito Sans" w:eastAsia="Nunito Sans" w:hAnsi="Nunito Sans"/>
          <w:color w:val="102E3B"/>
          <w:sz w:val="20"/>
          <w:szCs w:val="20"/>
        </w:rPr>
        <w:t xml:space="preserve">Las preocupaciones sobre la persona responsable de salvaguarda, o sobre casos en los que esté implicada, se dirigen directamente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La persona responsable se aparta, no accede a los registros y no participa en las decisiones. La persona suplente puede pedir cualquier registro que necesite y recurrir a una persona asesora o investigadora externa, como se establece en la Nota sobre el Rol de Contacto Independiente.</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y revisa esta política cada año. Designa a un miembro a cargo de la salvaguarda. Recibe un resumen anonimizado de los casos. Se asegura de que destinamos fondos a la salvaguarda.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responsable de salvaguarda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 la titular de esta política. Recibe y evalúa las preocupaciones, adopta medidas de protección, realiza derivaciones, lleva los registros y el mapa de derivación, organiza la formación e informa al órgano de gobierno.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Suplente o contacto independiente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las preocupaciones sobre la persona responsable. Cubre los casos urgentes cuando no se puede localizar a la persona responsable durante más de </w:t>
            </w:r>
            <w:r>
              <w:rPr>
                <w:rFonts w:ascii="Nunito Sans" w:cs="Nunito Sans" w:eastAsia="Nunito Sans" w:hAnsi="Nunito Sans"/>
                <w:color w:val="102E3B"/>
                <w:sz w:val="18"/>
                <w:szCs w:val="18"/>
                <w:highlight w:val="yellow"/>
              </w:rPr>
              <w:t xml:space="preserve">[48 horas]</w:t>
            </w:r>
            <w:r>
              <w:rPr>
                <w:rFonts w:ascii="Nunito Sans" w:cs="Nunito Sans" w:eastAsia="Nunito Sans" w:hAnsi="Nunito Sans"/>
                <w:color w:val="102E3B"/>
                <w:sz w:val="18"/>
                <w:szCs w:val="18"/>
              </w:rPr>
              <w:t xml:space="preserve">. Atiende las solicitudes de revisión.</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Personas con funciones de dirección y responsables de actividades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Completan las evaluaciones de riesgos, se aseguran de que sus equipos reciban formación y actúan con prontitud ante las preocupaciones.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Todas las personas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Siguen esta política y el Código de Conducta. Informan 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Nunca investigan. Mantienen la confidencialidad de las preocupaciones.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La persona responsable de salvaguarda lleva un registro confidencial de cada preocupación, incluidas las que no dan lugar a ninguna acción: referencia, fecha y persona que informa (o "anónimo"); lo que se informó, con las palabras de quien informa; personas implicadas; medidas de protección; deseos de la persona sobreviviente; derivaciones realizadas, o por qué no se hicieron; decisiones, motivos y cualquier revisión; y el resultado.</w:t>
      </w:r>
    </w:p>
    <w:p>
      <w:pPr>
        <w:spacing w:after="120" w:before="0" w:line="300"/>
      </w:pPr>
      <w:r>
        <w:rPr>
          <w:rFonts w:ascii="Nunito Sans" w:cs="Nunito Sans" w:eastAsia="Nunito Sans" w:hAnsi="Nunito Sans"/>
          <w:color w:val="102E3B"/>
          <w:sz w:val="20"/>
          <w:szCs w:val="20"/>
        </w:rPr>
        <w:t xml:space="preserve">Los registros se guardan en </w:t>
      </w:r>
      <w:r>
        <w:rPr>
          <w:rFonts w:ascii="Nunito Sans" w:cs="Nunito Sans" w:eastAsia="Nunito Sans" w:hAnsi="Nunito Sans"/>
          <w:color w:val="102E3B"/>
          <w:sz w:val="20"/>
          <w:szCs w:val="20"/>
          <w:highlight w:val="yellow"/>
        </w:rPr>
        <w:t xml:space="preserve">[una carpeta cifrada / un armario bajo llave]</w:t>
      </w:r>
      <w:r>
        <w:rPr>
          <w:rFonts w:ascii="Nunito Sans" w:cs="Nunito Sans" w:eastAsia="Nunito Sans" w:hAnsi="Nunito Sans"/>
          <w:color w:val="102E3B"/>
          <w:sz w:val="20"/>
          <w:szCs w:val="20"/>
        </w:rPr>
        <w:t xml:space="preserve">, con acceso limitado a la persona responsable de salvaguarda y a su suplente, separados de los expedientes de personal. Los registros sobre la persona responsable los guarda la persona suplente. Compartimos información solo con quien necesita conocerla. Las leyes de protección de datos suelen permitir compartir información para proteger a alguien de un daño grave: nunca son un motivo para no actuar.</w:t>
      </w:r>
    </w:p>
    <w:p>
      <w:pPr>
        <w:spacing w:after="120" w:before="0" w:line="300"/>
      </w:pPr>
      <w:r>
        <w:rPr>
          <w:rFonts w:ascii="Nunito Sans" w:cs="Nunito Sans" w:eastAsia="Nunito Sans" w:hAnsi="Nunito Sans"/>
          <w:color w:val="102E3B"/>
          <w:sz w:val="20"/>
          <w:szCs w:val="20"/>
        </w:rPr>
        <w:t xml:space="preserve">Conservamos los registros de los casos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cierre del caso, o más tiempo si hay procedimientos judiciales en curso o previstos. Los casos en los que hay un niño, niña o adolescente implicado se conservan hasta que cumpla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años o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tras el cierre, lo que ocurra más tarde. Después, los eliminamos de forma segura y registramos la eliminación.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CONSERVACIÓN Y PROTECCIÓN DE DATOS</w:t>
            </w:r>
          </w:p>
          <w:p>
            <w:pPr>
              <w:spacing w:after="120" w:before="0" w:line="300"/>
            </w:pPr>
            <w:r>
              <w:rPr>
                <w:rFonts w:ascii="Nunito Sans" w:cs="Nunito Sans" w:eastAsia="Nunito Sans" w:hAnsi="Nunito Sans"/>
                <w:color w:val="102E3B"/>
                <w:sz w:val="19"/>
                <w:szCs w:val="19"/>
              </w:rPr>
              <w:t xml:space="preserve">Revisa tu ley local de protección de datos y añade estos plazos a tu Calendario de Conservación de Registros. Los registros de salvaguarda suelen contener datos sensibles (salud, vida sexual, acusaciones penales). El Reglamento General de Protección de Datos (RGPD) es una referencia muy utilizada; entre las leyes locales están la Kenya Data Protection Act 2019, la Nigeria Data Protection Act 2023, la POPIA de Sudáfrica, la LGPD de Brasil y la DPDP Act 2023 de la India. Nunca guardes registros de salvaguarda en dispositivos personales ni en unidades compartidas de uso general.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El incumplimiento de esta política, incluido no informar de una preocupación, es grave. Según el caso, podemos dar una advertencia; suspender a una persona mientras examinamos el asunto; despedir a una persona empleada o poner fin a un rol, contrato o alianza, conforme a nuestro Procedimiento Disciplinario y de Reclamaciones y a la ley; remitir el asunto a las autoridades; y compartir las conclusiones confirmadas con futuros empleadores que las soliciten, cuando la ley lo permita.</w:t>
      </w:r>
    </w:p>
    <w:p>
      <w:pPr>
        <w:spacing w:after="120" w:before="0" w:line="300"/>
      </w:pPr>
      <w:r>
        <w:rPr>
          <w:rFonts w:ascii="Nunito Sans" w:cs="Nunito Sans" w:eastAsia="Nunito Sans" w:hAnsi="Nunito Sans"/>
          <w:color w:val="102E3B"/>
          <w:sz w:val="20"/>
          <w:szCs w:val="20"/>
        </w:rPr>
        <w:t xml:space="preserve">Las represalias contra cualquier persona que informe o colabore en una revisión constituyen un incumplimiento distinto y grave. También lo es presentar a sabiendas un reporte falso: lo decidimos solo después de una revisión, nunca solo porque una preocupación no haya sido confirmada. Cualquier persona afectada por una decisión puede pedir una revisión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haya participado en la decisión original.</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de salvaguarda revisa los casos abiertos cada </w:t>
      </w:r>
      <w:r>
        <w:rPr>
          <w:rFonts w:ascii="Nunito Sans" w:cs="Nunito Sans" w:eastAsia="Nunito Sans" w:hAnsi="Nunito Sans"/>
          <w:color w:val="102E3B"/>
          <w:sz w:val="20"/>
          <w:szCs w:val="20"/>
          <w:highlight w:val="yellow"/>
        </w:rPr>
        <w:t xml:space="preserve">[semana / dos semanas]</w:t>
      </w:r>
      <w:r>
        <w:rPr>
          <w:rFonts w:ascii="Nunito Sans" w:cs="Nunito Sans" w:eastAsia="Nunito Sans" w:hAnsi="Nunito Sans"/>
          <w:color w:val="102E3B"/>
          <w:sz w:val="20"/>
          <w:szCs w:val="20"/>
        </w:rPr>
        <w:t xml:space="preserve"> y entrega al órgano de gobierno un resumen anonimizado cada </w:t>
      </w:r>
      <w:r>
        <w:rPr>
          <w:rFonts w:ascii="Nunito Sans" w:cs="Nunito Sans" w:eastAsia="Nunito Sans" w:hAnsi="Nunito Sans"/>
          <w:color w:val="102E3B"/>
          <w:sz w:val="20"/>
          <w:szCs w:val="20"/>
          <w:highlight w:val="yellow"/>
        </w:rPr>
        <w:t xml:space="preserve">[6 / 12]</w:t>
      </w:r>
      <w:r>
        <w:rPr>
          <w:rFonts w:ascii="Nunito Sans" w:cs="Nunito Sans" w:eastAsia="Nunito Sans" w:hAnsi="Nunito Sans"/>
          <w:color w:val="102E3B"/>
          <w:sz w:val="20"/>
          <w:szCs w:val="20"/>
        </w:rPr>
        <w:t xml:space="preserve"> meses: número y tipo de preocupaciones, tiempo empleado, resultados y lecciones aprendidas. Revisamos esta política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cualquier incidente grave y cuando cambian la ley o nuestras actividades.</w:t>
      </w:r>
    </w:p>
    <w:p>
      <w:pPr>
        <w:spacing w:after="120" w:before="0" w:line="300"/>
      </w:pPr>
      <w:r>
        <w:rPr>
          <w:rFonts w:ascii="Nunito Sans" w:cs="Nunito Sans" w:eastAsia="Nunito Sans" w:hAnsi="Nunito Sans"/>
          <w:color w:val="102E3B"/>
          <w:sz w:val="20"/>
          <w:szCs w:val="20"/>
        </w:rPr>
        <w:t xml:space="preserve">Esta política se basa en la Convención sobre los Derechos del Niño de las Naciones Unidas (1989), la Convención sobre los Derechos de las Personas con Discapacidad de las Naciones Unidas (2006), los Seis Principios Básicos del IASC (2019), el Boletín del Secretario General de las Naciones Unidas sobre medidas especiales de protección contra la explotación y el abuso sexuales (ST/SGB/2003/13), la Norma Humanitaria Esencial en materia de Calidad y Rendición de Cuentas (CHS) y las normas Keeping Children Safe.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Nota sobre el Rol de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Formulario de Consentimiento para Fotos e Historias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Debida Diligencia de Socios y Control de Sanciones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[Contratos de trabajo, acuerdos de voluntariado y acuerdos de subvención a socios]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Contratación Segura</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Disciplinario y de Reclamaciones</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p>
      <w:pPr>
        <w:spacing w:after="120" w:before="0" w:line="300"/>
      </w:pPr>
      <w:r>
        <w:rPr>
          <w:rFonts w:ascii="Nunito Sans" w:cs="Nunito Sans" w:eastAsia="Nunito Sans" w:hAnsi="Nunito Sans"/>
          <w:color w:val="102E3B"/>
          <w:sz w:val="20"/>
          <w:szCs w:val="20"/>
        </w:rPr>
        <w:t xml:space="preserve">Todas las personas confirman esta política al incorporarse y cada vez que cambia de forma significativa.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y Procedimiento de Salvaguarda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La cumpliré, informaré de cualquier preocupación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y nunca investigaré una preocupación por mi cuenta. Entiendo que incumplir esta política puede suponer el fin de mi rol en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cuando proceda, la remisión a las autoridades.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Formulario de reporte de una preocupación de salvaguarda</w:t>
      </w:r>
    </w:p>
    <w:p>
      <w:pPr>
        <w:spacing w:after="120" w:before="0" w:line="300"/>
      </w:pPr>
      <w:r>
        <w:rPr>
          <w:rFonts w:ascii="Nunito Sans" w:cs="Nunito Sans" w:eastAsia="Nunito Sans" w:hAnsi="Nunito Sans"/>
          <w:color w:val="102E3B"/>
          <w:sz w:val="20"/>
          <w:szCs w:val="20"/>
        </w:rPr>
        <w:t xml:space="preserve">Complete este formulario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Escriba hechos, con las propias palabras de la persona. Entréguelo solo a la persona responsable de salvaguarda (o a la suplente si se refiere a la responsable) y no guarde ninguna copia.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 cargo y datos de contacto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en que completa este formulario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edad y sexo de la persona en riesgo (si se conocen). ¿Es menor de 18 años?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está ahora? ¿Está a salvo?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hora y lugar de lo ocurrido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se enteró? (se lo contaron, lo vio, se lo dijo otra persona, en línea)</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Use las propias palabras de la persona.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cargo y vínculo con nosotros de la persona a la que se atribuye el daño (si se conocen)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otra persona que lo haya visto o que lo sepa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lesión o angustia que haya observado (descríbala; no examine)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que dijo o hizo en respuesta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que la persona en riesgo quiere que ocurra</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quién más se lo ha contado, incluidos los servicios de emergencia, y cuándo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de la persona que informa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PARA LA PERSONA RESPONSABLE DE SALVAGUARDA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 fecha y hora de recepción; fecha del acuse de recibo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inmediata del riesgo y medidas de protección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Derivaciones realizadas, o motivo para no derivar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Financiadores, reguladores o aseguradoras notificados (quién, cuándo)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 y fecha de cierre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Mapa de la ruta de derivación</w:t>
      </w:r>
    </w:p>
    <w:p>
      <w:pPr>
        <w:spacing w:after="120" w:before="0" w:line="300"/>
      </w:pPr>
      <w:r>
        <w:rPr>
          <w:rFonts w:ascii="Nunito Sans" w:cs="Nunito Sans" w:eastAsia="Nunito Sans" w:hAnsi="Nunito Sans"/>
          <w:color w:val="102E3B"/>
          <w:sz w:val="20"/>
          <w:szCs w:val="20"/>
        </w:rPr>
        <w:t xml:space="preserve">Complete una tabla para cada lugar donde trabajamos. Compruebe cada servicio antes de incluirlo y actualice este mapa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1714"/>
        <w:gridCol w:w="247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SERVICIO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DIRECCIÓN, HORARIO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NOTAS (COSTE, IDIOMAS, CONFIDENCIALIDAD, QUIÉN LO COMPROBÓ Y CUÁNDO)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de emergencia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de emergencia local]</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Policía (incluida cualquier unidad de infancia o de género)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de protección de la infancia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oficial de infancia, departamento de bienestar social]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Línea de ayuda a la infancia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de VG (casa de acogida, centro de atención integral, organización de mujeres)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Atención sanitaria, incluida la atención posviolación</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Salud mental y apoyo psicosocial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Asistencia jurídica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Apoyo a personas con discapacidad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Grupo de coordinación</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grupo de trabajo sobre VG o protección de la infancia]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MAPEO DE LOS SERVICIOS DE DERIVACIÓN</w:t>
            </w:r>
          </w:p>
          <w:p>
            <w:pPr>
              <w:spacing w:after="120" w:before="0" w:line="300"/>
            </w:pPr>
            <w:r>
              <w:rPr>
                <w:rFonts w:ascii="Nunito Sans" w:cs="Nunito Sans" w:eastAsia="Nunito Sans" w:hAnsi="Nunito Sans"/>
                <w:color w:val="102E3B"/>
                <w:sz w:val="19"/>
                <w:szCs w:val="19"/>
              </w:rPr>
              <w:t xml:space="preserve">Empieza por los departamentos locales de infancia y bienestar social, la línea nacional de ayuda a la infancia y cualquier grupo de trabajo sobre VG o protección de la infancia (en contextos humanitarios, los subclústeres publican rutas de derivación). Llama a cada servicio y pregunta qué ocurre con una persona sobreviviente que acude a ellos. Anota cualquier servicio que exija una denuncia policial antes de prestar atención médica, porque esto disuade a las personas sobrevivientes. Si no existe ningún servicio seguro para un tipo de apoyo, déjalo por escrito.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y Procedimiento de Salvaguarda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F0C0A57-C251-C49B-CF7A-2A6D6162169B}"/>
  </w:font>
  <w:font w:name="DM Serif Display">
    <w:family w:val="auto"/>
    <w:pitch w:val="variable"/>
    <w:sig w:usb0="E0002AFF" w:usb1="C000247B" w:usb2="00000009" w:usb3="00000000" w:csb0="000001FF" w:csb1="00000000"/>
    <w:embedRegular r:id="rId2" w:fontKey="{375B069B-17CF-9D74-2BAF-B6E44F06F02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y Procedimiento de Salvaguarda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Y PROCEDIMIENTO DE SALVAGUARDA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y Procedimiento de Salvaguarda</dc:title>
  <dc:creator>Method into Impact</dc:creator>
  <dc:description>Cómo [[Nombre de la organización]] protege del daño a niñas, niños y adolescentes, a las personas adultas en situación de riesgo y a todas las personas con las que trabajamos, incluida la explotación, el abuso y el acoso sexuales, y qué hacemos cuando alguien plantea una preocupación.</dc:description>
  <cp:lastModifiedBy>Un-named</cp:lastModifiedBy>
  <cp:revision>1</cp:revision>
  <dcterms:created xsi:type="dcterms:W3CDTF">2026-10-29T06:09:27.025Z</dcterms:created>
  <dcterms:modified xsi:type="dcterms:W3CDTF">2026-10-29T06:09:27.025Z</dcterms:modified>
</cp:coreProperties>
</file>

<file path=docProps/custom.xml><?xml version="1.0" encoding="utf-8"?>
<Properties xmlns="http://schemas.openxmlformats.org/officeDocument/2006/custom-properties" xmlns:vt="http://schemas.openxmlformats.org/officeDocument/2006/docPropsVTypes"/>
</file>