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SAFEGUARDING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Safeguarding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children, adults at risk and everyone we work with safe from harm, including sexual exploitation, abuse and harassment, and what we do when someone raises a concern.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safeguarding policy shows that you have thought about how your work could harm people and what you will do about it. Funders, partners and regulators read it more closely than any other policy, because it protects the people with the least power. This template covers children, adults at risk and protection from sexual exploitation, abuse and harassment (SEAH), with a survivor-centred procedure, a report form and a referral map.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government regulators and registration bodies; schools, health facilities and community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plus 2–3 hours to map local referral services; 30–45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Whistleblowing Policy and Procedure · Independent Contact Role Note · Incident Reporting Procedure · Complaints and Feedback Procedure · Photo and Story Consent Form · Data Protection Policy · Partner Due Diligence and Sanctions Screening Policy · Safer Recruitment Procedure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consultants, partners' staff on our projects, and visitors to our activities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respond and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Safeguarding concern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Referral pathway map</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make referrals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the board member responsible for safeguarding.</w:t>
            </w:r>
            <w:r>
              <w:rPr>
                <w:rFonts w:ascii="Nunito Sans" w:cs="Nunito Sans" w:eastAsia="Nunito Sans" w:hAnsi="Nunito Sans"/>
                <w:color w:val="102E3B"/>
                <w:sz w:val="19"/>
                <w:szCs w:val="19"/>
              </w:rPr>
              <w:t xml:space="preserve"> They receive a summary of cases and check that this policy is followed.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activities change,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check they have agreed. In a very small organisation the founder is often the safeguarding lead. If so, the deputy must be someone the founder does not manage, such as a board member or a trusted person outside the organisation, so that a concern about the founder has somewhere safe to go. The Independent Contact Role Note explains this role. Choose a lead who is reachable during activities and has had, or will have, recognised safeguarding training.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for abuse, exploitation, harassment or neglect, and for failing to act on a concern.</w:t>
            </w:r>
          </w:p>
          <w:p>
            <w:pPr>
              <w:pStyle w:val="ListParagraph"/>
              <w:numPr>
                <w:ilvl w:val="0"/>
                <w:numId w:val="3"/>
              </w:numPr>
              <w:spacing w:after="80" w:line="290"/>
            </w:pPr>
            <w:r>
              <w:rPr>
                <w:rFonts w:ascii="Nunito Sans" w:cs="Nunito Sans" w:eastAsia="Nunito Sans" w:hAnsi="Nunito Sans"/>
                <w:color w:val="102E3B"/>
                <w:sz w:val="19"/>
                <w:szCs w:val="19"/>
              </w:rPr>
              <w:t xml:space="preserve">This policy protects children (everyone under 18) and adults at risk, and protects everyone from sexual exploitation, abuse and harassment.</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No sexual activity with anyone under 18. No exchange of help, money or work for sex.</w:t>
            </w:r>
          </w:p>
          <w:p>
            <w:pPr>
              <w:pStyle w:val="ListParagraph"/>
              <w:numPr>
                <w:ilvl w:val="0"/>
                <w:numId w:val="3"/>
              </w:numPr>
              <w:spacing w:after="80" w:line="290"/>
            </w:pPr>
            <w:r>
              <w:rPr>
                <w:rFonts w:ascii="Nunito Sans" w:cs="Nunito Sans" w:eastAsia="Nunito Sans" w:hAnsi="Nunito Sans"/>
                <w:color w:val="102E3B"/>
                <w:sz w:val="19"/>
                <w:szCs w:val="19"/>
              </w:rPr>
              <w:t xml:space="preserve">If someone is in immediate danger, contact emergency services first. Then report to the safeguarding lead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If someone tells you about harm: listen, reassure, do not investigate, and write down what they said in their own words.</w:t>
            </w:r>
          </w:p>
          <w:p>
            <w:pPr>
              <w:pStyle w:val="ListParagraph"/>
              <w:numPr>
                <w:ilvl w:val="0"/>
                <w:numId w:val="3"/>
              </w:numPr>
              <w:spacing w:after="80" w:line="290"/>
            </w:pPr>
            <w:r>
              <w:rPr>
                <w:rFonts w:ascii="Nunito Sans" w:cs="Nunito Sans" w:eastAsia="Nunito Sans" w:hAnsi="Nunito Sans"/>
                <w:color w:val="102E3B"/>
                <w:sz w:val="19"/>
                <w:szCs w:val="19"/>
              </w:rPr>
              <w:t xml:space="preserve">We put the survivor's safety and wishes first. We follow the law on mandatory reporting, and we never refer an adult survivor in a way that puts them at greater risk.</w:t>
            </w:r>
          </w:p>
          <w:p>
            <w:pPr>
              <w:pStyle w:val="ListParagraph"/>
              <w:numPr>
                <w:ilvl w:val="0"/>
                <w:numId w:val="3"/>
              </w:numPr>
              <w:spacing w:after="80" w:line="290"/>
            </w:pPr>
            <w:r>
              <w:rPr>
                <w:rFonts w:ascii="Nunito Sans" w:cs="Nunito Sans" w:eastAsia="Nunito Sans" w:hAnsi="Nunito Sans"/>
                <w:color w:val="102E3B"/>
                <w:sz w:val="19"/>
                <w:szCs w:val="19"/>
              </w:rPr>
              <w:t xml:space="preserve">We recruit safely, train our team and expect the same standards from our partners and contractors.</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safeguarding lead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and contractors and consultants, including drivers, translators, photographers and researchers. It also applies to partners' staff while they deliver projects with us, through our agreement with the partner, and to visitors such as funders and journalists while they take part in our activities.</w:t>
      </w:r>
    </w:p>
    <w:p>
      <w:pPr>
        <w:spacing w:after="120" w:before="0" w:line="300"/>
      </w:pPr>
      <w:r>
        <w:rPr>
          <w:rFonts w:ascii="Nunito Sans" w:cs="Nunito Sans" w:eastAsia="Nunito Sans" w:hAnsi="Nunito Sans"/>
          <w:color w:val="102E3B"/>
          <w:sz w:val="20"/>
          <w:szCs w:val="20"/>
        </w:rPr>
        <w:t xml:space="preserve">It applies at our offices and project sites, at events, during travel, online, and outside working hours where your conduct could affect the people we serve, including contact that started through our work and continued privately.</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this policy, a partner's or funder's policy and the law differ, we follow the rule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country where you are registered and every country where you run activities. For each one, check with a local lawyer or child protection agency: the legal definition of a child and any special rules for 16–17-year-olds; whether anyone must report suspected child abuse (see the box on mandatory reporting); and whether criminal record checks exist and can lawfully be requested for your roles. If you work in only one country, delete the second sentence.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Child</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under 18, whatever the local age of majority or of sexual consent, following the UN Convention on the Rights of the Child (1989).</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Adult at risk</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aged 18 or over who may be less able to protect themselves from harm because of their circumstances: for example disability, illness, older age, trauma, displacement, detention, extreme poverty, stigma, or dependence on others, including on us. It can be temporary, and does not mean the person cannot make their own decisions.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Abuse and harm</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sexual, emotional, financial and discriminatory harm, neglect, and exploitation such as child labour or trafficking, in person or online.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exploitation</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vulnerability, power or trust for sexual purposes, including to profit financially, socially or politically.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abuse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or threatened physical intrusion of a sexual nature, by force or under unequal or coercive conditions. For children, any sexual activity, sexual messages or images, or exposure to sexual material.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harassment</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Unwanted conduct of a sexual nature that violates someone's dignity or creates an intimidating, hostile or humiliating environment, including between colleagues.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SEAH</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Sexual exploitation, abuse and harassment together.</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Grooming</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Building trust with a child or adult, and often their family, in order to abuse or exploit them. It often happens online.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Survivor</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harmed. We use the word they prefer.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put the safety, dignity and best interests of children and adults at risk first. Our response is survivor-centred: the survivor's safety, wishes, confidentiality and dignity guide what we do. We aim to do no harm, including through our response. We pay special attention to people who find it harder to speak up. Culture is never an excuse for harm.</w:t>
      </w:r>
    </w:p>
    <w:p>
      <w:pPr>
        <w:pStyle w:val="Heading2"/>
        <w:keepNext/>
        <w:spacing w:after="120" w:before="280"/>
      </w:pPr>
      <w:r>
        <w:rPr>
          <w:rFonts w:ascii="DM Serif Display" w:cs="DM Serif Display" w:eastAsia="DM Serif Display" w:hAnsi="DM Serif Display"/>
          <w:color w:val="123C48"/>
          <w:sz w:val="28"/>
          <w:szCs w:val="28"/>
        </w:rPr>
        <w:t xml:space="preserve">2. Protection from sexual exploitation, abuse and harassment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Inter-Agency Standing Committee (IASC) Six Core Principles relating to Sexual Exploitation and Abuse (2019):</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Sexual activity with anyone under 18 is prohibited, whatever the local age of majority or consent. Mistaken belief about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Exchanging money, employment, goods, services or assistance for sex, sexual favours or any other humiliating, degrading or exploitative behaviour is prohibited.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They undermine the integrity of our work.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with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must help keep an environment that prevents sexual exploitation and abuse. Managers and board members have a particular duty to build and support the systems that do this.</w:t>
      </w:r>
    </w:p>
    <w:p>
      <w:pPr>
        <w:spacing w:after="120" w:before="0" w:line="300"/>
      </w:pPr>
      <w:r>
        <w:rPr>
          <w:rFonts w:ascii="Nunito Sans" w:cs="Nunito Sans" w:eastAsia="Nunito Sans" w:hAnsi="Nunito Sans"/>
          <w:color w:val="102E3B"/>
          <w:sz w:val="20"/>
          <w:szCs w:val="20"/>
        </w:rPr>
        <w:t xml:space="preserve">Sexual harassment of anyone, including colleagues and partners' staff, also breaches this policy. Our Anti-Harassment, Intimidation and Bullying Policy and Procedure explains how we handle it between colleagues.</w:t>
      </w:r>
    </w:p>
    <w:p>
      <w:pPr>
        <w:pStyle w:val="Heading2"/>
        <w:keepNext/>
        <w:spacing w:after="120" w:before="280"/>
      </w:pPr>
      <w:r>
        <w:rPr>
          <w:rFonts w:ascii="DM Serif Display" w:cs="DM Serif Display" w:eastAsia="DM Serif Display" w:hAnsi="DM Serif Display"/>
          <w:color w:val="123C48"/>
          <w:sz w:val="28"/>
          <w:szCs w:val="28"/>
        </w:rPr>
        <w:t xml:space="preserve">3. Safe activities</w:t>
      </w:r>
    </w:p>
    <w:p>
      <w:pPr>
        <w:spacing w:after="120" w:before="0" w:line="300"/>
      </w:pPr>
      <w:r>
        <w:rPr>
          <w:rFonts w:ascii="Nunito Sans" w:cs="Nunito Sans" w:eastAsia="Nunito Sans" w:hAnsi="Nunito Sans"/>
          <w:color w:val="102E3B"/>
          <w:sz w:val="20"/>
          <w:szCs w:val="20"/>
        </w:rPr>
        <w:t xml:space="preserve">Before any activity involving children or adults at risk, the activity lead and safeguarding lead complete a short risk assessment: who takes part, who has contact with them, what information we collect, how participants can raise a concern, and where we can refer someone (Annex B). Minimum rules: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adults are present, or the activity happens where others can see. Any one-to-one contact is agreed beforehand with the safeguarding lead and recorded.</w:t>
      </w:r>
    </w:p>
    <w:p>
      <w:pPr>
        <w:pStyle w:val="ListParagraph"/>
        <w:numPr>
          <w:ilvl w:val="0"/>
          <w:numId w:val="3"/>
        </w:numPr>
        <w:spacing w:after="80" w:line="290"/>
      </w:pPr>
      <w:r>
        <w:rPr>
          <w:rFonts w:ascii="Nunito Sans" w:cs="Nunito Sans" w:eastAsia="Nunito Sans" w:hAnsi="Nunito Sans"/>
          <w:color w:val="102E3B"/>
          <w:sz w:val="20"/>
          <w:szCs w:val="20"/>
        </w:rPr>
        <w:t xml:space="preserve">No child is left with a volunteer or visitor who has not been through safer recruitment.</w:t>
      </w:r>
    </w:p>
    <w:p>
      <w:pPr>
        <w:pStyle w:val="ListParagraph"/>
        <w:numPr>
          <w:ilvl w:val="0"/>
          <w:numId w:val="3"/>
        </w:numPr>
        <w:spacing w:after="80" w:line="290"/>
      </w:pPr>
      <w:r>
        <w:rPr>
          <w:rFonts w:ascii="Nunito Sans" w:cs="Nunito Sans" w:eastAsia="Nunito Sans" w:hAnsi="Nunito Sans"/>
          <w:color w:val="102E3B"/>
          <w:sz w:val="20"/>
          <w:szCs w:val="20"/>
        </w:rPr>
        <w:t xml:space="preserve">We get informed consent from participants, and from a parent or guardian for children, before activities, photographs or collecting personal data.</w:t>
      </w:r>
    </w:p>
    <w:p>
      <w:pPr>
        <w:pStyle w:val="ListParagraph"/>
        <w:numPr>
          <w:ilvl w:val="0"/>
          <w:numId w:val="3"/>
        </w:numPr>
        <w:spacing w:after="80" w:line="290"/>
      </w:pPr>
      <w:r>
        <w:rPr>
          <w:rFonts w:ascii="Nunito Sans" w:cs="Nunito Sans" w:eastAsia="Nunito Sans" w:hAnsi="Nunito Sans"/>
          <w:color w:val="102E3B"/>
          <w:sz w:val="20"/>
          <w:szCs w:val="20"/>
        </w:rPr>
        <w:t xml:space="preserve">We do not transport participants in private vehicles unless the safeguarding lead agrees and a second adult is present.</w:t>
      </w:r>
    </w:p>
    <w:p>
      <w:pPr>
        <w:pStyle w:val="ListParagraph"/>
        <w:numPr>
          <w:ilvl w:val="0"/>
          <w:numId w:val="3"/>
        </w:numPr>
        <w:spacing w:after="80" w:line="290"/>
      </w:pPr>
      <w:r>
        <w:rPr>
          <w:rFonts w:ascii="Nunito Sans" w:cs="Nunito Sans" w:eastAsia="Nunito Sans" w:hAnsi="Nunito Sans"/>
          <w:color w:val="102E3B"/>
          <w:sz w:val="20"/>
          <w:szCs w:val="20"/>
        </w:rPr>
        <w:t xml:space="preserve">We do not organise visits to residential care for children or short-term volunteering in orphanages.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rules for your setting: overnight trips, home visits, sport, health sessions, distributions, or work in camps or detention. If you have no direct contact with children or adults at risk (for example, you only fund or train others), say so, but keep the duty to report and the partner rules in section 7. Add safeguarding risks to your Risk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Safer recruitment</w:t>
      </w:r>
    </w:p>
    <w:p>
      <w:pPr>
        <w:spacing w:after="120" w:before="0" w:line="300"/>
      </w:pPr>
      <w:r>
        <w:rPr>
          <w:rFonts w:ascii="Nunito Sans" w:cs="Nunito Sans" w:eastAsia="Nunito Sans" w:hAnsi="Nunito Sans"/>
          <w:color w:val="102E3B"/>
          <w:sz w:val="20"/>
          <w:szCs w:val="20"/>
        </w:rPr>
        <w:t xml:space="preserve">For every role, paid or unpaid, with contact with children or adults at risk or access to their personal information, we:</w:t>
      </w:r>
    </w:p>
    <w:p>
      <w:pPr>
        <w:pStyle w:val="ListParagraph"/>
        <w:numPr>
          <w:ilvl w:val="0"/>
          <w:numId w:val="5"/>
        </w:numPr>
        <w:spacing w:after="80" w:line="290"/>
      </w:pPr>
      <w:r>
        <w:rPr>
          <w:rFonts w:ascii="Nunito Sans" w:cs="Nunito Sans" w:eastAsia="Nunito Sans" w:hAnsi="Nunito Sans"/>
          <w:color w:val="102E3B"/>
          <w:sz w:val="20"/>
          <w:szCs w:val="20"/>
        </w:rPr>
        <w:t xml:space="preserve">state our commitment to safeguarding in the advert and role description, and ask a safeguarding question at interview;</w:t>
      </w:r>
    </w:p>
    <w:p>
      <w:pPr>
        <w:pStyle w:val="ListParagraph"/>
        <w:numPr>
          <w:ilvl w:val="0"/>
          <w:numId w:val="5"/>
        </w:numPr>
        <w:spacing w:after="80" w:line="290"/>
      </w:pPr>
      <w:r>
        <w:rPr>
          <w:rFonts w:ascii="Nunito Sans" w:cs="Nunito Sans" w:eastAsia="Nunito Sans" w:hAnsi="Nunito Sans"/>
          <w:color w:val="102E3B"/>
          <w:sz w:val="20"/>
          <w:szCs w:val="20"/>
        </w:rPr>
        <w:t xml:space="preserve">ask for a signed self-declaration that the candidate has not been dismissed, convicted, or left a role during an investigation, for sexual exploitation, abuse, harassment or offences against children or adults at risk, and is not barred from such work;</w:t>
      </w:r>
    </w:p>
    <w:p>
      <w:pPr>
        <w:pStyle w:val="ListParagraph"/>
        <w:numPr>
          <w:ilvl w:val="0"/>
          <w:numId w:val="5"/>
        </w:numPr>
        <w:spacing w:after="80" w:line="290"/>
      </w:pPr>
      <w:r>
        <w:rPr>
          <w:rFonts w:ascii="Nunito Sans" w:cs="Nunito Sans" w:eastAsia="Nunito Sans" w:hAnsi="Nunito Sans"/>
          <w:color w:val="102E3B"/>
          <w:sz w:val="20"/>
          <w:szCs w:val="20"/>
        </w:rPr>
        <w:t xml:space="preserve">take at least two references, one from the most recent employer, and ask referees directly whether the candidate was investigated for, or found to have committed, sexual exploitation, abuse or harassment;</w:t>
      </w:r>
    </w:p>
    <w:p>
      <w:pPr>
        <w:pStyle w:val="ListParagraph"/>
        <w:numPr>
          <w:ilvl w:val="0"/>
          <w:numId w:val="5"/>
        </w:numPr>
        <w:spacing w:after="80" w:line="290"/>
      </w:pPr>
      <w:r>
        <w:rPr>
          <w:rFonts w:ascii="Nunito Sans" w:cs="Nunito Sans" w:eastAsia="Nunito Sans" w:hAnsi="Nunito Sans"/>
          <w:color w:val="102E3B"/>
          <w:sz w:val="20"/>
          <w:szCs w:val="20"/>
        </w:rPr>
        <w:t xml:space="preserve">verify identity, and qualifications where they matter;</w:t>
      </w:r>
    </w:p>
    <w:p>
      <w:pPr>
        <w:pStyle w:val="ListParagraph"/>
        <w:numPr>
          <w:ilvl w:val="0"/>
          <w:numId w:val="5"/>
        </w:numPr>
        <w:spacing w:after="80" w:line="290"/>
      </w:pPr>
      <w:r>
        <w:rPr>
          <w:rFonts w:ascii="Nunito Sans" w:cs="Nunito Sans" w:eastAsia="Nunito Sans" w:hAnsi="Nunito Sans"/>
          <w:color w:val="102E3B"/>
          <w:sz w:val="20"/>
          <w:szCs w:val="20"/>
        </w:rPr>
        <w:t xml:space="preserve">request a police or criminal record check where one is available, lawful and reasonably reliable;</w:t>
      </w:r>
    </w:p>
    <w:p>
      <w:pPr>
        <w:pStyle w:val="ListParagraph"/>
        <w:numPr>
          <w:ilvl w:val="0"/>
          <w:numId w:val="5"/>
        </w:numPr>
        <w:spacing w:after="80" w:line="290"/>
      </w:pPr>
      <w:r>
        <w:rPr>
          <w:rFonts w:ascii="Nunito Sans" w:cs="Nunito Sans" w:eastAsia="Nunito Sans" w:hAnsi="Nunito Sans"/>
          <w:color w:val="102E3B"/>
          <w:sz w:val="20"/>
          <w:szCs w:val="20"/>
        </w:rPr>
        <w:t xml:space="preserve">make sure the person signs this policy and the Code of Conduct and completes induction before starting contact work.</w:t>
      </w:r>
    </w:p>
    <w:p>
      <w:pPr>
        <w:spacing w:after="120" w:before="0" w:line="300"/>
      </w:pPr>
      <w:r>
        <w:rPr>
          <w:rFonts w:ascii="Nunito Sans" w:cs="Nunito Sans" w:eastAsia="Nunito Sans" w:hAnsi="Nunito Sans"/>
          <w:color w:val="102E3B"/>
          <w:sz w:val="20"/>
          <w:szCs w:val="20"/>
        </w:rPr>
        <w:t xml:space="preserve">We follow the principles of the Misconduct Disclosure Scheme: when asked for a reference, we share confirmed findings of sexual exploitation, abuse or harassment where the law allows. No check is a guarantee. Supervision and a culture of speaking up matter as much. Our Safer Recruitment Procedure sets out each step, with checklists, a reference request and a self-declaration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POLICE CHECKS BY COUNTRY</w:t>
            </w:r>
          </w:p>
          <w:p>
            <w:pPr>
              <w:spacing w:after="120" w:before="0" w:line="300"/>
            </w:pPr>
            <w:r>
              <w:rPr>
                <w:rFonts w:ascii="Nunito Sans" w:cs="Nunito Sans" w:eastAsia="Nunito Sans" w:hAnsi="Nunito Sans"/>
                <w:color w:val="102E3B"/>
                <w:sz w:val="19"/>
                <w:szCs w:val="19"/>
              </w:rPr>
              <w:t xml:space="preserve">Decide which roles need a check and from which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Disclosure and Barring Service (DBS) checks; enhanced checks with barred list checks only for eligible roles.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 Police Clearance Certificate (often called a Certificate of Good Conduct) from the Directorate of Criminal Investigations.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police clearance certificate, plus checks of the National Child Protection Register and the National Register for Sex Offenders for people working with children. Check your current duties under the Children's Act 38 of 2005.</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and Brazil:</w:t>
            </w:r>
            <w:r>
              <w:rPr>
                <w:rFonts w:ascii="Nunito Sans" w:cs="Nunito Sans" w:eastAsia="Nunito Sans" w:hAnsi="Nunito Sans"/>
                <w:color w:val="102E3B"/>
                <w:sz w:val="19"/>
                <w:szCs w:val="19"/>
              </w:rPr>
              <w:t xml:space="preserve"> police verification and criminal record certificates are issued by state (and in Brazil also federal) authorities; processes differ.</w:t>
            </w:r>
          </w:p>
          <w:p>
            <w:pPr>
              <w:spacing w:after="120" w:before="0" w:line="300"/>
            </w:pPr>
            <w:r>
              <w:rPr>
                <w:rFonts w:ascii="Nunito Sans" w:cs="Nunito Sans" w:eastAsia="Nunito Sans" w:hAnsi="Nunito Sans"/>
                <w:color w:val="102E3B"/>
                <w:sz w:val="19"/>
                <w:szCs w:val="19"/>
              </w:rPr>
              <w:t xml:space="preserve">Where checks are unreliable or unavailable, rely more on references, self-declaration and supervision, and record why. Criminal record data is highly sensitive under most data protection laws: collect only what you need and delete it after the decision.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Behaviour, online safety and images</w:t>
      </w:r>
    </w:p>
    <w:p>
      <w:pPr>
        <w:spacing w:after="120" w:before="0" w:line="300"/>
      </w:pPr>
      <w:r>
        <w:rPr>
          <w:rFonts w:ascii="Nunito Sans" w:cs="Nunito Sans" w:eastAsia="Nunito Sans" w:hAnsi="Nunito Sans"/>
          <w:color w:val="102E3B"/>
          <w:sz w:val="20"/>
          <w:szCs w:val="20"/>
        </w:rPr>
        <w:t xml:space="preserve">Everyone follows our Code of Conduct, which sets out the behaviour we expect. Harm can also happen through phones, messaging apps and social media. We:</w:t>
      </w:r>
    </w:p>
    <w:p>
      <w:pPr>
        <w:pStyle w:val="ListParagraph"/>
        <w:numPr>
          <w:ilvl w:val="0"/>
          <w:numId w:val="3"/>
        </w:numPr>
        <w:spacing w:after="80" w:line="290"/>
      </w:pPr>
      <w:r>
        <w:rPr>
          <w:rFonts w:ascii="Nunito Sans" w:cs="Nunito Sans" w:eastAsia="Nunito Sans" w:hAnsi="Nunito Sans"/>
          <w:color w:val="102E3B"/>
          <w:sz w:val="20"/>
          <w:szCs w:val="20"/>
        </w:rPr>
        <w:t xml:space="preserve">use organisation accounts and devices to contact children or adults at risk. Where a messaging app is needed, the safeguarding lead agrees which one and a second team member is in the group;</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through private messages or personal social media, or follow them from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run online sessions with children with two adults, parental consent and moderated chat, and record them only with consent for a clear purpose;</w:t>
      </w:r>
    </w:p>
    <w:p>
      <w:pPr>
        <w:pStyle w:val="ListParagraph"/>
        <w:numPr>
          <w:ilvl w:val="0"/>
          <w:numId w:val="3"/>
        </w:numPr>
        <w:spacing w:after="80" w:line="290"/>
      </w:pPr>
      <w:r>
        <w:rPr>
          <w:rFonts w:ascii="Nunito Sans" w:cs="Nunito Sans" w:eastAsia="Nunito Sans" w:hAnsi="Nunito Sans"/>
          <w:color w:val="102E3B"/>
          <w:sz w:val="20"/>
          <w:szCs w:val="20"/>
        </w:rPr>
        <w:t xml:space="preserve">switch off location tags and never publish anything that reveals where a child, survivor or shelter can be found;</w:t>
      </w:r>
    </w:p>
    <w:p>
      <w:pPr>
        <w:pStyle w:val="ListParagraph"/>
        <w:numPr>
          <w:ilvl w:val="0"/>
          <w:numId w:val="3"/>
        </w:numPr>
        <w:spacing w:after="80" w:line="290"/>
      </w:pPr>
      <w:r>
        <w:rPr>
          <w:rFonts w:ascii="Nunito Sans" w:cs="Nunito Sans" w:eastAsia="Nunito Sans" w:hAnsi="Nunito Sans"/>
          <w:color w:val="102E3B"/>
          <w:sz w:val="20"/>
          <w:szCs w:val="20"/>
        </w:rPr>
        <w:t xml:space="preserve">never put names, stories, images or case details of children, survivors or adults at risk into AI tools or online services we have not approved.</w:t>
      </w:r>
    </w:p>
    <w:p>
      <w:pPr>
        <w:spacing w:after="120" w:before="0" w:line="300"/>
      </w:pPr>
      <w:r>
        <w:rPr>
          <w:rFonts w:ascii="Nunito Sans" w:cs="Nunito Sans" w:eastAsia="Nunito Sans" w:hAnsi="Nunito Sans"/>
          <w:color w:val="102E3B"/>
          <w:sz w:val="20"/>
          <w:szCs w:val="20"/>
        </w:rPr>
        <w:t xml:space="preserve">We tell people's stories only with informed consent, using our Photo and Story Consent Form, and never in a way that could identify a child at risk or endanger anyone. Report online harm, including grooming, sextortion (threats to share sexual images unless the person pays or does something) and the sharing of intimate images, like any other concern.</w:t>
      </w:r>
    </w:p>
    <w:p>
      <w:pPr>
        <w:pStyle w:val="Heading2"/>
        <w:keepNext/>
        <w:spacing w:after="120" w:before="280"/>
      </w:pPr>
      <w:r>
        <w:rPr>
          <w:rFonts w:ascii="DM Serif Display" w:cs="DM Serif Display" w:eastAsia="DM Serif Display" w:hAnsi="DM Serif Display"/>
          <w:color w:val="123C48"/>
          <w:sz w:val="28"/>
          <w:szCs w:val="28"/>
        </w:rPr>
        <w:t xml:space="preserve">6. Training</w:t>
      </w:r>
    </w:p>
    <w:p>
      <w:pPr>
        <w:spacing w:after="120" w:before="0" w:line="300"/>
      </w:pPr>
      <w:r>
        <w:rPr>
          <w:rFonts w:ascii="Nunito Sans" w:cs="Nunito Sans" w:eastAsia="Nunito Sans" w:hAnsi="Nunito Sans"/>
          <w:color w:val="102E3B"/>
          <w:sz w:val="20"/>
          <w:szCs w:val="20"/>
        </w:rPr>
        <w:t xml:space="preserve">Everyone completes safeguarding induction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before unsupervised contact work, and a short refresher every year. The safeguarding lead and deputy complete recognised training and refresh it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We tell the people we serve, in their language and an accessible format, what behaviour to expect from us, that our help is free, and how to raise a concern.</w:t>
      </w:r>
    </w:p>
    <w:p>
      <w:pPr>
        <w:pStyle w:val="Heading2"/>
        <w:keepNext/>
        <w:spacing w:after="120" w:before="280"/>
      </w:pPr>
      <w:r>
        <w:rPr>
          <w:rFonts w:ascii="DM Serif Display" w:cs="DM Serif Display" w:eastAsia="DM Serif Display" w:hAnsi="DM Serif Display"/>
          <w:color w:val="123C48"/>
          <w:sz w:val="28"/>
          <w:szCs w:val="28"/>
        </w:rPr>
        <w:t xml:space="preserve">7. Partners, contractors and suppliers</w:t>
      </w:r>
    </w:p>
    <w:p>
      <w:pPr>
        <w:spacing w:after="120" w:before="0" w:line="300"/>
      </w:pPr>
      <w:r>
        <w:rPr>
          <w:rFonts w:ascii="Nunito Sans" w:cs="Nunito Sans" w:eastAsia="Nunito Sans" w:hAnsi="Nunito Sans"/>
          <w:color w:val="102E3B"/>
          <w:sz w:val="20"/>
          <w:szCs w:val="20"/>
        </w:rPr>
        <w:t xml:space="preserve">Our standards apply to everyone working on our projects. We check partners' safeguarding arrangements under our Partner Due Diligence and Sanctions Screening Policy. Our agreements require partners, sub-grantees and contractors to:</w:t>
      </w:r>
    </w:p>
    <w:p>
      <w:pPr>
        <w:pStyle w:val="ListParagraph"/>
        <w:numPr>
          <w:ilvl w:val="0"/>
          <w:numId w:val="6"/>
        </w:numPr>
        <w:spacing w:after="80" w:line="290"/>
      </w:pPr>
      <w:r>
        <w:rPr>
          <w:rFonts w:ascii="Nunito Sans" w:cs="Nunito Sans" w:eastAsia="Nunito Sans" w:hAnsi="Nunito Sans"/>
          <w:color w:val="102E3B"/>
          <w:sz w:val="20"/>
          <w:szCs w:val="20"/>
        </w:rPr>
        <w:t xml:space="preserve">follow this policy, or their own if it is at least as strong, and the IASC six core principles;</w:t>
      </w:r>
    </w:p>
    <w:p>
      <w:pPr>
        <w:pStyle w:val="ListParagraph"/>
        <w:numPr>
          <w:ilvl w:val="0"/>
          <w:numId w:val="6"/>
        </w:numPr>
        <w:spacing w:after="80" w:line="290"/>
      </w:pPr>
      <w:r>
        <w:rPr>
          <w:rFonts w:ascii="Nunito Sans" w:cs="Nunito Sans" w:eastAsia="Nunito Sans" w:hAnsi="Nunito Sans"/>
          <w:color w:val="102E3B"/>
          <w:sz w:val="20"/>
          <w:szCs w:val="20"/>
        </w:rPr>
        <w:t xml:space="preserve">name a safeguarding focal point and use safer recruitment for our projects;</w:t>
      </w:r>
    </w:p>
    <w:p>
      <w:pPr>
        <w:pStyle w:val="ListParagraph"/>
        <w:numPr>
          <w:ilvl w:val="0"/>
          <w:numId w:val="6"/>
        </w:numPr>
        <w:spacing w:after="80" w:line="290"/>
      </w:pPr>
      <w:r>
        <w:rPr>
          <w:rFonts w:ascii="Nunito Sans" w:cs="Nunito Sans" w:eastAsia="Nunito Sans" w:hAnsi="Nunito Sans"/>
          <w:color w:val="102E3B"/>
          <w:sz w:val="20"/>
          <w:szCs w:val="20"/>
        </w:rPr>
        <w:t xml:space="preserve">tell us of any safeguarding concern connected to our work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protecting the survivor's identity;</w:t>
      </w:r>
    </w:p>
    <w:p>
      <w:pPr>
        <w:pStyle w:val="ListParagraph"/>
        <w:numPr>
          <w:ilvl w:val="0"/>
          <w:numId w:val="6"/>
        </w:numPr>
        <w:spacing w:after="80" w:line="290"/>
      </w:pPr>
      <w:r>
        <w:rPr>
          <w:rFonts w:ascii="Nunito Sans" w:cs="Nunito Sans" w:eastAsia="Nunito Sans" w:hAnsi="Nunito Sans"/>
          <w:color w:val="102E3B"/>
          <w:sz w:val="20"/>
          <w:szCs w:val="20"/>
        </w:rPr>
        <w:t xml:space="preserve">cooperate with any review, and accept that we may end the agreement for a breach;</w:t>
      </w:r>
    </w:p>
    <w:p>
      <w:pPr>
        <w:pStyle w:val="ListParagraph"/>
        <w:numPr>
          <w:ilvl w:val="0"/>
          <w:numId w:val="6"/>
        </w:numPr>
        <w:spacing w:after="80" w:line="290"/>
      </w:pPr>
      <w:r>
        <w:rPr>
          <w:rFonts w:ascii="Nunito Sans" w:cs="Nunito Sans" w:eastAsia="Nunito Sans" w:hAnsi="Nunito Sans"/>
          <w:color w:val="102E3B"/>
          <w:sz w:val="20"/>
          <w:szCs w:val="20"/>
        </w:rPr>
        <w:t xml:space="preserve">pass the same requirements to anyone they subcontract.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FLOW-DOWN TO PARTNERS</w:t>
            </w:r>
          </w:p>
          <w:p>
            <w:pPr>
              <w:spacing w:after="120" w:before="0" w:line="300"/>
            </w:pPr>
            <w:r>
              <w:rPr>
                <w:rFonts w:ascii="Nunito Sans" w:cs="Nunito Sans" w:eastAsia="Nunito Sans" w:hAnsi="Nunito Sans"/>
                <w:color w:val="102E3B"/>
                <w:sz w:val="19"/>
                <w:szCs w:val="19"/>
              </w:rPr>
              <w:t xml:space="preserve">Match the requirement to the partner. A community group running a one-off event may need only a signed code of conduct and a briefing. A sub-grantee working with children needs a full policy, a focal point and reporting duties written into the Sub-grant Agreement. Check your funders' terms: many institutional funders require safeguarding clauses to be passed down to every downstream partner, sometimes with fixed reporting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respond and report</w:t>
      </w:r>
    </w:p>
    <w:p>
      <w:pPr>
        <w:pStyle w:val="Heading2"/>
        <w:keepNext/>
        <w:spacing w:after="120" w:before="280"/>
      </w:pPr>
      <w:r>
        <w:rPr>
          <w:rFonts w:ascii="DM Serif Display" w:cs="DM Serif Display" w:eastAsia="DM Serif Display" w:hAnsi="DM Serif Display"/>
          <w:color w:val="123C48"/>
          <w:sz w:val="28"/>
          <w:szCs w:val="28"/>
        </w:rPr>
        <w:t xml:space="preserve">8. If someone is in immediate danger</w:t>
      </w:r>
    </w:p>
    <w:p>
      <w:pPr>
        <w:spacing w:after="120" w:before="0" w:line="300"/>
      </w:pPr>
      <w:r>
        <w:rPr>
          <w:rFonts w:ascii="Nunito Sans" w:cs="Nunito Sans" w:eastAsia="Nunito Sans" w:hAnsi="Nunito Sans"/>
          <w:color w:val="102E3B"/>
          <w:sz w:val="20"/>
          <w:szCs w:val="20"/>
        </w:rPr>
        <w:t xml:space="preserve">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or take the person to </w:t>
      </w:r>
      <w:r>
        <w:rPr>
          <w:rFonts w:ascii="Nunito Sans" w:cs="Nunito Sans" w:eastAsia="Nunito Sans" w:hAnsi="Nunito Sans"/>
          <w:color w:val="102E3B"/>
          <w:sz w:val="20"/>
          <w:szCs w:val="20"/>
          <w:highlight w:val="yellow"/>
        </w:rPr>
        <w:t xml:space="preserve">[nearest health facility]</w:t>
      </w:r>
      <w:r>
        <w:rPr>
          <w:rFonts w:ascii="Nunito Sans" w:cs="Nunito Sans" w:eastAsia="Nunito Sans" w:hAnsi="Nunito Sans"/>
          <w:color w:val="102E3B"/>
          <w:sz w:val="20"/>
          <w:szCs w:val="20"/>
        </w:rPr>
        <w:t xml:space="preserve">, if it is safe for you and for them. Then tell the safeguarding lead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If someone tells you about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Listen</w:t>
      </w:r>
      <w:r>
        <w:rPr>
          <w:rFonts w:ascii="Nunito Sans" w:cs="Nunito Sans" w:eastAsia="Nunito Sans" w:hAnsi="Nunito Sans"/>
          <w:color w:val="102E3B"/>
          <w:sz w:val="20"/>
          <w:szCs w:val="20"/>
        </w:rPr>
        <w:t xml:space="preserve"> calmly. Let them speak in their own way and at their own pace.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Reassure</w:t>
      </w:r>
      <w:r>
        <w:rPr>
          <w:rFonts w:ascii="Nunito Sans" w:cs="Nunito Sans" w:eastAsia="Nunito Sans" w:hAnsi="Nunito Sans"/>
          <w:color w:val="102E3B"/>
          <w:sz w:val="20"/>
          <w:szCs w:val="20"/>
        </w:rPr>
        <w:t xml:space="preserve"> them that they were right to tell you and that it is not their fault. Check they are safe now.</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w:t>
      </w:r>
      <w:r>
        <w:rPr>
          <w:rFonts w:ascii="Nunito Sans" w:cs="Nunito Sans" w:eastAsia="Nunito Sans" w:hAnsi="Nunito Sans"/>
          <w:color w:val="102E3B"/>
          <w:sz w:val="20"/>
          <w:szCs w:val="20"/>
        </w:rPr>
        <w:t xml:space="preserve"> about what happens next. Do not promise secrecy: say you will share only what is needed to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investigate.</w:t>
      </w:r>
      <w:r>
        <w:rPr>
          <w:rFonts w:ascii="Nunito Sans" w:cs="Nunito Sans" w:eastAsia="Nunito Sans" w:hAnsi="Nunito Sans"/>
          <w:color w:val="102E3B"/>
          <w:sz w:val="20"/>
          <w:szCs w:val="20"/>
        </w:rPr>
        <w:t xml:space="preserve"> Do not ask leading questions ("Did he touch you?"), examine injuries, look for evidence or confront anyone.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w:t>
      </w:r>
      <w:r>
        <w:rPr>
          <w:rFonts w:ascii="Nunito Sans" w:cs="Nunito Sans" w:eastAsia="Nunito Sans" w:hAnsi="Nunito Sans"/>
          <w:color w:val="102E3B"/>
          <w:sz w:val="20"/>
          <w:szCs w:val="20"/>
        </w:rPr>
        <w:t xml:space="preserve"> as soon as possible what they said, in their own words, with the date, time and place. Facts, not opinions.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Do not discuss it with anyone else.</w:t>
      </w:r>
    </w:p>
    <w:p>
      <w:pPr>
        <w:pStyle w:val="Heading2"/>
        <w:keepNext/>
        <w:spacing w:after="120" w:before="280"/>
      </w:pPr>
      <w:r>
        <w:rPr>
          <w:rFonts w:ascii="DM Serif Display" w:cs="DM Serif Display" w:eastAsia="DM Serif Display" w:hAnsi="DM Serif Display"/>
          <w:color w:val="123C48"/>
          <w:sz w:val="28"/>
          <w:szCs w:val="28"/>
        </w:rPr>
        <w:t xml:space="preserve">10. How to report</w:t>
      </w:r>
    </w:p>
    <w:p>
      <w:pPr>
        <w:spacing w:after="120" w:before="0" w:line="300"/>
      </w:pPr>
      <w:r>
        <w:rPr>
          <w:rFonts w:ascii="Nunito Sans" w:cs="Nunito Sans" w:eastAsia="Nunito Sans" w:hAnsi="Nunito Sans"/>
          <w:color w:val="102E3B"/>
          <w:sz w:val="20"/>
          <w:szCs w:val="20"/>
        </w:rPr>
        <w:t xml:space="preserve">Report any concern, suspicion or disclosure about anyone connected to our work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 Use the form in Annex A, or report by phone or in person.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or 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the concern is about the lead, the lead is involved, or the lead cannot be reached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safeguarding member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both of the above are involved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route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 box / anonymous form / hotline]</w:t>
            </w:r>
            <w:r>
              <w:rPr>
                <w:rFonts w:ascii="Nunito Sans" w:cs="Nunito Sans" w:eastAsia="Nunito Sans" w:hAnsi="Nunito Sans"/>
                <w:color w:val="102E3B"/>
                <w:sz w:val="18"/>
                <w:szCs w:val="18"/>
              </w:rPr>
              <w:t xml:space="preserve">. We may be unable to update you.</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member of our team, </w:t>
            </w:r>
            <w:r>
              <w:rPr>
                <w:rFonts w:ascii="Nunito Sans" w:cs="Nunito Sans" w:eastAsia="Nunito Sans" w:hAnsi="Nunito Sans"/>
                <w:color w:val="102E3B"/>
                <w:sz w:val="18"/>
                <w:szCs w:val="18"/>
                <w:highlight w:val="yellow"/>
              </w:rPr>
              <w:t xml:space="preserve">[community feedback channels]</w:t>
            </w:r>
            <w:r>
              <w:rPr>
                <w:rFonts w:ascii="Nunito Sans" w:cs="Nunito Sans" w:eastAsia="Nunito Sans" w:hAnsi="Nunito Sans"/>
                <w:color w:val="102E3B"/>
                <w:sz w:val="18"/>
                <w:szCs w:val="18"/>
              </w:rPr>
              <w:t xml:space="preserve">, or the safeguarding lead directly (see our 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You can also use our Whistleblowing Policy and Procedure, and you can always go directly to the police or local child protection services.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danger: contact emergency services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safeguarding lead about immediate danger or a serious incident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any other concern to the safeguarding lead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 if someone may be at risk; otherwise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Initial assessment and protective action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children or SEAH; otherwise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 where the law requires it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legal deadline, or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if none is set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Notify funders, regulators or insurers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each agreement's or rule's deadline (section 15)</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case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[30 / 60]</w:t>
            </w:r>
            <w:r>
              <w:rPr>
                <w:rFonts w:ascii="Nunito Sans" w:cs="Nunito Sans" w:eastAsia="Nunito Sans" w:hAnsi="Nunito Sans"/>
                <w:color w:val="102E3B"/>
                <w:sz w:val="18"/>
                <w:szCs w:val="18"/>
              </w:rPr>
              <w:t xml:space="preserve"> days, unless an external process is ongoing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What happens after a report</w:t>
      </w:r>
    </w:p>
    <w:p>
      <w:pPr>
        <w:spacing w:after="120" w:before="0" w:line="300"/>
      </w:pPr>
      <w:r>
        <w:rPr>
          <w:rFonts w:ascii="Nunito Sans" w:cs="Nunito Sans" w:eastAsia="Nunito Sans" w:hAnsi="Nunito Sans"/>
          <w:color w:val="102E3B"/>
          <w:sz w:val="20"/>
          <w:szCs w:val="20"/>
        </w:rPr>
        <w:t xml:space="preserve">The safeguarding lead, or the deputy if the lead is involved:</w:t>
      </w:r>
    </w:p>
    <w:p>
      <w:pPr>
        <w:pStyle w:val="ListParagraph"/>
        <w:numPr>
          <w:ilvl w:val="0"/>
          <w:numId w:val="7"/>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the report and gives a reference number.</w:t>
      </w:r>
    </w:p>
    <w:p>
      <w:pPr>
        <w:pStyle w:val="ListParagraph"/>
        <w:numPr>
          <w:ilvl w:val="0"/>
          <w:numId w:val="7"/>
        </w:numPr>
        <w:spacing w:after="80" w:line="290"/>
      </w:pPr>
      <w:r>
        <w:rPr>
          <w:rFonts w:ascii="Nunito Sans" w:cs="Nunito Sans" w:eastAsia="Nunito Sans" w:hAnsi="Nunito Sans"/>
          <w:b/>
          <w:bCs/>
          <w:color w:val="102E3B"/>
          <w:sz w:val="20"/>
          <w:szCs w:val="20"/>
        </w:rPr>
        <w:t xml:space="preserve">Assesses risk:</w:t>
      </w:r>
      <w:r>
        <w:rPr>
          <w:rFonts w:ascii="Nunito Sans" w:cs="Nunito Sans" w:eastAsia="Nunito Sans" w:hAnsi="Nunito Sans"/>
          <w:color w:val="102E3B"/>
          <w:sz w:val="20"/>
          <w:szCs w:val="20"/>
        </w:rPr>
        <w:t xml:space="preserve"> is anyone in danger, is a child involved, does the law require a report? They seek specialist advice where unsure.</w:t>
      </w:r>
    </w:p>
    <w:p>
      <w:pPr>
        <w:pStyle w:val="ListParagraph"/>
        <w:numPr>
          <w:ilvl w:val="0"/>
          <w:numId w:val="7"/>
        </w:numPr>
        <w:spacing w:after="80" w:line="290"/>
      </w:pPr>
      <w:r>
        <w:rPr>
          <w:rFonts w:ascii="Nunito Sans" w:cs="Nunito Sans" w:eastAsia="Nunito Sans" w:hAnsi="Nunito Sans"/>
          <w:b/>
          <w:bCs/>
          <w:color w:val="102E3B"/>
          <w:sz w:val="20"/>
          <w:szCs w:val="20"/>
        </w:rPr>
        <w:t xml:space="preserve">Protects</w:t>
      </w:r>
      <w:r>
        <w:rPr>
          <w:rFonts w:ascii="Nunito Sans" w:cs="Nunito Sans" w:eastAsia="Nunito Sans" w:hAnsi="Nunito Sans"/>
          <w:color w:val="102E3B"/>
          <w:sz w:val="20"/>
          <w:szCs w:val="20"/>
        </w:rPr>
        <w:t xml:space="preserve"> people straight away where needed: for example moving the person concerned away from contact work, suspending them, or pausing an activity. This is a precaution, not a finding.</w:t>
      </w:r>
    </w:p>
    <w:p>
      <w:pPr>
        <w:pStyle w:val="ListParagraph"/>
        <w:numPr>
          <w:ilvl w:val="0"/>
          <w:numId w:val="7"/>
        </w:numPr>
        <w:spacing w:after="80" w:line="290"/>
      </w:pPr>
      <w:r>
        <w:rPr>
          <w:rFonts w:ascii="Nunito Sans" w:cs="Nunito Sans" w:eastAsia="Nunito Sans" w:hAnsi="Nunito Sans"/>
          <w:b/>
          <w:bCs/>
          <w:color w:val="102E3B"/>
          <w:sz w:val="20"/>
          <w:szCs w:val="20"/>
        </w:rPr>
        <w:t xml:space="preserve">Talks to the survivor,</w:t>
      </w:r>
      <w:r>
        <w:rPr>
          <w:rFonts w:ascii="Nunito Sans" w:cs="Nunito Sans" w:eastAsia="Nunito Sans" w:hAnsi="Nunito Sans"/>
          <w:color w:val="102E3B"/>
          <w:sz w:val="20"/>
          <w:szCs w:val="20"/>
        </w:rPr>
        <w:t xml:space="preserve"> where safe, about their options and wishes, and offers referral to support (Annex B).</w:t>
      </w:r>
    </w:p>
    <w:p>
      <w:pPr>
        <w:pStyle w:val="ListParagraph"/>
        <w:numPr>
          <w:ilvl w:val="0"/>
          <w:numId w:val="7"/>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to child protection services, the police or others where the law requires it, a child is at risk, or an adult survivor agrees (section 13).</w:t>
      </w:r>
    </w:p>
    <w:p>
      <w:pPr>
        <w:pStyle w:val="ListParagraph"/>
        <w:numPr>
          <w:ilvl w:val="0"/>
          <w:numId w:val="7"/>
        </w:numPr>
        <w:spacing w:after="80" w:line="290"/>
      </w:pPr>
      <w:r>
        <w:rPr>
          <w:rFonts w:ascii="Nunito Sans" w:cs="Nunito Sans" w:eastAsia="Nunito Sans" w:hAnsi="Nunito Sans"/>
          <w:b/>
          <w:bCs/>
          <w:color w:val="102E3B"/>
          <w:sz w:val="20"/>
          <w:szCs w:val="20"/>
        </w:rPr>
        <w:t xml:space="preserve">Looks into it.</w:t>
      </w:r>
      <w:r>
        <w:rPr>
          <w:rFonts w:ascii="Nunito Sans" w:cs="Nunito Sans" w:eastAsia="Nunito Sans" w:hAnsi="Nunito Sans"/>
          <w:color w:val="102E3B"/>
          <w:sz w:val="20"/>
          <w:szCs w:val="20"/>
        </w:rPr>
        <w:t xml:space="preserve"> We never investigate crimes ourselves. For serious or complex internal cases we appoint a trained external investigator. If the authorities investigate, we cooperate and pause our own work if asked.</w:t>
      </w:r>
    </w:p>
    <w:p>
      <w:pPr>
        <w:pStyle w:val="ListParagraph"/>
        <w:numPr>
          <w:ilvl w:val="0"/>
          <w:numId w:val="7"/>
        </w:numPr>
        <w:spacing w:after="80" w:line="290"/>
      </w:pPr>
      <w:r>
        <w:rPr>
          <w:rFonts w:ascii="Nunito Sans" w:cs="Nunito Sans" w:eastAsia="Nunito Sans" w:hAnsi="Nunito Sans"/>
          <w:b/>
          <w:bCs/>
          <w:color w:val="102E3B"/>
          <w:sz w:val="20"/>
          <w:szCs w:val="20"/>
        </w:rPr>
        <w:t xml:space="preserve">Decides</w:t>
      </w:r>
      <w:r>
        <w:rPr>
          <w:rFonts w:ascii="Nunito Sans" w:cs="Nunito Sans" w:eastAsia="Nunito Sans" w:hAnsi="Nunito Sans"/>
          <w:color w:val="102E3B"/>
          <w:sz w:val="20"/>
          <w:szCs w:val="20"/>
        </w:rPr>
        <w:t xml:space="preserve"> on the balance of probabilities (whether the concern is more likely true than not) and acts under our Disciplinary and Grievance Procedure or agreements.</w:t>
      </w:r>
    </w:p>
    <w:p>
      <w:pPr>
        <w:pStyle w:val="ListParagraph"/>
        <w:numPr>
          <w:ilvl w:val="0"/>
          <w:numId w:val="7"/>
        </w:numPr>
        <w:spacing w:after="80" w:line="290"/>
      </w:pPr>
      <w:r>
        <w:rPr>
          <w:rFonts w:ascii="Nunito Sans" w:cs="Nunito Sans" w:eastAsia="Nunito Sans" w:hAnsi="Nunito Sans"/>
          <w:b/>
          <w:bCs/>
          <w:color w:val="102E3B"/>
          <w:sz w:val="20"/>
          <w:szCs w:val="20"/>
        </w:rPr>
        <w:t xml:space="preserve">Closes and learns:</w:t>
      </w:r>
      <w:r>
        <w:rPr>
          <w:rFonts w:ascii="Nunito Sans" w:cs="Nunito Sans" w:eastAsia="Nunito Sans" w:hAnsi="Nunito Sans"/>
          <w:color w:val="102E3B"/>
          <w:sz w:val="20"/>
          <w:szCs w:val="20"/>
        </w:rPr>
        <w:t xml:space="preserve"> tells the survivor and reporter as much as confidentiality allows, records the outcome and what we will change.</w:t>
      </w:r>
    </w:p>
    <w:p>
      <w:pPr>
        <w:spacing w:after="120" w:before="0" w:line="300"/>
      </w:pPr>
      <w:r>
        <w:rPr>
          <w:rFonts w:ascii="Nunito Sans" w:cs="Nunito Sans" w:eastAsia="Nunito Sans" w:hAnsi="Nunito Sans"/>
          <w:color w:val="102E3B"/>
          <w:sz w:val="20"/>
          <w:szCs w:val="20"/>
        </w:rPr>
        <w:t xml:space="preserve">The person concerned is told the substance of the allegation when it is safe, and can respond. Nobody is presumed to have done wrong.</w:t>
      </w:r>
    </w:p>
    <w:p>
      <w:pPr>
        <w:pStyle w:val="Heading2"/>
        <w:keepNext/>
        <w:spacing w:after="120" w:before="280"/>
      </w:pPr>
      <w:r>
        <w:rPr>
          <w:rFonts w:ascii="DM Serif Display" w:cs="DM Serif Display" w:eastAsia="DM Serif Display" w:hAnsi="DM Serif Display"/>
          <w:color w:val="123C48"/>
          <w:sz w:val="28"/>
          <w:szCs w:val="28"/>
        </w:rPr>
        <w:t xml:space="preserve">13. Putting the survivor first</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Before any referral, we consider how the person who caused harm, the family or the community might react.</w:t>
      </w:r>
    </w:p>
    <w:p>
      <w:pPr>
        <w:pStyle w:val="ListParagraph"/>
        <w:numPr>
          <w:ilvl w:val="0"/>
          <w:numId w:val="3"/>
        </w:numPr>
        <w:spacing w:after="80" w:line="290"/>
      </w:pPr>
      <w:r>
        <w:rPr>
          <w:rFonts w:ascii="Nunito Sans" w:cs="Nunito Sans" w:eastAsia="Nunito Sans" w:hAnsi="Nunito Sans"/>
          <w:b/>
          <w:bCs/>
          <w:color w:val="102E3B"/>
          <w:sz w:val="20"/>
          <w:szCs w:val="20"/>
        </w:rPr>
        <w:t xml:space="preserve">Adults choose.</w:t>
      </w:r>
      <w:r>
        <w:rPr>
          <w:rFonts w:ascii="Nunito Sans" w:cs="Nunito Sans" w:eastAsia="Nunito Sans" w:hAnsi="Nunito Sans"/>
          <w:color w:val="102E3B"/>
          <w:sz w:val="20"/>
          <w:szCs w:val="20"/>
        </w:rPr>
        <w:t xml:space="preserve"> We explain the options and respect their decisions. We do not report an adult survivor's experience to the police or community leaders without their consent, unless the law requires it, a child or another person is at serious risk, or their life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 are protected.</w:t>
      </w:r>
      <w:r>
        <w:rPr>
          <w:rFonts w:ascii="Nunito Sans" w:cs="Nunito Sans" w:eastAsia="Nunito Sans" w:hAnsi="Nunito Sans"/>
          <w:color w:val="102E3B"/>
          <w:sz w:val="20"/>
          <w:szCs w:val="20"/>
        </w:rPr>
        <w:t xml:space="preserve"> Where a child may be at risk of significant harm, we act even if they or their family disagree, and follow any mandatory reporting duty. We explain to the child what will happen, in a way they understand.</w:t>
      </w:r>
    </w:p>
    <w:p>
      <w:pPr>
        <w:pStyle w:val="ListParagraph"/>
        <w:numPr>
          <w:ilvl w:val="0"/>
          <w:numId w:val="3"/>
        </w:numPr>
        <w:spacing w:after="80" w:line="290"/>
      </w:pPr>
      <w:r>
        <w:rPr>
          <w:rFonts w:ascii="Nunito Sans" w:cs="Nunito Sans" w:eastAsia="Nunito Sans" w:hAnsi="Nunito Sans"/>
          <w:b/>
          <w:bCs/>
          <w:color w:val="102E3B"/>
          <w:sz w:val="20"/>
          <w:szCs w:val="20"/>
        </w:rPr>
        <w:t xml:space="preserve">If we act without consent,</w:t>
      </w:r>
      <w:r>
        <w:rPr>
          <w:rFonts w:ascii="Nunito Sans" w:cs="Nunito Sans" w:eastAsia="Nunito Sans" w:hAnsi="Nunito Sans"/>
          <w:color w:val="102E3B"/>
          <w:sz w:val="20"/>
          <w:szCs w:val="20"/>
        </w:rPr>
        <w:t xml:space="preserve"> we tell the survivor why and what we will share, and share only what is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Telling it once.</w:t>
      </w:r>
      <w:r>
        <w:rPr>
          <w:rFonts w:ascii="Nunito Sans" w:cs="Nunito Sans" w:eastAsia="Nunito Sans" w:hAnsi="Nunito Sans"/>
          <w:color w:val="102E3B"/>
          <w:sz w:val="20"/>
          <w:szCs w:val="20"/>
        </w:rPr>
        <w:t xml:space="preserve"> Only the safeguarding lead, or their appointee, takes a full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Practical support,</w:t>
      </w:r>
      <w:r>
        <w:rPr>
          <w:rFonts w:ascii="Nunito Sans" w:cs="Nunito Sans" w:eastAsia="Nunito Sans" w:hAnsi="Nunito Sans"/>
          <w:color w:val="102E3B"/>
          <w:sz w:val="20"/>
          <w:szCs w:val="20"/>
        </w:rPr>
        <w:t xml:space="preserve"> such as safe transport or interpretation.</w:t>
      </w:r>
    </w:p>
    <w:p>
      <w:pPr>
        <w:spacing w:after="120" w:before="0" w:line="300"/>
      </w:pPr>
      <w:r>
        <w:rPr>
          <w:rFonts w:ascii="Nunito Sans" w:cs="Nunito Sans" w:eastAsia="Nunito Sans" w:hAnsi="Nunito Sans"/>
          <w:color w:val="102E3B"/>
          <w:sz w:val="20"/>
          <w:szCs w:val="20"/>
        </w:rPr>
        <w:t xml:space="preserve">Referral can put adult survivors at risk. In some places, reporting gender-based violence (GBV) to the police can lead to retaliation, stigma, forced marriage, or prosecution of the survivor, for example for same-sex relationships, sex work, immigration status or sex outside marriage. Where this risk exists, we focus on confidential health, psychosocial and legal support chosen by the survivor.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w:t>
            </w:r>
          </w:p>
          <w:p>
            <w:pPr>
              <w:spacing w:after="120" w:before="0" w:line="300"/>
            </w:pPr>
            <w:r>
              <w:rPr>
                <w:rFonts w:ascii="Nunito Sans" w:cs="Nunito Sans" w:eastAsia="Nunito Sans" w:hAnsi="Nunito Sans"/>
                <w:color w:val="102E3B"/>
                <w:sz w:val="19"/>
                <w:szCs w:val="19"/>
              </w:rPr>
              <w:t xml:space="preserve">Find out what the law requires where you work and replace this box with two or three clear sentences. Examples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Protection of Children from Sexual Offences (POCSO) Act 2012 requires anyone who knows of, or suspects, a sexual offence against a child to report it to the police or the Special Juvenile Police Unit. Failing to report is an offence.</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Children's Act 38 of 2005 (section 110) requires many professionals, including teachers, health and social workers, to report suspected abuse or deliberate neglect of a child. Sexual offences legislation also requires anyone who knows of a sexual offence against a child to report it to the police.</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Statute of the Child and Adolescent (ECA, Law 8.069 of 1990) requires suspected maltreatment of a child to be reported to the Conselho Tutelar.</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check the children's law, the penal code and any gender-based violence law. Some duties apply only to certain professions.</w:t>
            </w:r>
          </w:p>
          <w:p>
            <w:pPr>
              <w:spacing w:after="120" w:before="0" w:line="300"/>
            </w:pPr>
            <w:r>
              <w:rPr>
                <w:rFonts w:ascii="Nunito Sans" w:cs="Nunito Sans" w:eastAsia="Nunito Sans" w:hAnsi="Nunito Sans"/>
                <w:color w:val="102E3B"/>
                <w:sz w:val="19"/>
                <w:szCs w:val="19"/>
              </w:rPr>
              <w:t xml:space="preserve">Decide who makes the report: usually the safeguarding lead, so that individual team members do not carry it alone. If the law places a personal duty on certain staff, tell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Referral to local services</w:t>
      </w:r>
    </w:p>
    <w:p>
      <w:pPr>
        <w:spacing w:after="120" w:before="0" w:line="300"/>
      </w:pPr>
      <w:r>
        <w:rPr>
          <w:rFonts w:ascii="Nunito Sans" w:cs="Nunito Sans" w:eastAsia="Nunito Sans" w:hAnsi="Nunito Sans"/>
          <w:color w:val="102E3B"/>
          <w:sz w:val="20"/>
          <w:szCs w:val="20"/>
        </w:rPr>
        <w:t xml:space="preserve">The safeguarding lead keeps a map of trusted local services for each place we work (Annex B). Before listing a service, we check that it treats survivors with respect and keeps information confidential. We update the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Where a GBV or child protection coordination group exists, we use its referral pathway.</w:t>
      </w:r>
    </w:p>
    <w:p>
      <w:pPr>
        <w:pStyle w:val="Heading2"/>
        <w:keepNext/>
        <w:spacing w:after="120" w:before="280"/>
      </w:pPr>
      <w:r>
        <w:rPr>
          <w:rFonts w:ascii="DM Serif Display" w:cs="DM Serif Display" w:eastAsia="DM Serif Display" w:hAnsi="DM Serif Display"/>
          <w:color w:val="123C48"/>
          <w:sz w:val="28"/>
          <w:szCs w:val="28"/>
        </w:rPr>
        <w:t xml:space="preserve">15. Informing funders, regulators and others</w:t>
      </w:r>
    </w:p>
    <w:p>
      <w:pPr>
        <w:spacing w:after="120" w:before="0" w:line="300"/>
      </w:pPr>
      <w:r>
        <w:rPr>
          <w:rFonts w:ascii="Nunito Sans" w:cs="Nunito Sans" w:eastAsia="Nunito Sans" w:hAnsi="Nunito Sans"/>
          <w:color w:val="102E3B"/>
          <w:sz w:val="20"/>
          <w:szCs w:val="20"/>
        </w:rPr>
        <w:t xml:space="preserve">Some funders, regulators and insurers require us to report safeguarding incidents. The safeguarding lead tells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makes these reports on time. We share only what is needed, never the survivor's name unless the law requires it or they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AND REGULATORS</w:t>
            </w:r>
          </w:p>
          <w:p>
            <w:pPr>
              <w:spacing w:after="120" w:before="0" w:line="300"/>
            </w:pPr>
            <w:r>
              <w:rPr>
                <w:rFonts w:ascii="Nunito Sans" w:cs="Nunito Sans" w:eastAsia="Nunito Sans" w:hAnsi="Nunito Sans"/>
                <w:color w:val="102E3B"/>
                <w:sz w:val="19"/>
                <w:szCs w:val="19"/>
              </w:rPr>
              <w:t xml:space="preserve">List each funder, regulator and insurer you must notify, what counts as reportable, and the deadline. Many institutional funders require notice within a short period, such as 24 to 72 hours: read each grant agreement. In England and Wales, registered charities must report serious incidents, including safeguarding incidents, to the Charity Commission promptly. Elsewhere, check whether your NGO regulator or registration authority has a reporting rule, and whether your insurer requires notice of possible claims.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When the concern is about the safeguarding lead</w:t>
      </w:r>
    </w:p>
    <w:p>
      <w:pPr>
        <w:spacing w:after="120" w:before="0" w:line="300"/>
      </w:pPr>
      <w:r>
        <w:rPr>
          <w:rFonts w:ascii="Nunito Sans" w:cs="Nunito Sans" w:eastAsia="Nunito Sans" w:hAnsi="Nunito Sans"/>
          <w:color w:val="102E3B"/>
          <w:sz w:val="20"/>
          <w:szCs w:val="20"/>
        </w:rPr>
        <w:t xml:space="preserve">Concerns about the safeguarding lead, or cases they are involved in, go directly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lead steps aside, does not see the records and takes no part in decisions. The deputy can ask for any records they need and bring in an external adviser or investigator, as set out in the Independent Contact Role Note.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and reviews this policy every year. Names a safeguarding board member. Receives an anonymised summary of cases. Makes sure we fund safeguarding.</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Receives and assesses concerns, takes protective action, makes referrals, keeps records and the referral map, organises training and reports to the 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Deputy or independent contact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lead. Covers urgent cases when the lead cannot be reached for more than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 Hears requests for review.</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 and activity leads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risk assessments, make sure their teams are trained and act on concerns promptly.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and the Code of Conduct. Reports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Never investigates. Keeps concerns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safeguarding lead keeps a confidential record of every concern, including those that lead to no action: reference, date and reporter (or "anonymous"); what was reported, in the reporter's words; people involved; protective actions; the survivor's wishes; referrals made, or why not; decisions, reasons and any review; and the outcome.</w:t>
      </w:r>
    </w:p>
    <w:p>
      <w:pPr>
        <w:spacing w:after="120" w:before="0" w:line="300"/>
      </w:pPr>
      <w:r>
        <w:rPr>
          <w:rFonts w:ascii="Nunito Sans" w:cs="Nunito Sans" w:eastAsia="Nunito Sans" w:hAnsi="Nunito Sans"/>
          <w:color w:val="102E3B"/>
          <w:sz w:val="20"/>
          <w:szCs w:val="20"/>
        </w:rPr>
        <w:t xml:space="preserve">Records are kept in </w:t>
      </w:r>
      <w:r>
        <w:rPr>
          <w:rFonts w:ascii="Nunito Sans" w:cs="Nunito Sans" w:eastAsia="Nunito Sans" w:hAnsi="Nunito Sans"/>
          <w:color w:val="102E3B"/>
          <w:sz w:val="20"/>
          <w:szCs w:val="20"/>
          <w:highlight w:val="yellow"/>
        </w:rPr>
        <w:t xml:space="preserve">[an encrypted folder / a locked cabinet]</w:t>
      </w:r>
      <w:r>
        <w:rPr>
          <w:rFonts w:ascii="Nunito Sans" w:cs="Nunito Sans" w:eastAsia="Nunito Sans" w:hAnsi="Nunito Sans"/>
          <w:color w:val="102E3B"/>
          <w:sz w:val="20"/>
          <w:szCs w:val="20"/>
        </w:rPr>
        <w:t xml:space="preserve">, with access limited to the safeguarding lead and deputy, separately from personnel files. Records about the lead are kept by the deputy. We share information only on a need-to-know basis. Data protection laws generally allow sharing information to protect someone from serious harm: they are never a reason not to act.</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then delete them securely and log the deletion.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 PROTECTION</w:t>
            </w:r>
          </w:p>
          <w:p>
            <w:pPr>
              <w:spacing w:after="120" w:before="0" w:line="300"/>
            </w:pPr>
            <w:r>
              <w:rPr>
                <w:rFonts w:ascii="Nunito Sans" w:cs="Nunito Sans" w:eastAsia="Nunito Sans" w:hAnsi="Nunito Sans"/>
                <w:color w:val="102E3B"/>
                <w:sz w:val="19"/>
                <w:szCs w:val="19"/>
              </w:rPr>
              <w:t xml:space="preserve">Check your local data protection law and add these periods to your Records Retention Schedule. Safeguarding records often hold sensitive data (health, sex life, criminal allegations). The GDPR is a widely used benchmark; local laws include the Kenya Data Protection Act 2019, the Nigeria Data Protection Act 2023, South Africa's POPIA, Brazil's LGPD and India's DPDP Act 2023. Never keep safeguarding records on personal devices or general shared drives.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including failing to report a concern, is serious. Depending on the case, we may give a warning; suspend someone while we look into it; dismiss an employee or end a role, contract or partnership, following our Disciplinary and Grievance Procedure and the law; refer the matter to the authorities; and share confirmed findings with future employers who ask, where the law allows.</w:t>
      </w:r>
    </w:p>
    <w:p>
      <w:pPr>
        <w:spacing w:after="120" w:before="0" w:line="300"/>
      </w:pPr>
      <w:r>
        <w:rPr>
          <w:rFonts w:ascii="Nunito Sans" w:cs="Nunito Sans" w:eastAsia="Nunito Sans" w:hAnsi="Nunito Sans"/>
          <w:color w:val="102E3B"/>
          <w:sz w:val="20"/>
          <w:szCs w:val="20"/>
        </w:rPr>
        <w:t xml:space="preserve">Retaliation against anyone who reports or helps with a review is a separate, serious breach. So is knowingly making a false report: we decide this only after a review, never just because a concern was not upheld. Anyone affected by a decision can ask for a review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safeguarding lead reviews open cases every </w:t>
      </w:r>
      <w:r>
        <w:rPr>
          <w:rFonts w:ascii="Nunito Sans" w:cs="Nunito Sans" w:eastAsia="Nunito Sans" w:hAnsi="Nunito Sans"/>
          <w:color w:val="102E3B"/>
          <w:sz w:val="20"/>
          <w:szCs w:val="20"/>
          <w:highlight w:val="yellow"/>
        </w:rPr>
        <w:t xml:space="preserve">[week / two weeks]</w:t>
      </w:r>
      <w:r>
        <w:rPr>
          <w:rFonts w:ascii="Nunito Sans" w:cs="Nunito Sans" w:eastAsia="Nunito Sans" w:hAnsi="Nunito Sans"/>
          <w:color w:val="102E3B"/>
          <w:sz w:val="20"/>
          <w:szCs w:val="20"/>
        </w:rPr>
        <w:t xml:space="preserve"> and gives the board an anonymised summary every </w:t>
      </w:r>
      <w:r>
        <w:rPr>
          <w:rFonts w:ascii="Nunito Sans" w:cs="Nunito Sans" w:eastAsia="Nunito Sans" w:hAnsi="Nunito Sans"/>
          <w:color w:val="102E3B"/>
          <w:sz w:val="20"/>
          <w:szCs w:val="20"/>
          <w:highlight w:val="yellow"/>
        </w:rPr>
        <w:t xml:space="preserve">[6 / 12]</w:t>
      </w:r>
      <w:r>
        <w:rPr>
          <w:rFonts w:ascii="Nunito Sans" w:cs="Nunito Sans" w:eastAsia="Nunito Sans" w:hAnsi="Nunito Sans"/>
          <w:color w:val="102E3B"/>
          <w:sz w:val="20"/>
          <w:szCs w:val="20"/>
        </w:rPr>
        <w:t xml:space="preserve"> months: number and type of concerns, time taken, outcomes and lessons.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incident, and when the law or our activities change.</w:t>
      </w:r>
    </w:p>
    <w:p>
      <w:pPr>
        <w:spacing w:after="120" w:before="0" w:line="300"/>
      </w:pPr>
      <w:r>
        <w:rPr>
          <w:rFonts w:ascii="Nunito Sans" w:cs="Nunito Sans" w:eastAsia="Nunito Sans" w:hAnsi="Nunito Sans"/>
          <w:color w:val="102E3B"/>
          <w:sz w:val="20"/>
          <w:szCs w:val="20"/>
        </w:rPr>
        <w:t xml:space="preserve">This policy follows the UN Convention on the Rights of the Child (1989), the UN Convention on the Rights of Persons with Disabilities (2006), the IASC Six Core Principles (2019), the UN Secretary-General's Bulletin on protection from sexual exploitation and sexual abuse (ST/SGB/2003/13), the Core Humanitarian Standard on Quality and Accountability and the Keeping Children Safe standards.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sub-grant agreements]</w:t>
      </w:r>
    </w:p>
    <w:p>
      <w:pPr>
        <w:pStyle w:val="ListParagraph"/>
        <w:numPr>
          <w:ilvl w:val="0"/>
          <w:numId w:val="3"/>
        </w:numPr>
        <w:spacing w:after="80" w:line="290"/>
      </w:pPr>
      <w:r>
        <w:rPr>
          <w:rFonts w:ascii="Nunito Sans" w:cs="Nunito Sans" w:eastAsia="Nunito Sans" w:hAnsi="Nunito Sans"/>
          <w:color w:val="102E3B"/>
          <w:sz w:val="20"/>
          <w:szCs w:val="20"/>
        </w:rPr>
        <w:t xml:space="preserve">Safer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confirms this policy when they join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 and have had the chance to ask questions. I will follow it,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and never investigate a concern myself.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Safeguarding concern report form</w:t>
      </w:r>
    </w:p>
    <w:p>
      <w:pPr>
        <w:spacing w:after="120" w:before="0" w:line="300"/>
      </w:pPr>
      <w:r>
        <w:rPr>
          <w:rFonts w:ascii="Nunito Sans" w:cs="Nunito Sans" w:eastAsia="Nunito Sans" w:hAnsi="Nunito Sans"/>
          <w:color w:val="102E3B"/>
          <w:sz w:val="20"/>
          <w:szCs w:val="20"/>
        </w:rPr>
        <w:t xml:space="preserve">Complete this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Write facts, in the person's own words. Give it only to the safeguarding lead (or the deputy if it concerns the lead), and keep no copy.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are completing this form</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and sex of the person at risk (if known). Under 18?</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are they now? Are they safe?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 of what happened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did you learn about it? (told, saw, heard from someone else, online)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Use the person's own words.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role and connection to us of the person alleged to have caused harm (if known)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else who saw or knows about it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injury or distress you noticed (describe; do not examine)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you said or did in response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the person at risk wants to happen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you have told, including emergency services, and when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of person reporting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SAFEGUARDING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 date and time received; date acknowledged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risk assessment and protective actions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Referrals made, or reason for not referring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regulators or insurers notified (who, when)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and date closed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Referral pathway map</w:t>
      </w:r>
    </w:p>
    <w:p>
      <w:pPr>
        <w:spacing w:after="120" w:before="0" w:line="300"/>
      </w:pPr>
      <w:r>
        <w:rPr>
          <w:rFonts w:ascii="Nunito Sans" w:cs="Nunito Sans" w:eastAsia="Nunito Sans" w:hAnsi="Nunito Sans"/>
          <w:color w:val="102E3B"/>
          <w:sz w:val="20"/>
          <w:szCs w:val="20"/>
        </w:rPr>
        <w:t xml:space="preserve">Fill in one table for each place where we work. Check each service before listing it, and update this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1714"/>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SERVICE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ADDRESS, HOURS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 (COST, LANGUAGES, CONFIDENTIALITY, CHECKED BY AND WHEN)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Emergency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[local emergency number]</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Police (including any child or gender desk)</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protection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children's officer, social welfare department]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helpline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GBV services (safe house, one-stop centre, women's organisation)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 care, including post-rape care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Mental health and psychosocial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aid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Disability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Coordination group</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GBV or child protection working group]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MAPPING REFERRAL SERVICES</w:t>
            </w:r>
          </w:p>
          <w:p>
            <w:pPr>
              <w:spacing w:after="120" w:before="0" w:line="300"/>
            </w:pPr>
            <w:r>
              <w:rPr>
                <w:rFonts w:ascii="Nunito Sans" w:cs="Nunito Sans" w:eastAsia="Nunito Sans" w:hAnsi="Nunito Sans"/>
                <w:color w:val="102E3B"/>
                <w:sz w:val="19"/>
                <w:szCs w:val="19"/>
              </w:rPr>
              <w:t xml:space="preserve">Start with your local children's and social welfare departments, the national child helpline and any GBV or child protection working group (in humanitarian settings, the sub-clusters publish referral pathways). Call each service and ask what happens to a survivor who comes to them. Note any service that requires a police report before medical care, because this deters survivors. If no safe service exists for a type of support, write that down.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Safeguarding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11BF8D6-1D08-31DA-9EA7-5BD7D1F40816}"/>
  </w:font>
  <w:font w:name="DM Serif Display">
    <w:family w:val="auto"/>
    <w:pitch w:val="variable"/>
    <w:sig w:usb0="E0002AFF" w:usb1="C000247B" w:usb2="00000009" w:usb3="00000000" w:csb0="000001FF" w:csb1="00000000"/>
    <w:embedRegular r:id="rId2" w:fontKey="{FF09673F-2162-E81D-EB18-274956BF6A9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Safeguarding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SAFEGUARDING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 and Procedure</dc:title>
  <dc:creator>Method into Impact</dc:creator>
  <dc:description>How [[Organisation name]] keeps children, adults at risk and everyone we work with safe from harm, including sexual exploitation, abuse and harassment, and what we do when someone raises a concern.</dc:description>
  <cp:lastModifiedBy>Un-named</cp:lastModifiedBy>
  <cp:revision>1</cp:revision>
  <dcterms:created xsi:type="dcterms:W3CDTF">2026-10-29T06:09:15.216Z</dcterms:created>
  <dcterms:modified xsi:type="dcterms:W3CDTF">2026-10-29T06:09:15.216Z</dcterms:modified>
</cp:coreProperties>
</file>

<file path=docProps/custom.xml><?xml version="1.0" encoding="utf-8"?>
<Properties xmlns="http://schemas.openxmlformats.org/officeDocument/2006/custom-properties" xmlns:vt="http://schemas.openxmlformats.org/officeDocument/2006/docPropsVTypes"/>
</file>