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AGREEMENT TEMPLATE · FUNDING PARTNERS</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Sub-grant Agreement</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The agreement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signs when it passes grant funds to a partner organisation to deliver a project. It covers the budget, payments in tranches, reporting, the head donor's conditions, compliance and what happens to unspent funds.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When you pass money to a partner, you remain answerable to your funder for how it is spent. A sub-grant agreement passes on the funder's conditions accurately, sets clear payment and reporting rules, and gives the partner fair terms and the support it needs. Funders and auditors will ask to see one for every sub-grant.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Your institutional funders and their auditors; your own auditors; partner organisations; your board when approving sub-grants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3–5 hours for the first sub-grant under a new head grant, mostly to copy the donor's conditions into Schedule 3; 1–2 hours for each further partner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9 (Financial management); Course 5 · Sustain &amp; Run, Module 12 (Partnerships)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Partnership Memorandum of Understanding · Partner Due Diligence and Sanctions Screening Policy · Partner Due Diligence Questionnaire · Financial Controls Policy · Procurement Policy · Safeguarding Policy and Procedure · Fraud, Bribery and Corruption Policy and Procedure · Data Sharing Agreement · Records Retention Schedule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AGREEMENT</w:t>
            </w:r>
          </w:p>
          <w:p>
            <w:pPr>
              <w:spacing w:after="120" w:before="0" w:line="300"/>
            </w:pPr>
            <w:r>
              <w:rPr>
                <w:rFonts w:ascii="Nunito Sans" w:cs="Nunito Sans" w:eastAsia="Nunito Sans" w:hAnsi="Nunito Sans"/>
                <w:b/>
                <w:bCs/>
                <w:color w:val="102E3B"/>
                <w:sz w:val="19"/>
                <w:szCs w:val="19"/>
              </w:rPr>
              <w:t xml:space="preserve">Use it</w:t>
            </w:r>
            <w:r>
              <w:rPr>
                <w:rFonts w:ascii="Nunito Sans" w:cs="Nunito Sans" w:eastAsia="Nunito Sans" w:hAnsi="Nunito Sans"/>
                <w:color w:val="102E3B"/>
                <w:sz w:val="19"/>
                <w:szCs w:val="19"/>
              </w:rPr>
              <w:t xml:space="preserve"> when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gives funds to a partner to deliver a project the partner leads or co-designs, whether the money comes from a head donor (an institutional or foundation funder) or from your own funds.</w:t>
            </w:r>
          </w:p>
          <w:p>
            <w:pPr>
              <w:spacing w:after="120" w:before="0" w:line="300"/>
            </w:pPr>
            <w:r>
              <w:rPr>
                <w:rFonts w:ascii="Nunito Sans" w:cs="Nunito Sans" w:eastAsia="Nunito Sans" w:hAnsi="Nunito Sans"/>
                <w:b/>
                <w:bCs/>
                <w:color w:val="102E3B"/>
                <w:sz w:val="19"/>
                <w:szCs w:val="19"/>
              </w:rPr>
              <w:t xml:space="preserve">Do not use it</w:t>
            </w:r>
            <w:r>
              <w:rPr>
                <w:rFonts w:ascii="Nunito Sans" w:cs="Nunito Sans" w:eastAsia="Nunito Sans" w:hAnsi="Nunito Sans"/>
                <w:color w:val="102E3B"/>
                <w:sz w:val="19"/>
                <w:szCs w:val="19"/>
              </w:rPr>
              <w:t xml:space="preserve"> to buy services or goods from a partner (use the Services Agreement), or for collaboration without funds (use the Partnership Memorandum of Understanding).</w:t>
            </w:r>
          </w:p>
          <w:p>
            <w:pPr>
              <w:spacing w:after="120" w:before="0" w:line="300"/>
            </w:pPr>
            <w:r>
              <w:rPr>
                <w:rFonts w:ascii="Nunito Sans" w:cs="Nunito Sans" w:eastAsia="Nunito Sans" w:hAnsi="Nunito Sans"/>
                <w:b/>
                <w:bCs/>
                <w:color w:val="102E3B"/>
                <w:sz w:val="19"/>
                <w:szCs w:val="19"/>
              </w:rPr>
              <w:t xml:space="preserve">Before signing:</w:t>
            </w:r>
            <w:r>
              <w:rPr>
                <w:rFonts w:ascii="Nunito Sans" w:cs="Nunito Sans" w:eastAsia="Nunito Sans" w:hAnsi="Nunito Sans"/>
                <w:color w:val="102E3B"/>
                <w:sz w:val="19"/>
                <w:szCs w:val="19"/>
              </w:rPr>
              <w:t xml:space="preserve"> complete due diligence on the partner, proportionate to the amount and risk, using the Partner Due Diligence Questionnaire. Agree the budget and reporting dates with the partner, not for it.</w:t>
            </w:r>
          </w:p>
          <w:p>
            <w:pPr>
              <w:spacing w:after="120" w:before="0" w:line="300"/>
            </w:pPr>
            <w:r>
              <w:rPr>
                <w:rFonts w:ascii="Nunito Sans" w:cs="Nunito Sans" w:eastAsia="Nunito Sans" w:hAnsi="Nunito Sans"/>
                <w:b/>
                <w:bCs/>
                <w:color w:val="102E3B"/>
                <w:sz w:val="19"/>
                <w:szCs w:val="19"/>
              </w:rPr>
              <w:t xml:space="preserve">Donor conditions often prevail.</w:t>
            </w:r>
            <w:r>
              <w:rPr>
                <w:rFonts w:ascii="Nunito Sans" w:cs="Nunito Sans" w:eastAsia="Nunito Sans" w:hAnsi="Nunito Sans"/>
                <w:color w:val="102E3B"/>
                <w:sz w:val="19"/>
                <w:szCs w:val="19"/>
              </w:rPr>
              <w:t xml:space="preserve"> Most head grant agreements require you to pass specific clauses on to sub-grantees, sometimes word for word. Copy them faithfully into Schedule 3. Do not summarise or soften them, and do not add stricter terms that the donor does not require and the partner has no budget to meet.</w:t>
            </w:r>
          </w:p>
          <w:p>
            <w:pPr>
              <w:spacing w:after="120" w:before="0" w:line="300"/>
            </w:pPr>
            <w:r>
              <w:rPr>
                <w:rFonts w:ascii="Nunito Sans" w:cs="Nunito Sans" w:eastAsia="Nunito Sans" w:hAnsi="Nunito Sans"/>
                <w:b/>
                <w:bCs/>
                <w:color w:val="102E3B"/>
                <w:sz w:val="19"/>
                <w:szCs w:val="19"/>
              </w:rPr>
              <w:t xml:space="preserve">Local law:</w:t>
            </w:r>
            <w:r>
              <w:rPr>
                <w:rFonts w:ascii="Nunito Sans" w:cs="Nunito Sans" w:eastAsia="Nunito Sans" w:hAnsi="Nunito Sans"/>
                <w:color w:val="102E3B"/>
                <w:sz w:val="19"/>
                <w:szCs w:val="19"/>
              </w:rPr>
              <w:t xml:space="preserve"> several countries regulate foreign funding of non-profits. For example, India's Foreign Contribution (Regulation) Act 2010, as amended in 2020, requires registration or prior permission to receive foreign contributions and, since 2020, forbids transferring them to other organisations. Check the law in the partner's country before you commit.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THE GRANTOR</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THE PARTNER</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[Organisation 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[legal form]</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[Full legal 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[legal form]</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Registration: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number </w:t>
            </w:r>
            <w:r>
              <w:rPr>
                <w:rFonts w:ascii="Nunito Sans" w:cs="Nunito Sans" w:eastAsia="Nunito Sans" w:hAnsi="Nunito Sans"/>
                <w:color w:val="102E3B"/>
                <w:sz w:val="18"/>
                <w:szCs w:val="18"/>
                <w:highlight w:val="yellow"/>
              </w:rPr>
              <w:t xml:space="preserve">[number]</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Registration: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number </w:t>
            </w:r>
            <w:r>
              <w:rPr>
                <w:rFonts w:ascii="Nunito Sans" w:cs="Nunito Sans" w:eastAsia="Nunito Sans" w:hAnsi="Nunito Sans"/>
                <w:color w:val="102E3B"/>
                <w:sz w:val="18"/>
                <w:szCs w:val="18"/>
                <w:highlight w:val="yellow"/>
              </w:rPr>
              <w:t xml:space="preserve">[number]</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Address: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[Registered address]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Address: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[Registered address]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Grant manager: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 email, phone]</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Project manager: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 email, phone]</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Finance contact: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email]</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Finance contact: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email]</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Signing for it: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Signing for it: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Background</w:t>
      </w:r>
    </w:p>
    <w:p>
      <w:pPr>
        <w:pStyle w:val="ListParagraph"/>
        <w:numPr>
          <w:ilvl w:val="0"/>
          <w:numId w:val="3"/>
        </w:numPr>
        <w:spacing w:after="80" w:line="290"/>
      </w:pPr>
      <w:r>
        <w:rPr>
          <w:rFonts w:ascii="Nunito Sans" w:cs="Nunito Sans" w:eastAsia="Nunito Sans" w:hAnsi="Nunito Sans"/>
          <w:color w:val="102E3B"/>
          <w:sz w:val="20"/>
          <w:szCs w:val="20"/>
        </w:rPr>
        <w:t xml:space="preserve">The Grantor has received funding from </w:t>
      </w:r>
      <w:r>
        <w:rPr>
          <w:rFonts w:ascii="Nunito Sans" w:cs="Nunito Sans" w:eastAsia="Nunito Sans" w:hAnsi="Nunito Sans"/>
          <w:color w:val="102E3B"/>
          <w:sz w:val="20"/>
          <w:szCs w:val="20"/>
          <w:highlight w:val="yellow"/>
        </w:rPr>
        <w:t xml:space="preserve">[Head Donor name]</w:t>
      </w:r>
      <w:r>
        <w:rPr>
          <w:rFonts w:ascii="Nunito Sans" w:cs="Nunito Sans" w:eastAsia="Nunito Sans" w:hAnsi="Nunito Sans"/>
          <w:color w:val="102E3B"/>
          <w:sz w:val="20"/>
          <w:szCs w:val="20"/>
        </w:rPr>
        <w:t xml:space="preserve"> under </w:t>
      </w:r>
      <w:r>
        <w:rPr>
          <w:rFonts w:ascii="Nunito Sans" w:cs="Nunito Sans" w:eastAsia="Nunito Sans" w:hAnsi="Nunito Sans"/>
          <w:color w:val="102E3B"/>
          <w:sz w:val="20"/>
          <w:szCs w:val="20"/>
          <w:highlight w:val="yellow"/>
        </w:rPr>
        <w:t xml:space="preserve">[grant agreement reference and title]</w:t>
      </w:r>
      <w:r>
        <w:rPr>
          <w:rFonts w:ascii="Nunito Sans" w:cs="Nunito Sans" w:eastAsia="Nunito Sans" w:hAnsi="Nunito Sans"/>
          <w:color w:val="102E3B"/>
          <w:sz w:val="20"/>
          <w:szCs w:val="20"/>
        </w:rPr>
        <w:t xml:space="preserve">, dated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(the </w:t>
      </w:r>
      <w:r>
        <w:rPr>
          <w:rFonts w:ascii="Nunito Sans" w:cs="Nunito Sans" w:eastAsia="Nunito Sans" w:hAnsi="Nunito Sans"/>
          <w:b/>
          <w:bCs/>
          <w:color w:val="102E3B"/>
          <w:sz w:val="20"/>
          <w:szCs w:val="20"/>
        </w:rPr>
        <w:t xml:space="preserve">Head Grant</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 is funding this project from its own resources]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The Partner </w:t>
      </w:r>
      <w:r>
        <w:rPr>
          <w:rFonts w:ascii="Nunito Sans" w:cs="Nunito Sans" w:eastAsia="Nunito Sans" w:hAnsi="Nunito Sans"/>
          <w:color w:val="102E3B"/>
          <w:sz w:val="20"/>
          <w:szCs w:val="20"/>
          <w:highlight w:val="yellow"/>
        </w:rPr>
        <w:t xml:space="preserve">[e.g. is a community-based organisation working with young people in X district]</w:t>
      </w:r>
      <w:r>
        <w:rPr>
          <w:rFonts w:ascii="Nunito Sans" w:cs="Nunito Sans" w:eastAsia="Nunito Sans" w:hAnsi="Nunito Sans"/>
          <w:color w:val="102E3B"/>
          <w:sz w:val="20"/>
          <w:szCs w:val="20"/>
        </w:rPr>
        <w:t xml:space="preserve"> and has designed, with the Grantor, the project described in Schedule 1.</w:t>
      </w:r>
    </w:p>
    <w:p>
      <w:pPr>
        <w:pStyle w:val="ListParagraph"/>
        <w:numPr>
          <w:ilvl w:val="0"/>
          <w:numId w:val="3"/>
        </w:numPr>
        <w:spacing w:after="80" w:line="290"/>
      </w:pPr>
      <w:r>
        <w:rPr>
          <w:rFonts w:ascii="Nunito Sans" w:cs="Nunito Sans" w:eastAsia="Nunito Sans" w:hAnsi="Nunito Sans"/>
          <w:color w:val="102E3B"/>
          <w:sz w:val="20"/>
          <w:szCs w:val="20"/>
        </w:rPr>
        <w:t xml:space="preserve">The Grantor wishes to fund the Partner to deliver that project on the terms below.</w:t>
      </w:r>
    </w:p>
    <w:p>
      <w:pPr>
        <w:pStyle w:val="Heading1"/>
        <w:keepNext/>
        <w:spacing w:after="160" w:before="360"/>
      </w:pPr>
      <w:r>
        <w:rPr>
          <w:rFonts w:ascii="DM Serif Display" w:cs="DM Serif Display" w:eastAsia="DM Serif Display" w:hAnsi="DM Serif Display"/>
          <w:color w:val="123C48"/>
          <w:sz w:val="40"/>
          <w:szCs w:val="40"/>
        </w:rPr>
        <w:t xml:space="preserve">Agreed terms</w:t>
      </w:r>
    </w:p>
    <w:p>
      <w:pPr>
        <w:pStyle w:val="Heading2"/>
        <w:keepNext/>
        <w:spacing w:after="120" w:before="280"/>
      </w:pPr>
      <w:r>
        <w:rPr>
          <w:rFonts w:ascii="DM Serif Display" w:cs="DM Serif Display" w:eastAsia="DM Serif Display" w:hAnsi="DM Serif Display"/>
          <w:color w:val="123C48"/>
          <w:sz w:val="28"/>
          <w:szCs w:val="28"/>
        </w:rPr>
        <w:t xml:space="preserve">1. Definitions</w:t>
      </w:r>
    </w:p>
    <w:p>
      <w:pPr>
        <w:pStyle w:val="ListParagraph"/>
        <w:numPr>
          <w:ilvl w:val="0"/>
          <w:numId w:val="4"/>
        </w:numPr>
        <w:spacing w:after="80" w:line="290"/>
      </w:pPr>
      <w:r>
        <w:rPr>
          <w:rFonts w:ascii="Nunito Sans" w:cs="Nunito Sans" w:eastAsia="Nunito Sans" w:hAnsi="Nunito Sans"/>
          <w:color w:val="102E3B"/>
          <w:sz w:val="20"/>
          <w:szCs w:val="20"/>
        </w:rPr>
        <w:t xml:space="preserve">In this agreement:</w:t>
      </w:r>
    </w:p>
    <w:p>
      <w:pPr>
        <w:pStyle w:val="ListParagraph"/>
        <w:numPr>
          <w:ilvl w:val="1"/>
          <w:numId w:val="4"/>
        </w:numPr>
        <w:spacing w:after="80" w:line="290"/>
      </w:pPr>
      <w:r>
        <w:rPr>
          <w:rFonts w:ascii="Nunito Sans" w:cs="Nunito Sans" w:eastAsia="Nunito Sans" w:hAnsi="Nunito Sans"/>
          <w:b/>
          <w:bCs/>
          <w:color w:val="102E3B"/>
          <w:sz w:val="20"/>
          <w:szCs w:val="20"/>
        </w:rPr>
        <w:t xml:space="preserve">Approved Budget</w:t>
      </w:r>
      <w:r>
        <w:rPr>
          <w:rFonts w:ascii="Nunito Sans" w:cs="Nunito Sans" w:eastAsia="Nunito Sans" w:hAnsi="Nunito Sans"/>
          <w:color w:val="102E3B"/>
          <w:sz w:val="20"/>
          <w:szCs w:val="20"/>
        </w:rPr>
        <w:t xml:space="preserve"> means the budget in Schedule 1, as changed under clause 8.</w:t>
      </w:r>
    </w:p>
    <w:p>
      <w:pPr>
        <w:pStyle w:val="ListParagraph"/>
        <w:numPr>
          <w:ilvl w:val="1"/>
          <w:numId w:val="4"/>
        </w:numPr>
        <w:spacing w:after="80" w:line="290"/>
      </w:pPr>
      <w:r>
        <w:rPr>
          <w:rFonts w:ascii="Nunito Sans" w:cs="Nunito Sans" w:eastAsia="Nunito Sans" w:hAnsi="Nunito Sans"/>
          <w:b/>
          <w:bCs/>
          <w:color w:val="102E3B"/>
          <w:sz w:val="20"/>
          <w:szCs w:val="20"/>
        </w:rPr>
        <w:t xml:space="preserve">Business Day</w:t>
      </w:r>
      <w:r>
        <w:rPr>
          <w:rFonts w:ascii="Nunito Sans" w:cs="Nunito Sans" w:eastAsia="Nunito Sans" w:hAnsi="Nunito Sans"/>
          <w:color w:val="102E3B"/>
          <w:sz w:val="20"/>
          <w:szCs w:val="20"/>
        </w:rPr>
        <w:t xml:space="preserve"> means a day other than a weekend or public holiday in </w:t>
      </w:r>
      <w:r>
        <w:rPr>
          <w:rFonts w:ascii="Nunito Sans" w:cs="Nunito Sans" w:eastAsia="Nunito Sans" w:hAnsi="Nunito Sans"/>
          <w:color w:val="102E3B"/>
          <w:sz w:val="20"/>
          <w:szCs w:val="20"/>
          <w:highlight w:val="yellow"/>
        </w:rPr>
        <w:t xml:space="preserve">[the Partner's country]</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Eligible Costs</w:t>
      </w:r>
      <w:r>
        <w:rPr>
          <w:rFonts w:ascii="Nunito Sans" w:cs="Nunito Sans" w:eastAsia="Nunito Sans" w:hAnsi="Nunito Sans"/>
          <w:color w:val="102E3B"/>
          <w:sz w:val="20"/>
          <w:szCs w:val="20"/>
        </w:rPr>
        <w:t xml:space="preserve"> means costs that meet clause 5.</w:t>
      </w:r>
    </w:p>
    <w:p>
      <w:pPr>
        <w:pStyle w:val="ListParagraph"/>
        <w:numPr>
          <w:ilvl w:val="1"/>
          <w:numId w:val="4"/>
        </w:numPr>
        <w:spacing w:after="80" w:line="290"/>
      </w:pPr>
      <w:r>
        <w:rPr>
          <w:rFonts w:ascii="Nunito Sans" w:cs="Nunito Sans" w:eastAsia="Nunito Sans" w:hAnsi="Nunito Sans"/>
          <w:b/>
          <w:bCs/>
          <w:color w:val="102E3B"/>
          <w:sz w:val="20"/>
          <w:szCs w:val="20"/>
        </w:rPr>
        <w:t xml:space="preserve">Grant</w:t>
      </w:r>
      <w:r>
        <w:rPr>
          <w:rFonts w:ascii="Nunito Sans" w:cs="Nunito Sans" w:eastAsia="Nunito Sans" w:hAnsi="Nunito Sans"/>
          <w:color w:val="102E3B"/>
          <w:sz w:val="20"/>
          <w:szCs w:val="20"/>
        </w:rPr>
        <w:t xml:space="preserve"> means the funds the Grantor provides under this agreement, up to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Head Donor</w:t>
      </w:r>
      <w:r>
        <w:rPr>
          <w:rFonts w:ascii="Nunito Sans" w:cs="Nunito Sans" w:eastAsia="Nunito Sans" w:hAnsi="Nunito Sans"/>
          <w:color w:val="102E3B"/>
          <w:sz w:val="20"/>
          <w:szCs w:val="20"/>
        </w:rPr>
        <w:t xml:space="preserve"> means </w:t>
      </w:r>
      <w:r>
        <w:rPr>
          <w:rFonts w:ascii="Nunito Sans" w:cs="Nunito Sans" w:eastAsia="Nunito Sans" w:hAnsi="Nunito Sans"/>
          <w:color w:val="102E3B"/>
          <w:sz w:val="20"/>
          <w:szCs w:val="20"/>
          <w:highlight w:val="yellow"/>
        </w:rPr>
        <w:t xml:space="preserve">[Head Donor name]</w:t>
      </w:r>
      <w:r>
        <w:rPr>
          <w:rFonts w:ascii="Nunito Sans" w:cs="Nunito Sans" w:eastAsia="Nunito Sans" w:hAnsi="Nunito Sans"/>
          <w:color w:val="102E3B"/>
          <w:sz w:val="20"/>
          <w:szCs w:val="20"/>
        </w:rPr>
        <w:t xml:space="preserve">, and </w:t>
      </w:r>
      <w:r>
        <w:rPr>
          <w:rFonts w:ascii="Nunito Sans" w:cs="Nunito Sans" w:eastAsia="Nunito Sans" w:hAnsi="Nunito Sans"/>
          <w:b/>
          <w:bCs/>
          <w:color w:val="102E3B"/>
          <w:sz w:val="20"/>
          <w:szCs w:val="20"/>
        </w:rPr>
        <w:t xml:space="preserve">Head Grant</w:t>
      </w:r>
      <w:r>
        <w:rPr>
          <w:rFonts w:ascii="Nunito Sans" w:cs="Nunito Sans" w:eastAsia="Nunito Sans" w:hAnsi="Nunito Sans"/>
          <w:color w:val="102E3B"/>
          <w:sz w:val="20"/>
          <w:szCs w:val="20"/>
        </w:rPr>
        <w:t xml:space="preserve"> has the meaning in the Background.</w:t>
      </w:r>
    </w:p>
    <w:p>
      <w:pPr>
        <w:pStyle w:val="ListParagraph"/>
        <w:numPr>
          <w:ilvl w:val="1"/>
          <w:numId w:val="4"/>
        </w:numPr>
        <w:spacing w:after="80" w:line="290"/>
      </w:pPr>
      <w:r>
        <w:rPr>
          <w:rFonts w:ascii="Nunito Sans" w:cs="Nunito Sans" w:eastAsia="Nunito Sans" w:hAnsi="Nunito Sans"/>
          <w:b/>
          <w:bCs/>
          <w:color w:val="102E3B"/>
          <w:sz w:val="20"/>
          <w:szCs w:val="20"/>
        </w:rPr>
        <w:t xml:space="preserve">Project</w:t>
      </w:r>
      <w:r>
        <w:rPr>
          <w:rFonts w:ascii="Nunito Sans" w:cs="Nunito Sans" w:eastAsia="Nunito Sans" w:hAnsi="Nunito Sans"/>
          <w:color w:val="102E3B"/>
          <w:sz w:val="20"/>
          <w:szCs w:val="20"/>
        </w:rPr>
        <w:t xml:space="preserve"> means the activities and results described in Schedule 1.</w:t>
      </w:r>
    </w:p>
    <w:p>
      <w:pPr>
        <w:pStyle w:val="ListParagraph"/>
        <w:numPr>
          <w:ilvl w:val="1"/>
          <w:numId w:val="4"/>
        </w:numPr>
        <w:spacing w:after="80" w:line="290"/>
      </w:pPr>
      <w:r>
        <w:rPr>
          <w:rFonts w:ascii="Nunito Sans" w:cs="Nunito Sans" w:eastAsia="Nunito Sans" w:hAnsi="Nunito Sans"/>
          <w:b/>
          <w:bCs/>
          <w:color w:val="102E3B"/>
          <w:sz w:val="20"/>
          <w:szCs w:val="20"/>
        </w:rPr>
        <w:t xml:space="preserve">Project Period</w:t>
      </w:r>
      <w:r>
        <w:rPr>
          <w:rFonts w:ascii="Nunito Sans" w:cs="Nunito Sans" w:eastAsia="Nunito Sans" w:hAnsi="Nunito Sans"/>
          <w:color w:val="102E3B"/>
          <w:sz w:val="20"/>
          <w:szCs w:val="20"/>
        </w:rPr>
        <w:t xml:space="preserve"> means </w:t>
      </w:r>
      <w:r>
        <w:rPr>
          <w:rFonts w:ascii="Nunito Sans" w:cs="Nunito Sans" w:eastAsia="Nunito Sans" w:hAnsi="Nunito Sans"/>
          <w:color w:val="102E3B"/>
          <w:sz w:val="20"/>
          <w:szCs w:val="20"/>
          <w:highlight w:val="yellow"/>
        </w:rPr>
        <w:t xml:space="preserve">[start date]</w:t>
      </w:r>
      <w:r>
        <w:rPr>
          <w:rFonts w:ascii="Nunito Sans" w:cs="Nunito Sans" w:eastAsia="Nunito Sans" w:hAnsi="Nunito Sans"/>
          <w:color w:val="102E3B"/>
          <w:sz w:val="20"/>
          <w:szCs w:val="20"/>
        </w:rPr>
        <w:t xml:space="preserve"> to </w:t>
      </w:r>
      <w:r>
        <w:rPr>
          <w:rFonts w:ascii="Nunito Sans" w:cs="Nunito Sans" w:eastAsia="Nunito Sans" w:hAnsi="Nunito Sans"/>
          <w:color w:val="102E3B"/>
          <w:sz w:val="20"/>
          <w:szCs w:val="20"/>
          <w:highlight w:val="yellow"/>
        </w:rPr>
        <w:t xml:space="preserve">[end date]</w:t>
      </w:r>
      <w:r>
        <w:rPr>
          <w:rFonts w:ascii="Nunito Sans" w:cs="Nunito Sans" w:eastAsia="Nunito Sans" w:hAnsi="Nunito Sans"/>
          <w:color w:val="102E3B"/>
          <w:sz w:val="20"/>
          <w:szCs w:val="20"/>
        </w:rPr>
        <w:t xml:space="preserve">, as extended under clause 8.</w:t>
      </w:r>
    </w:p>
    <w:p>
      <w:pPr>
        <w:pStyle w:val="ListParagraph"/>
        <w:numPr>
          <w:ilvl w:val="0"/>
          <w:numId w:val="4"/>
        </w:numPr>
        <w:spacing w:after="80" w:line="290"/>
      </w:pPr>
      <w:r>
        <w:rPr>
          <w:rFonts w:ascii="Nunito Sans" w:cs="Nunito Sans" w:eastAsia="Nunito Sans" w:hAnsi="Nunito Sans"/>
          <w:color w:val="102E3B"/>
          <w:sz w:val="20"/>
          <w:szCs w:val="20"/>
        </w:rPr>
        <w:t xml:space="preserve">"Clause 5.2" means paragraph 2 of clause 5. The schedules form part of this agreement. "In writing" includes email from the named contacts.</w:t>
      </w:r>
    </w:p>
    <w:p>
      <w:pPr>
        <w:pStyle w:val="Heading2"/>
        <w:keepNext/>
        <w:spacing w:after="120" w:before="280"/>
      </w:pPr>
      <w:r>
        <w:rPr>
          <w:rFonts w:ascii="DM Serif Display" w:cs="DM Serif Display" w:eastAsia="DM Serif Display" w:hAnsi="DM Serif Display"/>
          <w:color w:val="123C48"/>
          <w:sz w:val="28"/>
          <w:szCs w:val="28"/>
        </w:rPr>
        <w:t xml:space="preserve">2. The Grant and the Project</w:t>
      </w:r>
    </w:p>
    <w:p>
      <w:pPr>
        <w:pStyle w:val="ListParagraph"/>
        <w:numPr>
          <w:ilvl w:val="0"/>
          <w:numId w:val="5"/>
        </w:numPr>
        <w:spacing w:after="80" w:line="290"/>
      </w:pPr>
      <w:r>
        <w:rPr>
          <w:rFonts w:ascii="Nunito Sans" w:cs="Nunito Sans" w:eastAsia="Nunito Sans" w:hAnsi="Nunito Sans"/>
          <w:color w:val="102E3B"/>
          <w:sz w:val="20"/>
          <w:szCs w:val="20"/>
        </w:rPr>
        <w:t xml:space="preserve">The Grantor will provide the Grant to the Partner to deliver the Project during the Project Period, as described in Schedule 1.</w:t>
      </w:r>
    </w:p>
    <w:p>
      <w:pPr>
        <w:pStyle w:val="ListParagraph"/>
        <w:numPr>
          <w:ilvl w:val="0"/>
          <w:numId w:val="5"/>
        </w:numPr>
        <w:spacing w:after="80" w:line="290"/>
      </w:pPr>
      <w:r>
        <w:rPr>
          <w:rFonts w:ascii="Nunito Sans" w:cs="Nunito Sans" w:eastAsia="Nunito Sans" w:hAnsi="Nunito Sans"/>
          <w:color w:val="102E3B"/>
          <w:sz w:val="20"/>
          <w:szCs w:val="20"/>
        </w:rPr>
        <w:t xml:space="preserve">The Partner will use the Grant only for the Project and in line with the Approved Budget and this agreement.</w:t>
      </w:r>
    </w:p>
    <w:p>
      <w:pPr>
        <w:pStyle w:val="ListParagraph"/>
        <w:numPr>
          <w:ilvl w:val="0"/>
          <w:numId w:val="5"/>
        </w:numPr>
        <w:spacing w:after="80" w:line="290"/>
      </w:pPr>
      <w:r>
        <w:rPr>
          <w:rFonts w:ascii="Nunito Sans" w:cs="Nunito Sans" w:eastAsia="Nunito Sans" w:hAnsi="Nunito Sans"/>
          <w:color w:val="102E3B"/>
          <w:sz w:val="20"/>
          <w:szCs w:val="20"/>
        </w:rPr>
        <w:t xml:space="preserve">The Grant is a contribution towards the Project, not payment for services. The Partner keeps responsibility for how it delivers the Project, and is not the Grantor's agent.</w:t>
      </w:r>
    </w:p>
    <w:p>
      <w:pPr>
        <w:pStyle w:val="ListParagraph"/>
        <w:numPr>
          <w:ilvl w:val="0"/>
          <w:numId w:val="5"/>
        </w:numPr>
        <w:spacing w:after="80" w:line="290"/>
      </w:pPr>
      <w:r>
        <w:rPr>
          <w:rFonts w:ascii="Nunito Sans" w:cs="Nunito Sans" w:eastAsia="Nunito Sans" w:hAnsi="Nunito Sans"/>
          <w:color w:val="102E3B"/>
          <w:sz w:val="20"/>
          <w:szCs w:val="20"/>
        </w:rPr>
        <w:t xml:space="preserve">The Partner will tell the Grantor of other funding it receives for the same activities, so that no cost is funded twice.</w:t>
      </w:r>
    </w:p>
    <w:p>
      <w:pPr>
        <w:pStyle w:val="Heading2"/>
        <w:keepNext/>
        <w:spacing w:after="120" w:before="280"/>
      </w:pPr>
      <w:r>
        <w:rPr>
          <w:rFonts w:ascii="DM Serif Display" w:cs="DM Serif Display" w:eastAsia="DM Serif Display" w:hAnsi="DM Serif Display"/>
          <w:color w:val="123C48"/>
          <w:sz w:val="28"/>
          <w:szCs w:val="28"/>
        </w:rPr>
        <w:t xml:space="preserve">3. Head Donor conditions</w:t>
      </w:r>
    </w:p>
    <w:p>
      <w:pPr>
        <w:pStyle w:val="ListParagraph"/>
        <w:numPr>
          <w:ilvl w:val="0"/>
          <w:numId w:val="6"/>
        </w:numPr>
        <w:spacing w:after="80" w:line="290"/>
      </w:pPr>
      <w:r>
        <w:rPr>
          <w:rFonts w:ascii="Nunito Sans" w:cs="Nunito Sans" w:eastAsia="Nunito Sans" w:hAnsi="Nunito Sans"/>
          <w:color w:val="102E3B"/>
          <w:sz w:val="20"/>
          <w:szCs w:val="20"/>
        </w:rPr>
        <w:t xml:space="preserve">Schedule 3 sets out the conditions of the Head Grant that apply to the Partner. The Partner will comply with them as if they were written into this agreement.</w:t>
      </w:r>
    </w:p>
    <w:p>
      <w:pPr>
        <w:pStyle w:val="ListParagraph"/>
        <w:numPr>
          <w:ilvl w:val="0"/>
          <w:numId w:val="6"/>
        </w:numPr>
        <w:spacing w:after="80" w:line="290"/>
      </w:pPr>
      <w:r>
        <w:rPr>
          <w:rFonts w:ascii="Nunito Sans" w:cs="Nunito Sans" w:eastAsia="Nunito Sans" w:hAnsi="Nunito Sans"/>
          <w:color w:val="102E3B"/>
          <w:sz w:val="20"/>
          <w:szCs w:val="20"/>
        </w:rPr>
        <w:t xml:space="preserve">If Schedule 3 conflicts with the rest of this agreement, </w:t>
      </w:r>
      <w:r>
        <w:rPr>
          <w:rFonts w:ascii="Nunito Sans" w:cs="Nunito Sans" w:eastAsia="Nunito Sans" w:hAnsi="Nunito Sans"/>
          <w:color w:val="102E3B"/>
          <w:sz w:val="20"/>
          <w:szCs w:val="20"/>
          <w:highlight w:val="yellow"/>
        </w:rPr>
        <w:t xml:space="preserve">[the stricter provision / Schedule 3]</w:t>
      </w:r>
      <w:r>
        <w:rPr>
          <w:rFonts w:ascii="Nunito Sans" w:cs="Nunito Sans" w:eastAsia="Nunito Sans" w:hAnsi="Nunito Sans"/>
          <w:color w:val="102E3B"/>
          <w:sz w:val="20"/>
          <w:szCs w:val="20"/>
        </w:rPr>
        <w:t xml:space="preserve"> prevails.</w:t>
      </w:r>
    </w:p>
    <w:p>
      <w:pPr>
        <w:pStyle w:val="ListParagraph"/>
        <w:numPr>
          <w:ilvl w:val="0"/>
          <w:numId w:val="6"/>
        </w:numPr>
        <w:spacing w:after="80" w:line="290"/>
      </w:pPr>
      <w:r>
        <w:rPr>
          <w:rFonts w:ascii="Nunito Sans" w:cs="Nunito Sans" w:eastAsia="Nunito Sans" w:hAnsi="Nunito Sans"/>
          <w:color w:val="102E3B"/>
          <w:sz w:val="20"/>
          <w:szCs w:val="20"/>
        </w:rPr>
        <w:t xml:space="preserve">The Grantor will give the Partner the relevant parts of the Head Grant, any donor guidance referred to in them, and any changes to them 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of receiving them.</w:t>
      </w:r>
    </w:p>
    <w:p>
      <w:pPr>
        <w:pStyle w:val="ListParagraph"/>
        <w:numPr>
          <w:ilvl w:val="0"/>
          <w:numId w:val="6"/>
        </w:numPr>
        <w:spacing w:after="80" w:line="290"/>
      </w:pPr>
      <w:r>
        <w:rPr>
          <w:rFonts w:ascii="Nunito Sans" w:cs="Nunito Sans" w:eastAsia="Nunito Sans" w:hAnsi="Nunito Sans"/>
          <w:color w:val="102E3B"/>
          <w:sz w:val="20"/>
          <w:szCs w:val="20"/>
        </w:rPr>
        <w:t xml:space="preserve">If the Head Donor suspends, reduces or ends the Head Grant, the Grantor may suspend, reduce or end the Grant to the same extent by written notice. The Grantor will explain the reason, share the Head Donor's notice where it is allowed to, and pay Eligible Costs the Partner has properly committed, as far as the Head Donor allows.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COPYING THE DONOR'S CONDITIONS</w:t>
            </w:r>
          </w:p>
          <w:p>
            <w:pPr>
              <w:spacing w:after="120" w:before="0" w:line="300"/>
            </w:pPr>
            <w:r>
              <w:rPr>
                <w:rFonts w:ascii="Nunito Sans" w:cs="Nunito Sans" w:eastAsia="Nunito Sans" w:hAnsi="Nunito Sans"/>
                <w:color w:val="102E3B"/>
                <w:sz w:val="19"/>
                <w:szCs w:val="19"/>
              </w:rPr>
              <w:t xml:space="preserve">Read the Head Grant line by line and list every clause that says it must be passed on to sub-grantees or partners ("flow-down" clauses). Typical ones cover eligible costs, procurement rules, audit and access rights, record retention, anti-terrorism and sanctions, safeguarding, visibility, prohibited purchases, and reporting of irregularities. Copy them faithfully, with the donor's numbering, into Schedule 3. Where the donor uses its own terms (for example "recipient" or "implementing partner"), add a line explaining that they mean the Partner.</w:t>
            </w:r>
          </w:p>
          <w:p>
            <w:pPr>
              <w:spacing w:after="120" w:before="0" w:line="300"/>
            </w:pPr>
            <w:r>
              <w:rPr>
                <w:rFonts w:ascii="Nunito Sans" w:cs="Nunito Sans" w:eastAsia="Nunito Sans" w:hAnsi="Nunito Sans"/>
                <w:color w:val="102E3B"/>
                <w:sz w:val="19"/>
                <w:szCs w:val="19"/>
              </w:rPr>
              <w:t xml:space="preserve">Translate Schedule 3 into the Partner's working language if needed, and go through it together at the start. If the Head Grant is in English and a translation is provided, state which version prevails. If you fund the Project from your own resources, delete clause 3 and Schedule 3.</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Payments</w:t>
      </w:r>
    </w:p>
    <w:p>
      <w:pPr>
        <w:pStyle w:val="ListParagraph"/>
        <w:numPr>
          <w:ilvl w:val="0"/>
          <w:numId w:val="7"/>
        </w:numPr>
        <w:spacing w:after="80" w:line="290"/>
      </w:pPr>
      <w:r>
        <w:rPr>
          <w:rFonts w:ascii="Nunito Sans" w:cs="Nunito Sans" w:eastAsia="Nunito Sans" w:hAnsi="Nunito Sans"/>
          <w:color w:val="102E3B"/>
          <w:sz w:val="20"/>
          <w:szCs w:val="20"/>
        </w:rPr>
        <w:t xml:space="preserve">The Grantor will pay the Grant in tranches, as set out in Schedule 2, into a bank account in the Partner's legal name.</w:t>
      </w:r>
    </w:p>
    <w:p>
      <w:pPr>
        <w:pStyle w:val="ListParagraph"/>
        <w:numPr>
          <w:ilvl w:val="0"/>
          <w:numId w:val="7"/>
        </w:numPr>
        <w:spacing w:after="80" w:line="290"/>
      </w:pPr>
      <w:r>
        <w:rPr>
          <w:rFonts w:ascii="Nunito Sans" w:cs="Nunito Sans" w:eastAsia="Nunito Sans" w:hAnsi="Nunito Sans"/>
          <w:color w:val="102E3B"/>
          <w:sz w:val="20"/>
          <w:szCs w:val="20"/>
        </w:rPr>
        <w:t xml:space="preserve">The first tranche is paid 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of the later of signature of this agreement and the Grantor's receipt of the Partner's bank details on letterhead.</w:t>
      </w:r>
    </w:p>
    <w:p>
      <w:pPr>
        <w:pStyle w:val="ListParagraph"/>
        <w:numPr>
          <w:ilvl w:val="0"/>
          <w:numId w:val="7"/>
        </w:numPr>
        <w:spacing w:after="80" w:line="290"/>
      </w:pPr>
      <w:r>
        <w:rPr>
          <w:rFonts w:ascii="Nunito Sans" w:cs="Nunito Sans" w:eastAsia="Nunito Sans" w:hAnsi="Nunito Sans"/>
          <w:color w:val="102E3B"/>
          <w:sz w:val="20"/>
          <w:szCs w:val="20"/>
        </w:rPr>
        <w:t xml:space="preserve">Each later tranche is paid 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after the Grantor approves the reports due before it, and once the Partner has spent or committed at least </w:t>
      </w:r>
      <w:r>
        <w:rPr>
          <w:rFonts w:ascii="Nunito Sans" w:cs="Nunito Sans" w:eastAsia="Nunito Sans" w:hAnsi="Nunito Sans"/>
          <w:color w:val="102E3B"/>
          <w:sz w:val="20"/>
          <w:szCs w:val="20"/>
          <w:highlight w:val="yellow"/>
        </w:rPr>
        <w:t xml:space="preserve">[70]</w:t>
      </w:r>
      <w:r>
        <w:rPr>
          <w:rFonts w:ascii="Nunito Sans" w:cs="Nunito Sans" w:eastAsia="Nunito Sans" w:hAnsi="Nunito Sans"/>
          <w:color w:val="102E3B"/>
          <w:sz w:val="20"/>
          <w:szCs w:val="20"/>
        </w:rPr>
        <w:t xml:space="preserve">% of the funds it has already received.</w:t>
      </w:r>
    </w:p>
    <w:p>
      <w:pPr>
        <w:pStyle w:val="ListParagraph"/>
        <w:numPr>
          <w:ilvl w:val="0"/>
          <w:numId w:val="7"/>
        </w:numPr>
        <w:spacing w:after="80" w:line="290"/>
      </w:pPr>
      <w:r>
        <w:rPr>
          <w:rFonts w:ascii="Nunito Sans" w:cs="Nunito Sans" w:eastAsia="Nunito Sans" w:hAnsi="Nunito Sans"/>
          <w:color w:val="102E3B"/>
          <w:sz w:val="20"/>
          <w:szCs w:val="20"/>
        </w:rPr>
        <w:t xml:space="preserve">The Grantor will review each report 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and either approve it or explain in writing what is needed. The Grantor will not delay a tranche for minor issues that can be corrected in the next report.</w:t>
      </w:r>
    </w:p>
    <w:p>
      <w:pPr>
        <w:pStyle w:val="ListParagraph"/>
        <w:numPr>
          <w:ilvl w:val="0"/>
          <w:numId w:val="7"/>
        </w:numPr>
        <w:spacing w:after="80" w:line="290"/>
      </w:pPr>
      <w:r>
        <w:rPr>
          <w:rFonts w:ascii="Nunito Sans" w:cs="Nunito Sans" w:eastAsia="Nunito Sans" w:hAnsi="Nunito Sans"/>
          <w:color w:val="102E3B"/>
          <w:sz w:val="20"/>
          <w:szCs w:val="20"/>
        </w:rPr>
        <w:t xml:space="preserve">The Grant is paid in </w:t>
      </w:r>
      <w:r>
        <w:rPr>
          <w:rFonts w:ascii="Nunito Sans" w:cs="Nunito Sans" w:eastAsia="Nunito Sans" w:hAnsi="Nunito Sans"/>
          <w:color w:val="102E3B"/>
          <w:sz w:val="20"/>
          <w:szCs w:val="20"/>
          <w:highlight w:val="yellow"/>
        </w:rPr>
        <w:t xml:space="preserve">[currency]</w:t>
      </w:r>
      <w:r>
        <w:rPr>
          <w:rFonts w:ascii="Nunito Sans" w:cs="Nunito Sans" w:eastAsia="Nunito Sans" w:hAnsi="Nunito Sans"/>
          <w:color w:val="102E3B"/>
          <w:sz w:val="20"/>
          <w:szCs w:val="20"/>
        </w:rPr>
        <w:t xml:space="preserve">. The Partner records the exchange rate it actually receives on each transfer and uses it in its financial reports. </w:t>
      </w:r>
      <w:r>
        <w:rPr>
          <w:rFonts w:ascii="Nunito Sans" w:cs="Nunito Sans" w:eastAsia="Nunito Sans" w:hAnsi="Nunito Sans"/>
          <w:color w:val="102E3B"/>
          <w:sz w:val="20"/>
          <w:szCs w:val="20"/>
          <w:highlight w:val="yellow"/>
        </w:rPr>
        <w:t xml:space="preserve">[Exchange rate gains are used for the Project with the Grantor's approval; losses are shared as agreed in writing.]</w:t>
      </w:r>
    </w:p>
    <w:p>
      <w:pPr>
        <w:pStyle w:val="ListParagraph"/>
        <w:numPr>
          <w:ilvl w:val="0"/>
          <w:numId w:val="7"/>
        </w:numPr>
        <w:spacing w:after="80" w:line="290"/>
      </w:pPr>
      <w:r>
        <w:rPr>
          <w:rFonts w:ascii="Nunito Sans" w:cs="Nunito Sans" w:eastAsia="Nunito Sans" w:hAnsi="Nunito Sans"/>
          <w:color w:val="102E3B"/>
          <w:sz w:val="20"/>
          <w:szCs w:val="20"/>
        </w:rPr>
        <w:t xml:space="preserve">Any interest earned on the Grant is used for the Project or returned to the Grantor, as the Head Donor requires.</w:t>
      </w:r>
    </w:p>
    <w:p>
      <w:pPr>
        <w:pStyle w:val="ListParagraph"/>
        <w:numPr>
          <w:ilvl w:val="0"/>
          <w:numId w:val="7"/>
        </w:numPr>
        <w:spacing w:after="80" w:line="290"/>
      </w:pPr>
      <w:r>
        <w:rPr>
          <w:rFonts w:ascii="Nunito Sans" w:cs="Nunito Sans" w:eastAsia="Nunito Sans" w:hAnsi="Nunito Sans"/>
          <w:color w:val="102E3B"/>
          <w:sz w:val="20"/>
          <w:szCs w:val="20"/>
        </w:rPr>
        <w:t xml:space="preserve">The Grantor will confirm by telephone, with the Partner's finance contact on the number in this agreement, any request to change bank details before making a payment.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PAYMENTS THAT DO NOT STARVE THE PROJECT</w:t>
            </w:r>
          </w:p>
          <w:p>
            <w:pPr>
              <w:spacing w:after="120" w:before="0" w:line="300"/>
            </w:pPr>
            <w:r>
              <w:rPr>
                <w:rFonts w:ascii="Nunito Sans" w:cs="Nunito Sans" w:eastAsia="Nunito Sans" w:hAnsi="Nunito Sans"/>
                <w:color w:val="102E3B"/>
                <w:sz w:val="19"/>
                <w:szCs w:val="19"/>
              </w:rPr>
              <w:t xml:space="preserve">Small partners rarely have reserves to pre-finance activities. Make the first tranche large enough to cover the first period plus a buffer (often one quarter's costs), and set the spending trigger in clause 4.3 at a realistic level, so that the Project does not stop while a report is reviewed. Check that your own payment schedule from the Head Donor allows you to pay on time.</w:t>
            </w:r>
          </w:p>
          <w:p>
            <w:pPr>
              <w:spacing w:after="120" w:before="0" w:line="300"/>
            </w:pPr>
            <w:r>
              <w:rPr>
                <w:rFonts w:ascii="Nunito Sans" w:cs="Nunito Sans" w:eastAsia="Nunito Sans" w:hAnsi="Nunito Sans"/>
                <w:color w:val="102E3B"/>
                <w:sz w:val="19"/>
                <w:szCs w:val="19"/>
              </w:rPr>
              <w:t xml:space="preserve">Agree how currency movements are handled. In countries with volatile currencies, a sharp fall can wipe out a budget: consider paying in hard currency, paying smaller tranches more often, or a contingency line.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Eligible costs</w:t>
      </w:r>
    </w:p>
    <w:p>
      <w:pPr>
        <w:pStyle w:val="ListParagraph"/>
        <w:numPr>
          <w:ilvl w:val="0"/>
          <w:numId w:val="8"/>
        </w:numPr>
        <w:spacing w:after="80" w:line="290"/>
      </w:pPr>
      <w:r>
        <w:rPr>
          <w:rFonts w:ascii="Nunito Sans" w:cs="Nunito Sans" w:eastAsia="Nunito Sans" w:hAnsi="Nunito Sans"/>
          <w:color w:val="102E3B"/>
          <w:sz w:val="20"/>
          <w:szCs w:val="20"/>
        </w:rPr>
        <w:t xml:space="preserve">A cost is eligible only if it:</w:t>
      </w:r>
    </w:p>
    <w:p>
      <w:pPr>
        <w:pStyle w:val="ListParagraph"/>
        <w:numPr>
          <w:ilvl w:val="1"/>
          <w:numId w:val="8"/>
        </w:numPr>
        <w:spacing w:after="80" w:line="290"/>
      </w:pPr>
      <w:r>
        <w:rPr>
          <w:rFonts w:ascii="Nunito Sans" w:cs="Nunito Sans" w:eastAsia="Nunito Sans" w:hAnsi="Nunito Sans"/>
          <w:color w:val="102E3B"/>
          <w:sz w:val="20"/>
          <w:szCs w:val="20"/>
        </w:rPr>
        <w:t xml:space="preserve">is necessary for the Project and included in the Approved Budget;</w:t>
      </w:r>
    </w:p>
    <w:p>
      <w:pPr>
        <w:pStyle w:val="ListParagraph"/>
        <w:numPr>
          <w:ilvl w:val="1"/>
          <w:numId w:val="8"/>
        </w:numPr>
        <w:spacing w:after="80" w:line="290"/>
      </w:pPr>
      <w:r>
        <w:rPr>
          <w:rFonts w:ascii="Nunito Sans" w:cs="Nunito Sans" w:eastAsia="Nunito Sans" w:hAnsi="Nunito Sans"/>
          <w:color w:val="102E3B"/>
          <w:sz w:val="20"/>
          <w:szCs w:val="20"/>
        </w:rPr>
        <w:t xml:space="preserve">is incurred during the Project Period, or paid within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after it for activities carried out during it;</w:t>
      </w:r>
    </w:p>
    <w:p>
      <w:pPr>
        <w:pStyle w:val="ListParagraph"/>
        <w:numPr>
          <w:ilvl w:val="1"/>
          <w:numId w:val="8"/>
        </w:numPr>
        <w:spacing w:after="80" w:line="290"/>
      </w:pPr>
      <w:r>
        <w:rPr>
          <w:rFonts w:ascii="Nunito Sans" w:cs="Nunito Sans" w:eastAsia="Nunito Sans" w:hAnsi="Nunito Sans"/>
          <w:color w:val="102E3B"/>
          <w:sz w:val="20"/>
          <w:szCs w:val="20"/>
        </w:rPr>
        <w:t xml:space="preserve">is reasonable, and follows the Partner's own policies and the procurement rules in clause 7;</w:t>
      </w:r>
    </w:p>
    <w:p>
      <w:pPr>
        <w:pStyle w:val="ListParagraph"/>
        <w:numPr>
          <w:ilvl w:val="1"/>
          <w:numId w:val="8"/>
        </w:numPr>
        <w:spacing w:after="80" w:line="290"/>
      </w:pPr>
      <w:r>
        <w:rPr>
          <w:rFonts w:ascii="Nunito Sans" w:cs="Nunito Sans" w:eastAsia="Nunito Sans" w:hAnsi="Nunito Sans"/>
          <w:color w:val="102E3B"/>
          <w:sz w:val="20"/>
          <w:szCs w:val="20"/>
        </w:rPr>
        <w:t xml:space="preserve">is recorded in the Partner's accounts and supported by evidence such as invoices, receipts, contracts, payroll records and attendance lists; and</w:t>
      </w:r>
    </w:p>
    <w:p>
      <w:pPr>
        <w:pStyle w:val="ListParagraph"/>
        <w:numPr>
          <w:ilvl w:val="1"/>
          <w:numId w:val="8"/>
        </w:numPr>
        <w:spacing w:after="80" w:line="290"/>
      </w:pPr>
      <w:r>
        <w:rPr>
          <w:rFonts w:ascii="Nunito Sans" w:cs="Nunito Sans" w:eastAsia="Nunito Sans" w:hAnsi="Nunito Sans"/>
          <w:color w:val="102E3B"/>
          <w:sz w:val="20"/>
          <w:szCs w:val="20"/>
        </w:rPr>
        <w:t xml:space="preserve">is not funded by anyone else.</w:t>
      </w:r>
    </w:p>
    <w:p>
      <w:pPr>
        <w:pStyle w:val="ListParagraph"/>
        <w:numPr>
          <w:ilvl w:val="0"/>
          <w:numId w:val="8"/>
        </w:numPr>
        <w:spacing w:after="80" w:line="290"/>
      </w:pPr>
      <w:r>
        <w:rPr>
          <w:rFonts w:ascii="Nunito Sans" w:cs="Nunito Sans" w:eastAsia="Nunito Sans" w:hAnsi="Nunito Sans"/>
          <w:color w:val="102E3B"/>
          <w:sz w:val="20"/>
          <w:szCs w:val="20"/>
        </w:rPr>
        <w:t xml:space="preserve">The following are not eligible: costs incurred outside the Project Period; debts, fines and penalties; costs of </w:t>
      </w:r>
      <w:r>
        <w:rPr>
          <w:rFonts w:ascii="Nunito Sans" w:cs="Nunito Sans" w:eastAsia="Nunito Sans" w:hAnsi="Nunito Sans"/>
          <w:color w:val="102E3B"/>
          <w:sz w:val="20"/>
          <w:szCs w:val="20"/>
          <w:highlight w:val="yellow"/>
        </w:rPr>
        <w:t xml:space="preserve">[alcohol, entertainment and gifts]</w:t>
      </w:r>
      <w:r>
        <w:rPr>
          <w:rFonts w:ascii="Nunito Sans" w:cs="Nunito Sans" w:eastAsia="Nunito Sans" w:hAnsi="Nunito Sans"/>
          <w:color w:val="102E3B"/>
          <w:sz w:val="20"/>
          <w:szCs w:val="20"/>
        </w:rPr>
        <w:t xml:space="preserve">; political or religious campaigning; items prohibited by the Head Donor; and any amount lost through fraud or theft, except as clause 15.4 allows.</w:t>
      </w:r>
    </w:p>
    <w:p>
      <w:pPr>
        <w:pStyle w:val="ListParagraph"/>
        <w:numPr>
          <w:ilvl w:val="0"/>
          <w:numId w:val="8"/>
        </w:numPr>
        <w:spacing w:after="80" w:line="290"/>
      </w:pPr>
      <w:r>
        <w:rPr>
          <w:rFonts w:ascii="Nunito Sans" w:cs="Nunito Sans" w:eastAsia="Nunito Sans" w:hAnsi="Nunito Sans"/>
          <w:b/>
          <w:bCs/>
          <w:color w:val="102E3B"/>
          <w:sz w:val="20"/>
          <w:szCs w:val="20"/>
        </w:rPr>
        <w:t xml:space="preserve">Indirect costs.</w:t>
      </w:r>
      <w:r>
        <w:rPr>
          <w:rFonts w:ascii="Nunito Sans" w:cs="Nunito Sans" w:eastAsia="Nunito Sans" w:hAnsi="Nunito Sans"/>
          <w:color w:val="102E3B"/>
          <w:sz w:val="20"/>
          <w:szCs w:val="20"/>
        </w:rPr>
        <w:t xml:space="preserve"> The Approved Budget includes a contribution to the Partner's running costs of </w:t>
      </w:r>
      <w:r>
        <w:rPr>
          <w:rFonts w:ascii="Nunito Sans" w:cs="Nunito Sans" w:eastAsia="Nunito Sans" w:hAnsi="Nunito Sans"/>
          <w:color w:val="102E3B"/>
          <w:sz w:val="20"/>
          <w:szCs w:val="20"/>
          <w:highlight w:val="yellow"/>
        </w:rPr>
        <w:t xml:space="preserve">[X]</w:t>
      </w:r>
      <w:r>
        <w:rPr>
          <w:rFonts w:ascii="Nunito Sans" w:cs="Nunito Sans" w:eastAsia="Nunito Sans" w:hAnsi="Nunito Sans"/>
          <w:color w:val="102E3B"/>
          <w:sz w:val="20"/>
          <w:szCs w:val="20"/>
        </w:rPr>
        <w:t xml:space="preserve">% of direct costs. The Partner </w:t>
      </w:r>
      <w:r>
        <w:rPr>
          <w:rFonts w:ascii="Nunito Sans" w:cs="Nunito Sans" w:eastAsia="Nunito Sans" w:hAnsi="Nunito Sans"/>
          <w:color w:val="102E3B"/>
          <w:sz w:val="20"/>
          <w:szCs w:val="20"/>
          <w:highlight w:val="yellow"/>
        </w:rPr>
        <w:t xml:space="preserve">[does not need to show receipts for this contribution / supports it as the Head Donor requires]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6. Financial management</w:t>
      </w:r>
    </w:p>
    <w:p>
      <w:pPr>
        <w:pStyle w:val="ListParagraph"/>
        <w:numPr>
          <w:ilvl w:val="0"/>
          <w:numId w:val="9"/>
        </w:numPr>
        <w:spacing w:after="80" w:line="290"/>
      </w:pPr>
      <w:r>
        <w:rPr>
          <w:rFonts w:ascii="Nunito Sans" w:cs="Nunito Sans" w:eastAsia="Nunito Sans" w:hAnsi="Nunito Sans"/>
          <w:color w:val="102E3B"/>
          <w:sz w:val="20"/>
          <w:szCs w:val="20"/>
        </w:rPr>
        <w:t xml:space="preserve">The Partner will track the Grant separately from its other funds, using </w:t>
      </w:r>
      <w:r>
        <w:rPr>
          <w:rFonts w:ascii="Nunito Sans" w:cs="Nunito Sans" w:eastAsia="Nunito Sans" w:hAnsi="Nunito Sans"/>
          <w:color w:val="102E3B"/>
          <w:sz w:val="20"/>
          <w:szCs w:val="20"/>
          <w:highlight w:val="yellow"/>
        </w:rPr>
        <w:t xml:space="preserve">[a separate bank account / a separate project code in its accounting system]</w:t>
      </w:r>
      <w:r>
        <w:rPr>
          <w:rFonts w:ascii="Nunito Sans" w:cs="Nunito Sans" w:eastAsia="Nunito Sans" w:hAnsi="Nunito Sans"/>
          <w:color w:val="102E3B"/>
          <w:sz w:val="20"/>
          <w:szCs w:val="20"/>
        </w:rPr>
        <w:t xml:space="preserve">, so that every income and cost item for the Project can be identified.</w:t>
      </w:r>
    </w:p>
    <w:p>
      <w:pPr>
        <w:pStyle w:val="ListParagraph"/>
        <w:numPr>
          <w:ilvl w:val="0"/>
          <w:numId w:val="9"/>
        </w:numPr>
        <w:spacing w:after="80" w:line="290"/>
      </w:pPr>
      <w:r>
        <w:rPr>
          <w:rFonts w:ascii="Nunito Sans" w:cs="Nunito Sans" w:eastAsia="Nunito Sans" w:hAnsi="Nunito Sans"/>
          <w:color w:val="102E3B"/>
          <w:sz w:val="20"/>
          <w:szCs w:val="20"/>
        </w:rPr>
        <w:t xml:space="preserve">The Partner will keep complete, accurate books and the original supporting documents for every cost.</w:t>
      </w:r>
    </w:p>
    <w:p>
      <w:pPr>
        <w:pStyle w:val="ListParagraph"/>
        <w:numPr>
          <w:ilvl w:val="0"/>
          <w:numId w:val="9"/>
        </w:numPr>
        <w:spacing w:after="80" w:line="290"/>
      </w:pPr>
      <w:r>
        <w:rPr>
          <w:rFonts w:ascii="Nunito Sans" w:cs="Nunito Sans" w:eastAsia="Nunito Sans" w:hAnsi="Nunito Sans"/>
          <w:color w:val="102E3B"/>
          <w:sz w:val="20"/>
          <w:szCs w:val="20"/>
        </w:rPr>
        <w:t xml:space="preserve">The Partner will, at minimum:</w:t>
      </w:r>
    </w:p>
    <w:p>
      <w:pPr>
        <w:pStyle w:val="ListParagraph"/>
        <w:numPr>
          <w:ilvl w:val="1"/>
          <w:numId w:val="9"/>
        </w:numPr>
        <w:spacing w:after="80" w:line="290"/>
      </w:pPr>
      <w:r>
        <w:rPr>
          <w:rFonts w:ascii="Nunito Sans" w:cs="Nunito Sans" w:eastAsia="Nunito Sans" w:hAnsi="Nunito Sans"/>
          <w:color w:val="102E3B"/>
          <w:sz w:val="20"/>
          <w:szCs w:val="20"/>
        </w:rPr>
        <w:t xml:space="preserve">require two authorised people to approve each payment, and keep the roles of ordering, approving and paying separate where its size allows;</w:t>
      </w:r>
    </w:p>
    <w:p>
      <w:pPr>
        <w:pStyle w:val="ListParagraph"/>
        <w:numPr>
          <w:ilvl w:val="1"/>
          <w:numId w:val="9"/>
        </w:numPr>
        <w:spacing w:after="80" w:line="290"/>
      </w:pPr>
      <w:r>
        <w:rPr>
          <w:rFonts w:ascii="Nunito Sans" w:cs="Nunito Sans" w:eastAsia="Nunito Sans" w:hAnsi="Nunito Sans"/>
          <w:color w:val="102E3B"/>
          <w:sz w:val="20"/>
          <w:szCs w:val="20"/>
        </w:rPr>
        <w:t xml:space="preserve">reconcile its Project bank account each month;</w:t>
      </w:r>
    </w:p>
    <w:p>
      <w:pPr>
        <w:pStyle w:val="ListParagraph"/>
        <w:numPr>
          <w:ilvl w:val="1"/>
          <w:numId w:val="9"/>
        </w:numPr>
        <w:spacing w:after="80" w:line="290"/>
      </w:pPr>
      <w:r>
        <w:rPr>
          <w:rFonts w:ascii="Nunito Sans" w:cs="Nunito Sans" w:eastAsia="Nunito Sans" w:hAnsi="Nunito Sans"/>
          <w:color w:val="102E3B"/>
          <w:sz w:val="20"/>
          <w:szCs w:val="20"/>
        </w:rPr>
        <w:t xml:space="preserve">pay by bank transfer or mobile money where possible, and keep cash payments below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each, with a signed receipt;</w:t>
      </w:r>
    </w:p>
    <w:p>
      <w:pPr>
        <w:pStyle w:val="ListParagraph"/>
        <w:numPr>
          <w:ilvl w:val="1"/>
          <w:numId w:val="9"/>
        </w:numPr>
        <w:spacing w:after="80" w:line="290"/>
      </w:pPr>
      <w:r>
        <w:rPr>
          <w:rFonts w:ascii="Nunito Sans" w:cs="Nunito Sans" w:eastAsia="Nunito Sans" w:hAnsi="Nunito Sans"/>
          <w:color w:val="102E3B"/>
          <w:sz w:val="20"/>
          <w:szCs w:val="20"/>
        </w:rPr>
        <w:t xml:space="preserve">keep a register of equipment bought with the Grant worth more than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and</w:t>
      </w:r>
    </w:p>
    <w:p>
      <w:pPr>
        <w:pStyle w:val="ListParagraph"/>
        <w:numPr>
          <w:ilvl w:val="1"/>
          <w:numId w:val="9"/>
        </w:numPr>
        <w:spacing w:after="80" w:line="290"/>
      </w:pPr>
      <w:r>
        <w:rPr>
          <w:rFonts w:ascii="Nunito Sans" w:cs="Nunito Sans" w:eastAsia="Nunito Sans" w:hAnsi="Nunito Sans"/>
          <w:color w:val="102E3B"/>
          <w:sz w:val="20"/>
          <w:szCs w:val="20"/>
        </w:rPr>
        <w:t xml:space="preserve">tell the Grantor within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Business Days of any change of its legal status, senior leadership, bank signatories or auditors.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PROPORTIONATE FINANCIAL CONTROLS</w:t>
            </w:r>
          </w:p>
          <w:p>
            <w:pPr>
              <w:spacing w:after="120" w:before="0" w:line="300"/>
            </w:pPr>
            <w:r>
              <w:rPr>
                <w:rFonts w:ascii="Nunito Sans" w:cs="Nunito Sans" w:eastAsia="Nunito Sans" w:hAnsi="Nunito Sans"/>
                <w:color w:val="102E3B"/>
                <w:sz w:val="19"/>
                <w:szCs w:val="19"/>
              </w:rPr>
              <w:t xml:space="preserve">Match the controls to the partner's size and the amount of the Grant. A partner with two staff can still have two people approve payments, for example a staff member and a board treasurer, even if one person does the bookkeeping. Where mobile money is the norm, accept mobile money statements as evidence. If the partner has gaps, agree a short improvement plan under clause 14 rather than refusing to fund it. Check the Head Donor's rules, which may set specific cash limits or require a separate bank account.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Procurement</w:t>
      </w:r>
    </w:p>
    <w:p>
      <w:pPr>
        <w:pStyle w:val="ListParagraph"/>
        <w:numPr>
          <w:ilvl w:val="0"/>
          <w:numId w:val="10"/>
        </w:numPr>
        <w:spacing w:after="80" w:line="290"/>
      </w:pPr>
      <w:r>
        <w:rPr>
          <w:rFonts w:ascii="Nunito Sans" w:cs="Nunito Sans" w:eastAsia="Nunito Sans" w:hAnsi="Nunito Sans"/>
          <w:color w:val="102E3B"/>
          <w:sz w:val="20"/>
          <w:szCs w:val="20"/>
        </w:rPr>
        <w:t xml:space="preserve">The Partner will buy goods and services for the Project fairly, transparently and for best value. It will follow its own procurement policy where that is at least as strict as this clause, and otherwise the minimum rules in the table below.</w:t>
      </w:r>
    </w:p>
    <w:p>
      <w:pPr>
        <w:pStyle w:val="ListParagraph"/>
        <w:numPr>
          <w:ilvl w:val="0"/>
          <w:numId w:val="10"/>
        </w:numPr>
        <w:spacing w:after="80" w:line="290"/>
      </w:pPr>
      <w:r>
        <w:rPr>
          <w:rFonts w:ascii="Nunito Sans" w:cs="Nunito Sans" w:eastAsia="Nunito Sans" w:hAnsi="Nunito Sans"/>
          <w:color w:val="102E3B"/>
          <w:sz w:val="20"/>
          <w:szCs w:val="20"/>
        </w:rPr>
        <w:t xml:space="preserve">The Partner will not split purchases to avoid a threshold. Anyone with a conflict of interest in a purchase will declare it and take no part in the decision.</w:t>
      </w:r>
    </w:p>
    <w:p>
      <w:pPr>
        <w:pStyle w:val="ListParagraph"/>
        <w:numPr>
          <w:ilvl w:val="0"/>
          <w:numId w:val="10"/>
        </w:numPr>
        <w:spacing w:after="80" w:line="290"/>
      </w:pPr>
      <w:r>
        <w:rPr>
          <w:rFonts w:ascii="Nunito Sans" w:cs="Nunito Sans" w:eastAsia="Nunito Sans" w:hAnsi="Nunito Sans"/>
          <w:color w:val="102E3B"/>
          <w:sz w:val="20"/>
          <w:szCs w:val="20"/>
        </w:rPr>
        <w:t xml:space="preserve">The Partner will check that suppliers above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are not on the sanctions lists in clause 11.4, and keep a record of each purchase decision.</w:t>
      </w:r>
    </w:p>
    <w:p>
      <w:pPr>
        <w:pStyle w:val="ListParagraph"/>
        <w:numPr>
          <w:ilvl w:val="0"/>
          <w:numId w:val="10"/>
        </w:numPr>
        <w:spacing w:after="80" w:line="290"/>
      </w:pPr>
      <w:r>
        <w:rPr>
          <w:rFonts w:ascii="Nunito Sans" w:cs="Nunito Sans" w:eastAsia="Nunito Sans" w:hAnsi="Nunito Sans"/>
          <w:color w:val="102E3B"/>
          <w:sz w:val="20"/>
          <w:szCs w:val="20"/>
        </w:rPr>
        <w:t xml:space="preserve">Equipment bought with the Grant belongs to the Partner </w:t>
      </w:r>
      <w:r>
        <w:rPr>
          <w:rFonts w:ascii="Nunito Sans" w:cs="Nunito Sans" w:eastAsia="Nunito Sans" w:hAnsi="Nunito Sans"/>
          <w:color w:val="102E3B"/>
          <w:sz w:val="20"/>
          <w:szCs w:val="20"/>
          <w:highlight w:val="yellow"/>
        </w:rPr>
        <w:t xml:space="preserve">[unless the Head Donor requires otherwise]</w:t>
      </w:r>
      <w:r>
        <w:rPr>
          <w:rFonts w:ascii="Nunito Sans" w:cs="Nunito Sans" w:eastAsia="Nunito Sans" w:hAnsi="Nunito Sans"/>
          <w:color w:val="102E3B"/>
          <w:sz w:val="20"/>
          <w:szCs w:val="20"/>
        </w:rPr>
        <w:t xml:space="preserve">, is used for the Project, and is not sold during the Project Period without the Grantor's written approval.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VALUE OF THE PURCHASE</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MINIMUM PROCESS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Up to </w:t>
            </w:r>
            <w:r>
              <w:rPr>
                <w:rFonts w:ascii="Nunito Sans" w:cs="Nunito Sans" w:eastAsia="Nunito Sans" w:hAnsi="Nunito Sans"/>
                <w:color w:val="102E3B"/>
                <w:sz w:val="18"/>
                <w:szCs w:val="18"/>
                <w:highlight w:val="yellow"/>
              </w:rPr>
              <w:t xml:space="preserve">[amount]</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One quote or a price check, recorded</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to </w:t>
            </w:r>
            <w:r>
              <w:rPr>
                <w:rFonts w:ascii="Nunito Sans" w:cs="Nunito Sans" w:eastAsia="Nunito Sans" w:hAnsi="Nunito Sans"/>
                <w:color w:val="102E3B"/>
                <w:sz w:val="18"/>
                <w:szCs w:val="18"/>
                <w:highlight w:val="yellow"/>
              </w:rPr>
              <w:t xml:space="preserve">[amount]</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least three written quotes, compared in writing</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Above </w:t>
            </w:r>
            <w:r>
              <w:rPr>
                <w:rFonts w:ascii="Nunito Sans" w:cs="Nunito Sans" w:eastAsia="Nunito Sans" w:hAnsi="Nunito Sans"/>
                <w:color w:val="102E3B"/>
                <w:sz w:val="18"/>
                <w:szCs w:val="18"/>
                <w:highlight w:val="yellow"/>
              </w:rPr>
              <w:t xml:space="preserve">[amount]</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Open or competitive tender, with the Grantor's prior written approval of the selection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PROCUREMENT THRESHOLDS</w:t>
            </w:r>
          </w:p>
          <w:p>
            <w:pPr>
              <w:spacing w:after="120" w:before="0" w:line="300"/>
            </w:pPr>
            <w:r>
              <w:rPr>
                <w:rFonts w:ascii="Nunito Sans" w:cs="Nunito Sans" w:eastAsia="Nunito Sans" w:hAnsi="Nunito Sans"/>
                <w:color w:val="102E3B"/>
                <w:sz w:val="19"/>
                <w:szCs w:val="19"/>
              </w:rPr>
              <w:t xml:space="preserve">Set thresholds that fit local prices and the partner's size, and check the Head Donor's rules first: many donors set their own thresholds, and some add rules on where goods may come from. In remote areas, three quotes may not exist. Allow a recorded explanation instead, approved by a second person. The Procurement Policy template shows a fuller approach.</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Changes and budget flexibility</w:t>
      </w:r>
    </w:p>
    <w:p>
      <w:pPr>
        <w:pStyle w:val="ListParagraph"/>
        <w:numPr>
          <w:ilvl w:val="0"/>
          <w:numId w:val="11"/>
        </w:numPr>
        <w:spacing w:after="80" w:line="290"/>
      </w:pPr>
      <w:r>
        <w:rPr>
          <w:rFonts w:ascii="Nunito Sans" w:cs="Nunito Sans" w:eastAsia="Nunito Sans" w:hAnsi="Nunito Sans"/>
          <w:color w:val="102E3B"/>
          <w:sz w:val="20"/>
          <w:szCs w:val="20"/>
        </w:rPr>
        <w:t xml:space="preserve">The Partner may move up to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of any budget line to another existing line without prior approval, provided the total Grant does not change. It will explain the change in its next financial report.</w:t>
      </w:r>
    </w:p>
    <w:p>
      <w:pPr>
        <w:pStyle w:val="ListParagraph"/>
        <w:numPr>
          <w:ilvl w:val="0"/>
          <w:numId w:val="11"/>
        </w:numPr>
        <w:spacing w:after="80" w:line="290"/>
      </w:pPr>
      <w:r>
        <w:rPr>
          <w:rFonts w:ascii="Nunito Sans" w:cs="Nunito Sans" w:eastAsia="Nunito Sans" w:hAnsi="Nunito Sans"/>
          <w:color w:val="102E3B"/>
          <w:sz w:val="20"/>
          <w:szCs w:val="20"/>
        </w:rPr>
        <w:t xml:space="preserve">The Partner needs the Grantor's prior written approval to move more than this, to add a new budget line, to change </w:t>
      </w:r>
      <w:r>
        <w:rPr>
          <w:rFonts w:ascii="Nunito Sans" w:cs="Nunito Sans" w:eastAsia="Nunito Sans" w:hAnsi="Nunito Sans"/>
          <w:color w:val="102E3B"/>
          <w:sz w:val="20"/>
          <w:szCs w:val="20"/>
          <w:highlight w:val="yellow"/>
        </w:rPr>
        <w:t xml:space="preserve">[staff salary or equipment]</w:t>
      </w:r>
      <w:r>
        <w:rPr>
          <w:rFonts w:ascii="Nunito Sans" w:cs="Nunito Sans" w:eastAsia="Nunito Sans" w:hAnsi="Nunito Sans"/>
          <w:color w:val="102E3B"/>
          <w:sz w:val="20"/>
          <w:szCs w:val="20"/>
        </w:rPr>
        <w:t xml:space="preserve"> lines, or to make any significant change to the Project's activities, locations or expected results.</w:t>
      </w:r>
    </w:p>
    <w:p>
      <w:pPr>
        <w:pStyle w:val="ListParagraph"/>
        <w:numPr>
          <w:ilvl w:val="0"/>
          <w:numId w:val="11"/>
        </w:numPr>
        <w:spacing w:after="80" w:line="290"/>
      </w:pPr>
      <w:r>
        <w:rPr>
          <w:rFonts w:ascii="Nunito Sans" w:cs="Nunito Sans" w:eastAsia="Nunito Sans" w:hAnsi="Nunito Sans"/>
          <w:color w:val="102E3B"/>
          <w:sz w:val="20"/>
          <w:szCs w:val="20"/>
        </w:rPr>
        <w:t xml:space="preserve">The Grantor will respond to a change request 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It will not unreasonably refuse a change that helps the Project respond to changed conditions.</w:t>
      </w:r>
    </w:p>
    <w:p>
      <w:pPr>
        <w:pStyle w:val="ListParagraph"/>
        <w:numPr>
          <w:ilvl w:val="0"/>
          <w:numId w:val="11"/>
        </w:numPr>
        <w:spacing w:after="80" w:line="290"/>
      </w:pPr>
      <w:r>
        <w:rPr>
          <w:rFonts w:ascii="Nunito Sans" w:cs="Nunito Sans" w:eastAsia="Nunito Sans" w:hAnsi="Nunito Sans"/>
          <w:color w:val="102E3B"/>
          <w:sz w:val="20"/>
          <w:szCs w:val="20"/>
        </w:rPr>
        <w:t xml:space="preserve">A request to extend the Project Period, with or without extra funds, must be made at least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before it ends.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BUDGET FLEXIBILITY</w:t>
            </w:r>
          </w:p>
          <w:p>
            <w:pPr>
              <w:spacing w:after="120" w:before="0" w:line="300"/>
            </w:pPr>
            <w:r>
              <w:rPr>
                <w:rFonts w:ascii="Nunito Sans" w:cs="Nunito Sans" w:eastAsia="Nunito Sans" w:hAnsi="Nunito Sans"/>
                <w:color w:val="102E3B"/>
                <w:sz w:val="19"/>
                <w:szCs w:val="19"/>
              </w:rPr>
              <w:t xml:space="preserve">Ten per cent between lines is a common limit, but your Head Donor's rule decides: limits vary, and some donors require approval for any change. Use the Head Donor's limit, or a stricter one only if you have a good reason. Flexibility helps partners respond to price rises and changes in context, which are common in long projects.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Reporting</w:t>
      </w:r>
    </w:p>
    <w:p>
      <w:pPr>
        <w:pStyle w:val="ListParagraph"/>
        <w:numPr>
          <w:ilvl w:val="0"/>
          <w:numId w:val="12"/>
        </w:numPr>
        <w:spacing w:after="80" w:line="290"/>
      </w:pPr>
      <w:r>
        <w:rPr>
          <w:rFonts w:ascii="Nunito Sans" w:cs="Nunito Sans" w:eastAsia="Nunito Sans" w:hAnsi="Nunito Sans"/>
          <w:color w:val="102E3B"/>
          <w:sz w:val="20"/>
          <w:szCs w:val="20"/>
        </w:rPr>
        <w:t xml:space="preserve">The Partner will send the reports set out in Schedule 2, by the dates set there, using the templates the Grantor provides </w:t>
      </w:r>
      <w:r>
        <w:rPr>
          <w:rFonts w:ascii="Nunito Sans" w:cs="Nunito Sans" w:eastAsia="Nunito Sans" w:hAnsi="Nunito Sans"/>
          <w:color w:val="102E3B"/>
          <w:sz w:val="20"/>
          <w:szCs w:val="20"/>
          <w:highlight w:val="yellow"/>
        </w:rPr>
        <w:t xml:space="preserve">[or the Partner's own format, if it contains the same information]</w:t>
      </w:r>
      <w:r>
        <w:rPr>
          <w:rFonts w:ascii="Nunito Sans" w:cs="Nunito Sans" w:eastAsia="Nunito Sans" w:hAnsi="Nunito Sans"/>
          <w:color w:val="102E3B"/>
          <w:sz w:val="20"/>
          <w:szCs w:val="20"/>
        </w:rPr>
        <w:t xml:space="preserve">.</w:t>
      </w:r>
    </w:p>
    <w:p>
      <w:pPr>
        <w:pStyle w:val="ListParagraph"/>
        <w:numPr>
          <w:ilvl w:val="0"/>
          <w:numId w:val="12"/>
        </w:numPr>
        <w:spacing w:after="80" w:line="290"/>
      </w:pPr>
      <w:r>
        <w:rPr>
          <w:rFonts w:ascii="Nunito Sans" w:cs="Nunito Sans" w:eastAsia="Nunito Sans" w:hAnsi="Nunito Sans"/>
          <w:color w:val="102E3B"/>
          <w:sz w:val="20"/>
          <w:szCs w:val="20"/>
        </w:rPr>
        <w:t xml:space="preserve">Narrative reports describe activities, progress against the results in Schedule 1, challenges, changes, risks, learning and feedback from the communities served.</w:t>
      </w:r>
    </w:p>
    <w:p>
      <w:pPr>
        <w:pStyle w:val="ListParagraph"/>
        <w:numPr>
          <w:ilvl w:val="0"/>
          <w:numId w:val="12"/>
        </w:numPr>
        <w:spacing w:after="80" w:line="290"/>
      </w:pPr>
      <w:r>
        <w:rPr>
          <w:rFonts w:ascii="Nunito Sans" w:cs="Nunito Sans" w:eastAsia="Nunito Sans" w:hAnsi="Nunito Sans"/>
          <w:color w:val="102E3B"/>
          <w:sz w:val="20"/>
          <w:szCs w:val="20"/>
        </w:rPr>
        <w:t xml:space="preserve">Financial reports show income and spending by budget line, compared with the Approved Budget, with an explanation of any difference of more than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and the exchange rates used.</w:t>
      </w:r>
    </w:p>
    <w:p>
      <w:pPr>
        <w:pStyle w:val="ListParagraph"/>
        <w:numPr>
          <w:ilvl w:val="0"/>
          <w:numId w:val="12"/>
        </w:numPr>
        <w:spacing w:after="80" w:line="290"/>
      </w:pPr>
      <w:r>
        <w:rPr>
          <w:rFonts w:ascii="Nunito Sans" w:cs="Nunito Sans" w:eastAsia="Nunito Sans" w:hAnsi="Nunito Sans"/>
          <w:color w:val="102E3B"/>
          <w:sz w:val="20"/>
          <w:szCs w:val="20"/>
        </w:rPr>
        <w:t xml:space="preserve">The Partner will tell the Grantor within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Business Days of any event that significantly affects the Project, such as a delay, a security incident or a serious complaint.</w:t>
      </w:r>
    </w:p>
    <w:p>
      <w:pPr>
        <w:pStyle w:val="Heading2"/>
        <w:keepNext/>
        <w:spacing w:after="120" w:before="280"/>
      </w:pPr>
      <w:r>
        <w:rPr>
          <w:rFonts w:ascii="DM Serif Display" w:cs="DM Serif Display" w:eastAsia="DM Serif Display" w:hAnsi="DM Serif Display"/>
          <w:color w:val="123C48"/>
          <w:sz w:val="28"/>
          <w:szCs w:val="28"/>
        </w:rPr>
        <w:t xml:space="preserve">10. Monitoring, audit and records</w:t>
      </w:r>
    </w:p>
    <w:p>
      <w:pPr>
        <w:pStyle w:val="ListParagraph"/>
        <w:numPr>
          <w:ilvl w:val="0"/>
          <w:numId w:val="13"/>
        </w:numPr>
        <w:spacing w:after="80" w:line="290"/>
      </w:pPr>
      <w:r>
        <w:rPr>
          <w:rFonts w:ascii="Nunito Sans" w:cs="Nunito Sans" w:eastAsia="Nunito Sans" w:hAnsi="Nunito Sans"/>
          <w:color w:val="102E3B"/>
          <w:sz w:val="20"/>
          <w:szCs w:val="20"/>
        </w:rPr>
        <w:t xml:space="preserve">The Grantor may monitor the Project through meetings, document reviews and visits. It will give at least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Business Days' notice of a visit, except where it has a safeguarding or fraud concern.</w:t>
      </w:r>
    </w:p>
    <w:p>
      <w:pPr>
        <w:pStyle w:val="ListParagraph"/>
        <w:numPr>
          <w:ilvl w:val="0"/>
          <w:numId w:val="13"/>
        </w:numPr>
        <w:spacing w:after="80" w:line="290"/>
      </w:pPr>
      <w:r>
        <w:rPr>
          <w:rFonts w:ascii="Nunito Sans" w:cs="Nunito Sans" w:eastAsia="Nunito Sans" w:hAnsi="Nunito Sans"/>
          <w:color w:val="102E3B"/>
          <w:sz w:val="20"/>
          <w:szCs w:val="20"/>
        </w:rPr>
        <w:t xml:space="preserve">The Partner will give the Grantor, the Head Donor and their auditors or investigators access to its Project records, staff, sites and supporting documents, and allow them to take copies.</w:t>
      </w:r>
    </w:p>
    <w:p>
      <w:pPr>
        <w:pStyle w:val="ListParagraph"/>
        <w:numPr>
          <w:ilvl w:val="0"/>
          <w:numId w:val="13"/>
        </w:numPr>
        <w:spacing w:after="80" w:line="290"/>
      </w:pPr>
      <w:r>
        <w:rPr>
          <w:rFonts w:ascii="Nunito Sans" w:cs="Nunito Sans" w:eastAsia="Nunito Sans" w:hAnsi="Nunito Sans"/>
          <w:color w:val="102E3B"/>
          <w:sz w:val="20"/>
          <w:szCs w:val="20"/>
          <w:highlight w:val="yellow"/>
        </w:rPr>
        <w:t xml:space="preserve">[If the Grant exceeds amount, the Partner will provide an independent audit or expenditure verification of the Grant within 90 days after the Project Period. Its cost is included in the Approved Budget.]</w:t>
      </w:r>
    </w:p>
    <w:p>
      <w:pPr>
        <w:pStyle w:val="ListParagraph"/>
        <w:numPr>
          <w:ilvl w:val="0"/>
          <w:numId w:val="13"/>
        </w:numPr>
        <w:spacing w:after="80" w:line="290"/>
      </w:pPr>
      <w:r>
        <w:rPr>
          <w:rFonts w:ascii="Nunito Sans" w:cs="Nunito Sans" w:eastAsia="Nunito Sans" w:hAnsi="Nunito Sans"/>
          <w:color w:val="102E3B"/>
          <w:sz w:val="20"/>
          <w:szCs w:val="20"/>
        </w:rPr>
        <w:t xml:space="preserve">The Partner will keep all records relating to the Grant for </w:t>
      </w:r>
      <w:r>
        <w:rPr>
          <w:rFonts w:ascii="Nunito Sans" w:cs="Nunito Sans" w:eastAsia="Nunito Sans" w:hAnsi="Nunito Sans"/>
          <w:color w:val="102E3B"/>
          <w:sz w:val="20"/>
          <w:szCs w:val="20"/>
          <w:highlight w:val="yellow"/>
        </w:rPr>
        <w:t xml:space="preserve">[7]</w:t>
      </w:r>
      <w:r>
        <w:rPr>
          <w:rFonts w:ascii="Nunito Sans" w:cs="Nunito Sans" w:eastAsia="Nunito Sans" w:hAnsi="Nunito Sans"/>
          <w:color w:val="102E3B"/>
          <w:sz w:val="20"/>
          <w:szCs w:val="20"/>
        </w:rPr>
        <w:t xml:space="preserve"> years after the end of the Project Period, or longer if the Head Donor or the law requires.</w:t>
      </w:r>
    </w:p>
    <w:p>
      <w:pPr>
        <w:pStyle w:val="Heading2"/>
        <w:keepNext/>
        <w:spacing w:after="120" w:before="280"/>
      </w:pPr>
      <w:r>
        <w:rPr>
          <w:rFonts w:ascii="DM Serif Display" w:cs="DM Serif Display" w:eastAsia="DM Serif Display" w:hAnsi="DM Serif Display"/>
          <w:color w:val="123C48"/>
          <w:sz w:val="28"/>
          <w:szCs w:val="28"/>
        </w:rPr>
        <w:t xml:space="preserve">11. Compliance</w:t>
      </w:r>
    </w:p>
    <w:p>
      <w:pPr>
        <w:pStyle w:val="ListParagraph"/>
        <w:numPr>
          <w:ilvl w:val="0"/>
          <w:numId w:val="14"/>
        </w:numPr>
        <w:spacing w:after="80" w:line="290"/>
      </w:pPr>
      <w:r>
        <w:rPr>
          <w:rFonts w:ascii="Nunito Sans" w:cs="Nunito Sans" w:eastAsia="Nunito Sans" w:hAnsi="Nunito Sans"/>
          <w:b/>
          <w:bCs/>
          <w:color w:val="102E3B"/>
          <w:sz w:val="20"/>
          <w:szCs w:val="20"/>
        </w:rPr>
        <w:t xml:space="preserve">Safeguarding.</w:t>
      </w:r>
      <w:r>
        <w:rPr>
          <w:rFonts w:ascii="Nunito Sans" w:cs="Nunito Sans" w:eastAsia="Nunito Sans" w:hAnsi="Nunito Sans"/>
          <w:color w:val="102E3B"/>
          <w:sz w:val="20"/>
          <w:szCs w:val="20"/>
        </w:rPr>
        <w:t xml:space="preserve"> The Partner will have and apply a safeguarding policy that covers protection from sexual exploitation, abuse and harassment (PSEAH), follows the six core principles of the Inter-Agency Standing Committee (IASC), and includes a safe way for communities to raise concerns. It will report to the Grantor's safeguarding contact, </w:t>
      </w:r>
      <w:r>
        <w:rPr>
          <w:rFonts w:ascii="Nunito Sans" w:cs="Nunito Sans" w:eastAsia="Nunito Sans" w:hAnsi="Nunito Sans"/>
          <w:color w:val="102E3B"/>
          <w:sz w:val="20"/>
          <w:szCs w:val="20"/>
          <w:highlight w:val="yellow"/>
        </w:rPr>
        <w:t xml:space="preserve">[name and email]</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any concern involving the Project, its staff or volunteers, sharing only the information needed and protecting the identity of the people involved.</w:t>
      </w:r>
    </w:p>
    <w:p>
      <w:pPr>
        <w:pStyle w:val="ListParagraph"/>
        <w:numPr>
          <w:ilvl w:val="0"/>
          <w:numId w:val="14"/>
        </w:numPr>
        <w:spacing w:after="80" w:line="290"/>
      </w:pPr>
      <w:r>
        <w:rPr>
          <w:rFonts w:ascii="Nunito Sans" w:cs="Nunito Sans" w:eastAsia="Nunito Sans" w:hAnsi="Nunito Sans"/>
          <w:b/>
          <w:bCs/>
          <w:color w:val="102E3B"/>
          <w:sz w:val="20"/>
          <w:szCs w:val="20"/>
        </w:rPr>
        <w:t xml:space="preserve">Fraud and corruption.</w:t>
      </w:r>
      <w:r>
        <w:rPr>
          <w:rFonts w:ascii="Nunito Sans" w:cs="Nunito Sans" w:eastAsia="Nunito Sans" w:hAnsi="Nunito Sans"/>
          <w:color w:val="102E3B"/>
          <w:sz w:val="20"/>
          <w:szCs w:val="20"/>
        </w:rPr>
        <w:t xml:space="preserve"> The Partner will not tolerate fraud, bribery or corruption. It will report to the Grantor within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 any suspected fraud, theft, bribery or other misuse of the Grant, take immediate steps to protect funds and evidence, and cooperate with any investigation. The Grantor will report to the Head Donor as the Head Grant requires.</w:t>
      </w:r>
    </w:p>
    <w:p>
      <w:pPr>
        <w:pStyle w:val="ListParagraph"/>
        <w:numPr>
          <w:ilvl w:val="0"/>
          <w:numId w:val="14"/>
        </w:numPr>
        <w:spacing w:after="80" w:line="290"/>
      </w:pPr>
      <w:r>
        <w:rPr>
          <w:rFonts w:ascii="Nunito Sans" w:cs="Nunito Sans" w:eastAsia="Nunito Sans" w:hAnsi="Nunito Sans"/>
          <w:b/>
          <w:bCs/>
          <w:color w:val="102E3B"/>
          <w:sz w:val="20"/>
          <w:szCs w:val="20"/>
        </w:rPr>
        <w:t xml:space="preserve">Code of conduct.</w:t>
      </w:r>
      <w:r>
        <w:rPr>
          <w:rFonts w:ascii="Nunito Sans" w:cs="Nunito Sans" w:eastAsia="Nunito Sans" w:hAnsi="Nunito Sans"/>
          <w:color w:val="102E3B"/>
          <w:sz w:val="20"/>
          <w:szCs w:val="20"/>
        </w:rPr>
        <w:t xml:space="preserve"> The Partner's staff and volunteers working on the Project will follow a code of conduct at least as protective as </w:t>
      </w:r>
      <w:r>
        <w:rPr>
          <w:rFonts w:ascii="Nunito Sans" w:cs="Nunito Sans" w:eastAsia="Nunito Sans" w:hAnsi="Nunito Sans"/>
          <w:color w:val="102E3B"/>
          <w:sz w:val="20"/>
          <w:szCs w:val="20"/>
          <w:highlight w:val="yellow"/>
        </w:rPr>
        <w:t xml:space="preserve">[the Grantor's Code of Conduct]</w:t>
      </w:r>
      <w:r>
        <w:rPr>
          <w:rFonts w:ascii="Nunito Sans" w:cs="Nunito Sans" w:eastAsia="Nunito Sans" w:hAnsi="Nunito Sans"/>
          <w:color w:val="102E3B"/>
          <w:sz w:val="20"/>
          <w:szCs w:val="20"/>
        </w:rPr>
        <w:t xml:space="preserve">.</w:t>
      </w:r>
    </w:p>
    <w:p>
      <w:pPr>
        <w:pStyle w:val="ListParagraph"/>
        <w:numPr>
          <w:ilvl w:val="0"/>
          <w:numId w:val="14"/>
        </w:numPr>
        <w:spacing w:after="80" w:line="290"/>
      </w:pPr>
      <w:r>
        <w:rPr>
          <w:rFonts w:ascii="Nunito Sans" w:cs="Nunito Sans" w:eastAsia="Nunito Sans" w:hAnsi="Nunito Sans"/>
          <w:b/>
          <w:bCs/>
          <w:color w:val="102E3B"/>
          <w:sz w:val="20"/>
          <w:szCs w:val="20"/>
        </w:rPr>
        <w:t xml:space="preserve">Sanctions and counter-terrorism financing.</w:t>
      </w:r>
      <w:r>
        <w:rPr>
          <w:rFonts w:ascii="Nunito Sans" w:cs="Nunito Sans" w:eastAsia="Nunito Sans" w:hAnsi="Nunito Sans"/>
          <w:color w:val="102E3B"/>
          <w:sz w:val="20"/>
          <w:szCs w:val="20"/>
        </w:rPr>
        <w:t xml:space="preserve"> The Partner will not make funds or support available, directly or indirectly, to any person or entity on the UN Security Council Consolidated List or </w:t>
      </w:r>
      <w:r>
        <w:rPr>
          <w:rFonts w:ascii="Nunito Sans" w:cs="Nunito Sans" w:eastAsia="Nunito Sans" w:hAnsi="Nunito Sans"/>
          <w:color w:val="102E3B"/>
          <w:sz w:val="20"/>
          <w:szCs w:val="20"/>
          <w:highlight w:val="yellow"/>
        </w:rPr>
        <w:t xml:space="preserve">[the US OFAC, EU, UK or other lists required by the Head Donor]</w:t>
      </w:r>
      <w:r>
        <w:rPr>
          <w:rFonts w:ascii="Nunito Sans" w:cs="Nunito Sans" w:eastAsia="Nunito Sans" w:hAnsi="Nunito Sans"/>
          <w:color w:val="102E3B"/>
          <w:sz w:val="20"/>
          <w:szCs w:val="20"/>
        </w:rPr>
        <w:t xml:space="preserve">. It will screen its board members, senior staff, suppliers above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and any sub-recipients against those lists before contracting, keep a record of each check, and tell the Grantor at once of any match.</w:t>
      </w:r>
    </w:p>
    <w:p>
      <w:pPr>
        <w:pStyle w:val="ListParagraph"/>
        <w:numPr>
          <w:ilvl w:val="0"/>
          <w:numId w:val="14"/>
        </w:numPr>
        <w:spacing w:after="80" w:line="290"/>
      </w:pPr>
      <w:r>
        <w:rPr>
          <w:rFonts w:ascii="Nunito Sans" w:cs="Nunito Sans" w:eastAsia="Nunito Sans" w:hAnsi="Nunito Sans"/>
          <w:b/>
          <w:bCs/>
          <w:color w:val="102E3B"/>
          <w:sz w:val="20"/>
          <w:szCs w:val="20"/>
        </w:rPr>
        <w:t xml:space="preserve">Data protection.</w:t>
      </w:r>
      <w:r>
        <w:rPr>
          <w:rFonts w:ascii="Nunito Sans" w:cs="Nunito Sans" w:eastAsia="Nunito Sans" w:hAnsi="Nunito Sans"/>
          <w:color w:val="102E3B"/>
          <w:sz w:val="20"/>
          <w:szCs w:val="20"/>
        </w:rPr>
        <w:t xml:space="preserve"> The Partner will collect only the personal data the Project needs, keep it secure and comply with the data protection laws that apply, including </w:t>
      </w:r>
      <w:r>
        <w:rPr>
          <w:rFonts w:ascii="Nunito Sans" w:cs="Nunito Sans" w:eastAsia="Nunito Sans" w:hAnsi="Nunito Sans"/>
          <w:color w:val="102E3B"/>
          <w:sz w:val="20"/>
          <w:szCs w:val="20"/>
          <w:highlight w:val="yellow"/>
        </w:rPr>
        <w:t xml:space="preserve">[e.g. the Uganda Data Protection and Privacy Act 2019]</w:t>
      </w:r>
      <w:r>
        <w:rPr>
          <w:rFonts w:ascii="Nunito Sans" w:cs="Nunito Sans" w:eastAsia="Nunito Sans" w:hAnsi="Nunito Sans"/>
          <w:color w:val="102E3B"/>
          <w:sz w:val="20"/>
          <w:szCs w:val="20"/>
        </w:rPr>
        <w:t xml:space="preserve">. It will share personal data about the people it serves with the Grantor only where needed and under a Data Sharing Agreement. Reports will use anonymised data unless agreed otherwise.</w:t>
      </w:r>
    </w:p>
    <w:p>
      <w:pPr>
        <w:pStyle w:val="ListParagraph"/>
        <w:numPr>
          <w:ilvl w:val="0"/>
          <w:numId w:val="14"/>
        </w:numPr>
        <w:spacing w:after="80" w:line="290"/>
      </w:pPr>
      <w:r>
        <w:rPr>
          <w:rFonts w:ascii="Nunito Sans" w:cs="Nunito Sans" w:eastAsia="Nunito Sans" w:hAnsi="Nunito Sans"/>
          <w:b/>
          <w:bCs/>
          <w:color w:val="102E3B"/>
          <w:sz w:val="20"/>
          <w:szCs w:val="20"/>
        </w:rPr>
        <w:t xml:space="preserve">Conflicts of interest and labour.</w:t>
      </w:r>
      <w:r>
        <w:rPr>
          <w:rFonts w:ascii="Nunito Sans" w:cs="Nunito Sans" w:eastAsia="Nunito Sans" w:hAnsi="Nunito Sans"/>
          <w:color w:val="102E3B"/>
          <w:sz w:val="20"/>
          <w:szCs w:val="20"/>
        </w:rPr>
        <w:t xml:space="preserve"> The Partner will declare any conflict of interest connected with the Grant, and will not use forced or child labour.</w:t>
      </w:r>
    </w:p>
    <w:p>
      <w:pPr>
        <w:pStyle w:val="ListParagraph"/>
        <w:numPr>
          <w:ilvl w:val="0"/>
          <w:numId w:val="14"/>
        </w:numPr>
        <w:spacing w:after="80" w:line="290"/>
      </w:pPr>
      <w:r>
        <w:rPr>
          <w:rFonts w:ascii="Nunito Sans" w:cs="Nunito Sans" w:eastAsia="Nunito Sans" w:hAnsi="Nunito Sans"/>
          <w:b/>
          <w:bCs/>
          <w:color w:val="102E3B"/>
          <w:sz w:val="20"/>
          <w:szCs w:val="20"/>
        </w:rPr>
        <w:t xml:space="preserve">Sub-recipients.</w:t>
      </w:r>
      <w:r>
        <w:rPr>
          <w:rFonts w:ascii="Nunito Sans" w:cs="Nunito Sans" w:eastAsia="Nunito Sans" w:hAnsi="Nunito Sans"/>
          <w:color w:val="102E3B"/>
          <w:sz w:val="20"/>
          <w:szCs w:val="20"/>
        </w:rPr>
        <w:t xml:space="preserve"> The Partner will not pass any of the Grant to another organisation without the Grantor's prior written approval. If approved, it will pass on the duties in clauses 5 to 11 and Schedule 3 in writing.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SANCTIONS AND COUNTER-TERRORISM SCREENING</w:t>
            </w:r>
          </w:p>
          <w:p>
            <w:pPr>
              <w:spacing w:after="120" w:before="0" w:line="300"/>
            </w:pPr>
            <w:r>
              <w:rPr>
                <w:rFonts w:ascii="Nunito Sans" w:cs="Nunito Sans" w:eastAsia="Nunito Sans" w:hAnsi="Nunito Sans"/>
                <w:color w:val="102E3B"/>
                <w:sz w:val="19"/>
                <w:szCs w:val="19"/>
              </w:rPr>
              <w:t xml:space="preserve">Screening should be risk-based, as FATF Recommendation 8 on non-profit organisations encourages. Screen the people and organisations who receive funds or decide how they are used. Do not screen the people you serve unless the Head Grant expressly requires it and you have taken advice: it can harm trust and humanitarian principles. Since 2022, UN Security Council Resolution 2664 has created a humanitarian exemption to UN asset freezes for humanitarian assistance, and some national and regional sanctions regimes have followed. Check which lists and exemptions your Head Donor and your country apply, and record your checks as the Partner Due Diligence and Sanctions Screening Policy explains.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Visibility</w:t>
      </w:r>
    </w:p>
    <w:p>
      <w:pPr>
        <w:pStyle w:val="ListParagraph"/>
        <w:numPr>
          <w:ilvl w:val="0"/>
          <w:numId w:val="15"/>
        </w:numPr>
        <w:spacing w:after="80" w:line="290"/>
      </w:pPr>
      <w:r>
        <w:rPr>
          <w:rFonts w:ascii="Nunito Sans" w:cs="Nunito Sans" w:eastAsia="Nunito Sans" w:hAnsi="Nunito Sans"/>
          <w:color w:val="102E3B"/>
          <w:sz w:val="20"/>
          <w:szCs w:val="20"/>
        </w:rPr>
        <w:t xml:space="preserve">The Partner will acknowledge the support of the Grantor </w:t>
      </w:r>
      <w:r>
        <w:rPr>
          <w:rFonts w:ascii="Nunito Sans" w:cs="Nunito Sans" w:eastAsia="Nunito Sans" w:hAnsi="Nunito Sans"/>
          <w:color w:val="102E3B"/>
          <w:sz w:val="20"/>
          <w:szCs w:val="20"/>
          <w:highlight w:val="yellow"/>
        </w:rPr>
        <w:t xml:space="preserve">[and the Head Donor]</w:t>
      </w:r>
      <w:r>
        <w:rPr>
          <w:rFonts w:ascii="Nunito Sans" w:cs="Nunito Sans" w:eastAsia="Nunito Sans" w:hAnsi="Nunito Sans"/>
          <w:color w:val="102E3B"/>
          <w:sz w:val="20"/>
          <w:szCs w:val="20"/>
        </w:rPr>
        <w:t xml:space="preserve"> in Project materials, events and publications, as set out in Schedule 3.</w:t>
      </w:r>
    </w:p>
    <w:p>
      <w:pPr>
        <w:pStyle w:val="ListParagraph"/>
        <w:numPr>
          <w:ilvl w:val="0"/>
          <w:numId w:val="15"/>
        </w:numPr>
        <w:spacing w:after="80" w:line="290"/>
      </w:pPr>
      <w:r>
        <w:rPr>
          <w:rFonts w:ascii="Nunito Sans" w:cs="Nunito Sans" w:eastAsia="Nunito Sans" w:hAnsi="Nunito Sans"/>
          <w:color w:val="102E3B"/>
          <w:sz w:val="20"/>
          <w:szCs w:val="20"/>
        </w:rPr>
        <w:t xml:space="preserve">The Partner may decide not to display logos where visibility could put staff, partners or communities at risk. It will tell the Grantor of this decision.</w:t>
      </w:r>
    </w:p>
    <w:p>
      <w:pPr>
        <w:pStyle w:val="ListParagraph"/>
        <w:numPr>
          <w:ilvl w:val="0"/>
          <w:numId w:val="15"/>
        </w:numPr>
        <w:spacing w:after="80" w:line="290"/>
      </w:pPr>
      <w:r>
        <w:rPr>
          <w:rFonts w:ascii="Nunito Sans" w:cs="Nunito Sans" w:eastAsia="Nunito Sans" w:hAnsi="Nunito Sans"/>
          <w:color w:val="102E3B"/>
          <w:sz w:val="20"/>
          <w:szCs w:val="20"/>
        </w:rPr>
        <w:t xml:space="preserve">Neither party will use the other's name or logo except as this clause allows or with written approval.</w:t>
      </w:r>
    </w:p>
    <w:p>
      <w:pPr>
        <w:pStyle w:val="Heading2"/>
        <w:keepNext/>
        <w:spacing w:after="120" w:before="280"/>
      </w:pPr>
      <w:r>
        <w:rPr>
          <w:rFonts w:ascii="DM Serif Display" w:cs="DM Serif Display" w:eastAsia="DM Serif Display" w:hAnsi="DM Serif Display"/>
          <w:color w:val="123C48"/>
          <w:sz w:val="28"/>
          <w:szCs w:val="28"/>
        </w:rPr>
        <w:t xml:space="preserve">13. Intellectual property</w:t>
      </w:r>
    </w:p>
    <w:p>
      <w:pPr>
        <w:pStyle w:val="ListParagraph"/>
        <w:numPr>
          <w:ilvl w:val="0"/>
          <w:numId w:val="16"/>
        </w:numPr>
        <w:spacing w:after="80" w:line="290"/>
      </w:pPr>
      <w:r>
        <w:rPr>
          <w:rFonts w:ascii="Nunito Sans" w:cs="Nunito Sans" w:eastAsia="Nunito Sans" w:hAnsi="Nunito Sans"/>
          <w:color w:val="102E3B"/>
          <w:sz w:val="20"/>
          <w:szCs w:val="20"/>
        </w:rPr>
        <w:t xml:space="preserve">The Partner owns the materials it creates for the Project. It grants the Grantor </w:t>
      </w:r>
      <w:r>
        <w:rPr>
          <w:rFonts w:ascii="Nunito Sans" w:cs="Nunito Sans" w:eastAsia="Nunito Sans" w:hAnsi="Nunito Sans"/>
          <w:color w:val="102E3B"/>
          <w:sz w:val="20"/>
          <w:szCs w:val="20"/>
          <w:highlight w:val="yellow"/>
        </w:rPr>
        <w:t xml:space="preserve">[and the Head Donor]</w:t>
      </w:r>
      <w:r>
        <w:rPr>
          <w:rFonts w:ascii="Nunito Sans" w:cs="Nunito Sans" w:eastAsia="Nunito Sans" w:hAnsi="Nunito Sans"/>
          <w:color w:val="102E3B"/>
          <w:sz w:val="20"/>
          <w:szCs w:val="20"/>
        </w:rPr>
        <w:t xml:space="preserve"> a free, non-exclusive, permanent licence to use, copy, adapt and share them for non-commercial purposes, crediting the Partner.</w:t>
      </w:r>
    </w:p>
    <w:p>
      <w:pPr>
        <w:pStyle w:val="ListParagraph"/>
        <w:numPr>
          <w:ilvl w:val="0"/>
          <w:numId w:val="16"/>
        </w:numPr>
        <w:spacing w:after="80" w:line="290"/>
      </w:pPr>
      <w:r>
        <w:rPr>
          <w:rFonts w:ascii="Nunito Sans" w:cs="Nunito Sans" w:eastAsia="Nunito Sans" w:hAnsi="Nunito Sans"/>
          <w:color w:val="102E3B"/>
          <w:sz w:val="20"/>
          <w:szCs w:val="20"/>
        </w:rPr>
        <w:t xml:space="preserve">Images, stories and data about people may be used only within the consent they gave.</w:t>
      </w:r>
    </w:p>
    <w:p>
      <w:pPr>
        <w:pStyle w:val="Heading2"/>
        <w:keepNext/>
        <w:spacing w:after="120" w:before="280"/>
      </w:pPr>
      <w:r>
        <w:rPr>
          <w:rFonts w:ascii="DM Serif Display" w:cs="DM Serif Display" w:eastAsia="DM Serif Display" w:hAnsi="DM Serif Display"/>
          <w:color w:val="123C48"/>
          <w:sz w:val="28"/>
          <w:szCs w:val="28"/>
        </w:rPr>
        <w:t xml:space="preserve">14. Capacity support</w:t>
      </w:r>
    </w:p>
    <w:p>
      <w:pPr>
        <w:pStyle w:val="ListParagraph"/>
        <w:numPr>
          <w:ilvl w:val="0"/>
          <w:numId w:val="17"/>
        </w:numPr>
        <w:spacing w:after="80" w:line="290"/>
      </w:pPr>
      <w:r>
        <w:rPr>
          <w:rFonts w:ascii="Nunito Sans" w:cs="Nunito Sans" w:eastAsia="Nunito Sans" w:hAnsi="Nunito Sans"/>
          <w:color w:val="102E3B"/>
          <w:sz w:val="20"/>
          <w:szCs w:val="20"/>
        </w:rPr>
        <w:t xml:space="preserve">The Grantor will provide the support described in Schedule 1, such as </w:t>
      </w:r>
      <w:r>
        <w:rPr>
          <w:rFonts w:ascii="Nunito Sans" w:cs="Nunito Sans" w:eastAsia="Nunito Sans" w:hAnsi="Nunito Sans"/>
          <w:color w:val="102E3B"/>
          <w:sz w:val="20"/>
          <w:szCs w:val="20"/>
          <w:highlight w:val="yellow"/>
        </w:rPr>
        <w:t xml:space="preserve">[training, mentoring on financial management, or support to develop a safeguarding policy]</w:t>
      </w:r>
      <w:r>
        <w:rPr>
          <w:rFonts w:ascii="Nunito Sans" w:cs="Nunito Sans" w:eastAsia="Nunito Sans" w:hAnsi="Nunito Sans"/>
          <w:color w:val="102E3B"/>
          <w:sz w:val="20"/>
          <w:szCs w:val="20"/>
        </w:rPr>
        <w:t xml:space="preserve">, at no cost to the Partner.</w:t>
      </w:r>
    </w:p>
    <w:p>
      <w:pPr>
        <w:pStyle w:val="ListParagraph"/>
        <w:numPr>
          <w:ilvl w:val="0"/>
          <w:numId w:val="17"/>
        </w:numPr>
        <w:spacing w:after="80" w:line="290"/>
      </w:pPr>
      <w:r>
        <w:rPr>
          <w:rFonts w:ascii="Nunito Sans" w:cs="Nunito Sans" w:eastAsia="Nunito Sans" w:hAnsi="Nunito Sans"/>
          <w:color w:val="102E3B"/>
          <w:sz w:val="20"/>
          <w:szCs w:val="20"/>
        </w:rPr>
        <w:t xml:space="preserve">Where due diligence or monitoring identifies a gap, the parties will agree a realistic improvement plan with dates and resources. The Grantor will not suspend or end the Grant for a gap the Partner is actively addressing under that plan, unless people or funds are at serious risk.</w:t>
      </w:r>
    </w:p>
    <w:p>
      <w:pPr>
        <w:pStyle w:val="Heading2"/>
        <w:keepNext/>
        <w:spacing w:after="120" w:before="280"/>
      </w:pPr>
      <w:r>
        <w:rPr>
          <w:rFonts w:ascii="DM Serif Display" w:cs="DM Serif Display" w:eastAsia="DM Serif Display" w:hAnsi="DM Serif Display"/>
          <w:color w:val="123C48"/>
          <w:sz w:val="28"/>
          <w:szCs w:val="28"/>
        </w:rPr>
        <w:t xml:space="preserve">15. Unspent funds and refunds</w:t>
      </w:r>
    </w:p>
    <w:p>
      <w:pPr>
        <w:pStyle w:val="ListParagraph"/>
        <w:numPr>
          <w:ilvl w:val="0"/>
          <w:numId w:val="18"/>
        </w:numPr>
        <w:spacing w:after="80" w:line="290"/>
      </w:pPr>
      <w:r>
        <w:rPr>
          <w:rFonts w:ascii="Nunito Sans" w:cs="Nunito Sans" w:eastAsia="Nunito Sans" w:hAnsi="Nunito Sans"/>
          <w:color w:val="102E3B"/>
          <w:sz w:val="20"/>
          <w:szCs w:val="20"/>
        </w:rPr>
        <w:t xml:space="preserve">Within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of the Grantor's approval of the final financial report, the Partner will return any part of the Grant that it has not spent on Eligible Costs, unless the Grantor agrees in writing that it may be used for an agreed purpose.</w:t>
      </w:r>
    </w:p>
    <w:p>
      <w:pPr>
        <w:pStyle w:val="ListParagraph"/>
        <w:numPr>
          <w:ilvl w:val="0"/>
          <w:numId w:val="18"/>
        </w:numPr>
        <w:spacing w:after="80" w:line="290"/>
      </w:pPr>
      <w:r>
        <w:rPr>
          <w:rFonts w:ascii="Nunito Sans" w:cs="Nunito Sans" w:eastAsia="Nunito Sans" w:hAnsi="Nunito Sans"/>
          <w:color w:val="102E3B"/>
          <w:sz w:val="20"/>
          <w:szCs w:val="20"/>
        </w:rPr>
        <w:t xml:space="preserve">The Partner will refund any amount the Grantor shows is not an Eligible Cost, within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of a written request with reasons. The Partner may first respond and provide evidence within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Business Days.</w:t>
      </w:r>
    </w:p>
    <w:p>
      <w:pPr>
        <w:pStyle w:val="ListParagraph"/>
        <w:numPr>
          <w:ilvl w:val="0"/>
          <w:numId w:val="18"/>
        </w:numPr>
        <w:spacing w:after="80" w:line="290"/>
      </w:pPr>
      <w:r>
        <w:rPr>
          <w:rFonts w:ascii="Nunito Sans" w:cs="Nunito Sans" w:eastAsia="Nunito Sans" w:hAnsi="Nunito Sans"/>
          <w:color w:val="102E3B"/>
          <w:sz w:val="20"/>
          <w:szCs w:val="20"/>
        </w:rPr>
        <w:t xml:space="preserve">The Grantor may deduct amounts due under this clause from later tranches, after telling the Partner in writing.</w:t>
      </w:r>
    </w:p>
    <w:p>
      <w:pPr>
        <w:pStyle w:val="ListParagraph"/>
        <w:numPr>
          <w:ilvl w:val="0"/>
          <w:numId w:val="18"/>
        </w:numPr>
        <w:spacing w:after="80" w:line="290"/>
      </w:pPr>
      <w:r>
        <w:rPr>
          <w:rFonts w:ascii="Nunito Sans" w:cs="Nunito Sans" w:eastAsia="Nunito Sans" w:hAnsi="Nunito Sans"/>
          <w:color w:val="102E3B"/>
          <w:sz w:val="20"/>
          <w:szCs w:val="20"/>
        </w:rPr>
        <w:t xml:space="preserve">The Grantor will not ask the Partner to refund a cost that it approved in writing in advance and that the Partner incurred as approved, even if the Head Donor later disallows it, unless the Partner gave false or incomplete information. Where a loss is caused by theft or fraud despite the Partner following this agreement, the parties will agree in good faith how to share it, considering what the Head Donor allows.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FAIR REFUND RULES</w:t>
            </w:r>
          </w:p>
          <w:p>
            <w:pPr>
              <w:spacing w:after="120" w:before="0" w:line="300"/>
            </w:pPr>
            <w:r>
              <w:rPr>
                <w:rFonts w:ascii="Nunito Sans" w:cs="Nunito Sans" w:eastAsia="Nunito Sans" w:hAnsi="Nunito Sans"/>
                <w:color w:val="102E3B"/>
                <w:sz w:val="19"/>
                <w:szCs w:val="19"/>
              </w:rPr>
              <w:t xml:space="preserve">Refunds are where risk is most often shifted unfairly to small partners. Clause 15.4 keeps the risk of the Head Donor changing its mind with the Grantor, which chose the donor and approved the cost. Check that your Head Grant permits this, and that you can cover such a loss from unrestricted funds. Losses from fraud by a partner's staff are a common donor concern: agree in advance how they will be handled, and record the steps taken to prevent them.</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16. Suspension and termination</w:t>
      </w:r>
    </w:p>
    <w:p>
      <w:pPr>
        <w:pStyle w:val="ListParagraph"/>
        <w:numPr>
          <w:ilvl w:val="0"/>
          <w:numId w:val="19"/>
        </w:numPr>
        <w:spacing w:after="80" w:line="290"/>
      </w:pPr>
      <w:r>
        <w:rPr>
          <w:rFonts w:ascii="Nunito Sans" w:cs="Nunito Sans" w:eastAsia="Nunito Sans" w:hAnsi="Nunito Sans"/>
          <w:color w:val="102E3B"/>
          <w:sz w:val="20"/>
          <w:szCs w:val="20"/>
        </w:rPr>
        <w:t xml:space="preserve">The Grantor may suspend payments, or ask the Partner to suspend some activities, by written notice with reasons, if:</w:t>
      </w:r>
    </w:p>
    <w:p>
      <w:pPr>
        <w:pStyle w:val="ListParagraph"/>
        <w:numPr>
          <w:ilvl w:val="1"/>
          <w:numId w:val="19"/>
        </w:numPr>
        <w:spacing w:after="80" w:line="290"/>
      </w:pPr>
      <w:r>
        <w:rPr>
          <w:rFonts w:ascii="Nunito Sans" w:cs="Nunito Sans" w:eastAsia="Nunito Sans" w:hAnsi="Nunito Sans"/>
          <w:color w:val="102E3B"/>
          <w:sz w:val="20"/>
          <w:szCs w:val="20"/>
        </w:rPr>
        <w:t xml:space="preserve">it has a reasonable suspicion of fraud, corruption or a serious safeguarding failure;</w:t>
      </w:r>
    </w:p>
    <w:p>
      <w:pPr>
        <w:pStyle w:val="ListParagraph"/>
        <w:numPr>
          <w:ilvl w:val="1"/>
          <w:numId w:val="19"/>
        </w:numPr>
        <w:spacing w:after="80" w:line="290"/>
      </w:pPr>
      <w:r>
        <w:rPr>
          <w:rFonts w:ascii="Nunito Sans" w:cs="Nunito Sans" w:eastAsia="Nunito Sans" w:hAnsi="Nunito Sans"/>
          <w:color w:val="102E3B"/>
          <w:sz w:val="20"/>
          <w:szCs w:val="20"/>
        </w:rPr>
        <w:t xml:space="preserve">a required report is more than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late, after a written reminder; or</w:t>
      </w:r>
    </w:p>
    <w:p>
      <w:pPr>
        <w:pStyle w:val="ListParagraph"/>
        <w:numPr>
          <w:ilvl w:val="1"/>
          <w:numId w:val="19"/>
        </w:numPr>
        <w:spacing w:after="80" w:line="290"/>
      </w:pPr>
      <w:r>
        <w:rPr>
          <w:rFonts w:ascii="Nunito Sans" w:cs="Nunito Sans" w:eastAsia="Nunito Sans" w:hAnsi="Nunito Sans"/>
          <w:color w:val="102E3B"/>
          <w:sz w:val="20"/>
          <w:szCs w:val="20"/>
        </w:rPr>
        <w:t xml:space="preserve">the Head Donor suspends the Head Grant.</w:t>
      </w:r>
    </w:p>
    <w:p>
      <w:pPr>
        <w:pStyle w:val="ListParagraph"/>
        <w:numPr>
          <w:ilvl w:val="0"/>
          <w:numId w:val="19"/>
        </w:numPr>
        <w:spacing w:after="80" w:line="290"/>
      </w:pPr>
      <w:r>
        <w:rPr>
          <w:rFonts w:ascii="Nunito Sans" w:cs="Nunito Sans" w:eastAsia="Nunito Sans" w:hAnsi="Nunito Sans"/>
          <w:color w:val="102E3B"/>
          <w:sz w:val="20"/>
          <w:szCs w:val="20"/>
        </w:rPr>
        <w:t xml:space="preserve">Either party may end this agreement by written notice if the other commits a material breach and does not remedy it within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of written notice describing the breach. The Grantor may end it at once if fraud, corruption or serious misconduct is confirmed, or under clause 3.4.</w:t>
      </w:r>
    </w:p>
    <w:p>
      <w:pPr>
        <w:pStyle w:val="ListParagraph"/>
        <w:numPr>
          <w:ilvl w:val="0"/>
          <w:numId w:val="19"/>
        </w:numPr>
        <w:spacing w:after="80" w:line="290"/>
      </w:pPr>
      <w:r>
        <w:rPr>
          <w:rFonts w:ascii="Nunito Sans" w:cs="Nunito Sans" w:eastAsia="Nunito Sans" w:hAnsi="Nunito Sans"/>
          <w:color w:val="102E3B"/>
          <w:sz w:val="20"/>
          <w:szCs w:val="20"/>
        </w:rPr>
        <w:t xml:space="preserve">The Partner may end this agreement by giving </w:t>
      </w:r>
      <w:r>
        <w:rPr>
          <w:rFonts w:ascii="Nunito Sans" w:cs="Nunito Sans" w:eastAsia="Nunito Sans" w:hAnsi="Nunito Sans"/>
          <w:color w:val="102E3B"/>
          <w:sz w:val="20"/>
          <w:szCs w:val="20"/>
          <w:highlight w:val="yellow"/>
        </w:rPr>
        <w:t xml:space="preserve">[60]</w:t>
      </w:r>
      <w:r>
        <w:rPr>
          <w:rFonts w:ascii="Nunito Sans" w:cs="Nunito Sans" w:eastAsia="Nunito Sans" w:hAnsi="Nunito Sans"/>
          <w:color w:val="102E3B"/>
          <w:sz w:val="20"/>
          <w:szCs w:val="20"/>
        </w:rPr>
        <w:t xml:space="preserve"> days' written notice.</w:t>
      </w:r>
    </w:p>
    <w:p>
      <w:pPr>
        <w:pStyle w:val="ListParagraph"/>
        <w:numPr>
          <w:ilvl w:val="0"/>
          <w:numId w:val="19"/>
        </w:numPr>
        <w:spacing w:after="80" w:line="290"/>
      </w:pPr>
      <w:r>
        <w:rPr>
          <w:rFonts w:ascii="Nunito Sans" w:cs="Nunito Sans" w:eastAsia="Nunito Sans" w:hAnsi="Nunito Sans"/>
          <w:color w:val="102E3B"/>
          <w:sz w:val="20"/>
          <w:szCs w:val="20"/>
        </w:rPr>
        <w:t xml:space="preserve">Either party may end this agreement if events beyond either party's control, such as conflict or natural disaster, prevent the Project for more than </w:t>
      </w:r>
      <w:r>
        <w:rPr>
          <w:rFonts w:ascii="Nunito Sans" w:cs="Nunito Sans" w:eastAsia="Nunito Sans" w:hAnsi="Nunito Sans"/>
          <w:color w:val="102E3B"/>
          <w:sz w:val="20"/>
          <w:szCs w:val="20"/>
          <w:highlight w:val="yellow"/>
        </w:rPr>
        <w:t xml:space="preserve">[60]</w:t>
      </w:r>
      <w:r>
        <w:rPr>
          <w:rFonts w:ascii="Nunito Sans" w:cs="Nunito Sans" w:eastAsia="Nunito Sans" w:hAnsi="Nunito Sans"/>
          <w:color w:val="102E3B"/>
          <w:sz w:val="20"/>
          <w:szCs w:val="20"/>
        </w:rPr>
        <w:t xml:space="preserve"> days.</w:t>
      </w:r>
    </w:p>
    <w:p>
      <w:pPr>
        <w:pStyle w:val="ListParagraph"/>
        <w:numPr>
          <w:ilvl w:val="0"/>
          <w:numId w:val="19"/>
        </w:numPr>
        <w:spacing w:after="80" w:line="290"/>
      </w:pPr>
      <w:r>
        <w:rPr>
          <w:rFonts w:ascii="Nunito Sans" w:cs="Nunito Sans" w:eastAsia="Nunito Sans" w:hAnsi="Nunito Sans"/>
          <w:color w:val="102E3B"/>
          <w:sz w:val="20"/>
          <w:szCs w:val="20"/>
        </w:rPr>
        <w:t xml:space="preserve">When this agreement ends, the Partner will stop making new commitments, send final reports within </w:t>
      </w:r>
      <w:r>
        <w:rPr>
          <w:rFonts w:ascii="Nunito Sans" w:cs="Nunito Sans" w:eastAsia="Nunito Sans" w:hAnsi="Nunito Sans"/>
          <w:color w:val="102E3B"/>
          <w:sz w:val="20"/>
          <w:szCs w:val="20"/>
          <w:highlight w:val="yellow"/>
        </w:rPr>
        <w:t xml:space="preserve">[45]</w:t>
      </w:r>
      <w:r>
        <w:rPr>
          <w:rFonts w:ascii="Nunito Sans" w:cs="Nunito Sans" w:eastAsia="Nunito Sans" w:hAnsi="Nunito Sans"/>
          <w:color w:val="102E3B"/>
          <w:sz w:val="20"/>
          <w:szCs w:val="20"/>
        </w:rPr>
        <w:t xml:space="preserve"> days and return unspent funds under clause 15. The Grantor will pay Eligible Costs properly incurred or committed before the notice, including the reasonable costs of closing the Project, such as staff notice periods required by law, as far as the Head Donor allows.</w:t>
      </w:r>
    </w:p>
    <w:p>
      <w:pPr>
        <w:pStyle w:val="ListParagraph"/>
        <w:numPr>
          <w:ilvl w:val="0"/>
          <w:numId w:val="19"/>
        </w:numPr>
        <w:spacing w:after="80" w:line="290"/>
      </w:pPr>
      <w:r>
        <w:rPr>
          <w:rFonts w:ascii="Nunito Sans" w:cs="Nunito Sans" w:eastAsia="Nunito Sans" w:hAnsi="Nunito Sans"/>
          <w:color w:val="102E3B"/>
          <w:sz w:val="20"/>
          <w:szCs w:val="20"/>
        </w:rPr>
        <w:t xml:space="preserve">Both parties will agree an exit plan to tell communities what will happen and, where possible, hand over or responsibly close activities.</w:t>
      </w:r>
    </w:p>
    <w:p>
      <w:pPr>
        <w:pStyle w:val="ListParagraph"/>
        <w:numPr>
          <w:ilvl w:val="0"/>
          <w:numId w:val="19"/>
        </w:numPr>
        <w:spacing w:after="80" w:line="290"/>
      </w:pPr>
      <w:r>
        <w:rPr>
          <w:rFonts w:ascii="Nunito Sans" w:cs="Nunito Sans" w:eastAsia="Nunito Sans" w:hAnsi="Nunito Sans"/>
          <w:color w:val="102E3B"/>
          <w:sz w:val="20"/>
          <w:szCs w:val="20"/>
        </w:rPr>
        <w:t xml:space="preserve">Clauses 10, 11, 13, 15, 16.5, 16.6 and 17 continue after this agreement ends.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ENDING FAIRLY</w:t>
            </w:r>
          </w:p>
          <w:p>
            <w:pPr>
              <w:spacing w:after="120" w:before="0" w:line="300"/>
            </w:pPr>
            <w:r>
              <w:rPr>
                <w:rFonts w:ascii="Nunito Sans" w:cs="Nunito Sans" w:eastAsia="Nunito Sans" w:hAnsi="Nunito Sans"/>
                <w:color w:val="102E3B"/>
                <w:sz w:val="19"/>
                <w:szCs w:val="19"/>
              </w:rPr>
              <w:t xml:space="preserve">Suspension is a protective step, not a finding of wrongdoing: say so in any notice, and keep it as short as possible. Closing costs such as staff severance may be required by local employment law: check what the Head Donor allows and budget for it. Some countries require specific procedures to end staff contracts. Check the Partner's local law.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17. Liability, disputes and general terms</w:t>
      </w:r>
    </w:p>
    <w:p>
      <w:pPr>
        <w:pStyle w:val="ListParagraph"/>
        <w:numPr>
          <w:ilvl w:val="0"/>
          <w:numId w:val="20"/>
        </w:numPr>
        <w:spacing w:after="80" w:line="290"/>
      </w:pPr>
      <w:r>
        <w:rPr>
          <w:rFonts w:ascii="Nunito Sans" w:cs="Nunito Sans" w:eastAsia="Nunito Sans" w:hAnsi="Nunito Sans"/>
          <w:color w:val="102E3B"/>
          <w:sz w:val="20"/>
          <w:szCs w:val="20"/>
        </w:rPr>
        <w:t xml:space="preserve">The Partner is responsible for its staff, volunteers, activities and compliance with the law. Neither party is liable to the other for indirect or consequential loss.</w:t>
      </w:r>
    </w:p>
    <w:p>
      <w:pPr>
        <w:pStyle w:val="ListParagraph"/>
        <w:numPr>
          <w:ilvl w:val="0"/>
          <w:numId w:val="20"/>
        </w:numPr>
        <w:spacing w:after="80" w:line="290"/>
      </w:pPr>
      <w:r>
        <w:rPr>
          <w:rFonts w:ascii="Nunito Sans" w:cs="Nunito Sans" w:eastAsia="Nunito Sans" w:hAnsi="Nunito Sans"/>
          <w:color w:val="102E3B"/>
          <w:sz w:val="20"/>
          <w:szCs w:val="20"/>
        </w:rPr>
        <w:t xml:space="preserve">The parties will try to settle any dispute through their grant and project managers 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and then between </w:t>
      </w:r>
      <w:r>
        <w:rPr>
          <w:rFonts w:ascii="Nunito Sans" w:cs="Nunito Sans" w:eastAsia="Nunito Sans" w:hAnsi="Nunito Sans"/>
          <w:color w:val="102E3B"/>
          <w:sz w:val="20"/>
          <w:szCs w:val="20"/>
          <w:highlight w:val="yellow"/>
        </w:rPr>
        <w:t xml:space="preserve">[the heads of the two organisations]</w:t>
      </w:r>
      <w:r>
        <w:rPr>
          <w:rFonts w:ascii="Nunito Sans" w:cs="Nunito Sans" w:eastAsia="Nunito Sans" w:hAnsi="Nunito Sans"/>
          <w:color w:val="102E3B"/>
          <w:sz w:val="20"/>
          <w:szCs w:val="20"/>
        </w:rPr>
        <w:t xml:space="preserve"> within a further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Business Days. If that fails, they will consider mediation through </w:t>
      </w:r>
      <w:r>
        <w:rPr>
          <w:rFonts w:ascii="Nunito Sans" w:cs="Nunito Sans" w:eastAsia="Nunito Sans" w:hAnsi="Nunito Sans"/>
          <w:color w:val="102E3B"/>
          <w:sz w:val="20"/>
          <w:szCs w:val="20"/>
          <w:highlight w:val="yellow"/>
        </w:rPr>
        <w:t xml:space="preserve">[mediator or centre]</w:t>
      </w:r>
      <w:r>
        <w:rPr>
          <w:rFonts w:ascii="Nunito Sans" w:cs="Nunito Sans" w:eastAsia="Nunito Sans" w:hAnsi="Nunito Sans"/>
          <w:color w:val="102E3B"/>
          <w:sz w:val="20"/>
          <w:szCs w:val="20"/>
        </w:rPr>
        <w:t xml:space="preserve"> before going to </w:t>
      </w:r>
      <w:r>
        <w:rPr>
          <w:rFonts w:ascii="Nunito Sans" w:cs="Nunito Sans" w:eastAsia="Nunito Sans" w:hAnsi="Nunito Sans"/>
          <w:color w:val="102E3B"/>
          <w:sz w:val="20"/>
          <w:szCs w:val="20"/>
          <w:highlight w:val="yellow"/>
        </w:rPr>
        <w:t xml:space="preserve">[the courts of country / arbitration under rules of institution]</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This agreement is governed by the law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Notices must be in writing and sent by email to the contacts in the Parties table. Notices of suspension or termination must also be sent by </w:t>
      </w:r>
      <w:r>
        <w:rPr>
          <w:rFonts w:ascii="Nunito Sans" w:cs="Nunito Sans" w:eastAsia="Nunito Sans" w:hAnsi="Nunito Sans"/>
          <w:color w:val="102E3B"/>
          <w:sz w:val="20"/>
          <w:szCs w:val="20"/>
          <w:highlight w:val="yellow"/>
        </w:rPr>
        <w:t xml:space="preserve">[courier / hand]</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This agreement is the whole agreement about the Grant. Changes are valid only in writing signed by both parties, except budget changes under clause 8.1. Neither party may transfer it without the other's consent. If any part is invalid, the rest continues.</w:t>
      </w:r>
    </w:p>
    <w:p>
      <w:pPr>
        <w:pStyle w:val="ListParagraph"/>
        <w:numPr>
          <w:ilvl w:val="0"/>
          <w:numId w:val="20"/>
        </w:numPr>
        <w:spacing w:after="80" w:line="290"/>
      </w:pPr>
      <w:r>
        <w:rPr>
          <w:rFonts w:ascii="Nunito Sans" w:cs="Nunito Sans" w:eastAsia="Nunito Sans" w:hAnsi="Nunito Sans"/>
          <w:color w:val="102E3B"/>
          <w:sz w:val="20"/>
          <w:szCs w:val="20"/>
        </w:rPr>
        <w:t xml:space="preserve">This agreement may be signed in counterparts and electronically. If it is translated, the </w:t>
      </w:r>
      <w:r>
        <w:rPr>
          <w:rFonts w:ascii="Nunito Sans" w:cs="Nunito Sans" w:eastAsia="Nunito Sans" w:hAnsi="Nunito Sans"/>
          <w:color w:val="102E3B"/>
          <w:sz w:val="20"/>
          <w:szCs w:val="20"/>
          <w:highlight w:val="yellow"/>
        </w:rPr>
        <w:t xml:space="preserve">[English]</w:t>
      </w:r>
      <w:r>
        <w:rPr>
          <w:rFonts w:ascii="Nunito Sans" w:cs="Nunito Sans" w:eastAsia="Nunito Sans" w:hAnsi="Nunito Sans"/>
          <w:color w:val="102E3B"/>
          <w:sz w:val="20"/>
          <w:szCs w:val="20"/>
        </w:rPr>
        <w:t xml:space="preserve"> version prevails.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Schedule 1: Project summary and Approved Budget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Project title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[Title]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Location</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[Districts, villages or regions]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Aim and expected results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400 young people complete vocational training; 60% in work or self-employed within 6 months]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served</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[Who, how many, how selected]</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Main activities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[List, or attach the Partner's project proposal]</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Capacity support from the Grantor</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two finance mentoring sessions; support to update the safeguarding policy]</w:t>
            </w:r>
          </w:p>
        </w:tc>
      </w:tr>
    </w:tbl>
    <w:p>
      <w:pPr>
        <w:spacing w:after="120"/>
      </w:pPr>
    </w:p>
    <w:p>
      <w:pPr>
        <w:spacing w:after="120" w:before="0" w:line="300"/>
      </w:pPr>
      <w:r>
        <w:rPr>
          <w:rFonts w:ascii="Nunito Sans" w:cs="Nunito Sans" w:eastAsia="Nunito Sans" w:hAnsi="Nunito Sans"/>
          <w:color w:val="102E3B"/>
          <w:sz w:val="20"/>
          <w:szCs w:val="20"/>
        </w:rPr>
        <w:t xml:space="preserve">Budget summary (attach the detailed budget):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1904"/>
        <w:gridCol w:w="1904"/>
        <w:gridCol w:w="1907"/>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BUDGET LINE</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YEAR 1</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YEAR 2</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TOTAL</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 Staff</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 Activities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Equipment and supplies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 Monitoring, audit and learning</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 Indirect costs (</w:t>
            </w:r>
            <w:r>
              <w:rPr>
                <w:rFonts w:ascii="Nunito Sans" w:cs="Nunito Sans" w:eastAsia="Nunito Sans" w:hAnsi="Nunito Sans"/>
                <w:color w:val="102E3B"/>
                <w:sz w:val="18"/>
                <w:szCs w:val="18"/>
                <w:highlight w:val="yellow"/>
              </w:rPr>
              <w:t xml:space="preserve">[X]</w:t>
            </w:r>
            <w:r>
              <w:rPr>
                <w:rFonts w:ascii="Nunito Sans" w:cs="Nunito Sans" w:eastAsia="Nunito Sans" w:hAnsi="Nunito Sans"/>
                <w:color w:val="102E3B"/>
                <w:sz w:val="18"/>
                <w:szCs w:val="18"/>
              </w:rPr>
              <w:t xml:space="preserv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Total Grant</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Schedule 2: Payments and reporting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857"/>
        <w:gridCol w:w="2381"/>
        <w:gridCol w:w="2382"/>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TRANCHE</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AMOUNT</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CONDITION</w:t>
            </w:r>
          </w:p>
        </w:tc>
        <w:tc>
          <w:tcPr>
            <w:tcW w:type="dxa" w:w="238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EXPECTED DATE</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 (e.g. 40%)]</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Signature and bank details</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 (e.g. 30%)]</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Approval of reports for period 1; </w:t>
            </w:r>
            <w:r>
              <w:rPr>
                <w:rFonts w:ascii="Nunito Sans" w:cs="Nunito Sans" w:eastAsia="Nunito Sans" w:hAnsi="Nunito Sans"/>
                <w:color w:val="102E3B"/>
                <w:sz w:val="18"/>
                <w:szCs w:val="18"/>
                <w:highlight w:val="yellow"/>
              </w:rPr>
              <w:t xml:space="preserve">[70]</w:t>
            </w:r>
            <w:r>
              <w:rPr>
                <w:rFonts w:ascii="Nunito Sans" w:cs="Nunito Sans" w:eastAsia="Nunito Sans" w:hAnsi="Nunito Sans"/>
                <w:color w:val="102E3B"/>
                <w:sz w:val="18"/>
                <w:szCs w:val="18"/>
              </w:rPr>
              <w:t xml:space="preserve">% spent or committed</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 (e.g. 30%)]</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Approval of reports for period 2</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2381"/>
        <w:gridCol w:w="428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REPORT</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DUE</w:t>
            </w:r>
          </w:p>
        </w:tc>
        <w:tc>
          <w:tcPr>
            <w:tcW w:type="dxa" w:w="428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CONTENT</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Narrative and financial report</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[15]</w:t>
            </w:r>
            <w:r>
              <w:rPr>
                <w:rFonts w:ascii="Nunito Sans" w:cs="Nunito Sans" w:eastAsia="Nunito Sans" w:hAnsi="Nunito Sans"/>
                <w:color w:val="102E3B"/>
                <w:sz w:val="18"/>
                <w:szCs w:val="18"/>
              </w:rPr>
              <w:t xml:space="preserve"> days after each </w:t>
            </w:r>
            <w:r>
              <w:rPr>
                <w:rFonts w:ascii="Nunito Sans" w:cs="Nunito Sans" w:eastAsia="Nunito Sans" w:hAnsi="Nunito Sans"/>
                <w:color w:val="102E3B"/>
                <w:sz w:val="18"/>
                <w:szCs w:val="18"/>
                <w:highlight w:val="yellow"/>
              </w:rPr>
              <w:t xml:space="preserve">[quarter / six months]</w:t>
            </w:r>
          </w:p>
        </w:tc>
        <w:tc>
          <w:tcPr>
            <w:tcW w:type="dxa" w:w="4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Progress, spending by line, variances, risks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Final narrative and financial report</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[45]</w:t>
            </w:r>
            <w:r>
              <w:rPr>
                <w:rFonts w:ascii="Nunito Sans" w:cs="Nunito Sans" w:eastAsia="Nunito Sans" w:hAnsi="Nunito Sans"/>
                <w:color w:val="102E3B"/>
                <w:sz w:val="18"/>
                <w:szCs w:val="18"/>
              </w:rPr>
              <w:t xml:space="preserve"> days after the Project Period</w:t>
            </w:r>
          </w:p>
        </w:tc>
        <w:tc>
          <w:tcPr>
            <w:tcW w:type="dxa" w:w="4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Results, lessons, final accounts, equipment register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Incident reports</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the times in clause 11</w:t>
            </w:r>
          </w:p>
        </w:tc>
        <w:tc>
          <w:tcPr>
            <w:tcW w:type="dxa" w:w="428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fraud, security</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[Audit or expenditure verification]</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[90]</w:t>
            </w:r>
            <w:r>
              <w:rPr>
                <w:rFonts w:ascii="Nunito Sans" w:cs="Nunito Sans" w:eastAsia="Nunito Sans" w:hAnsi="Nunito Sans"/>
                <w:color w:val="102E3B"/>
                <w:sz w:val="18"/>
                <w:szCs w:val="18"/>
              </w:rPr>
              <w:t xml:space="preserve"> days after the Project Period</w:t>
            </w:r>
          </w:p>
        </w:tc>
        <w:tc>
          <w:tcPr>
            <w:tcW w:type="dxa" w:w="428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clause 10.3</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Schedule 3: Head Donor conditions</w:t>
      </w:r>
    </w:p>
    <w:p>
      <w:pPr>
        <w:spacing w:after="120" w:before="0" w:line="300"/>
      </w:pPr>
      <w:r>
        <w:rPr>
          <w:rFonts w:ascii="Nunito Sans" w:cs="Nunito Sans" w:eastAsia="Nunito Sans" w:hAnsi="Nunito Sans"/>
          <w:color w:val="102E3B"/>
          <w:sz w:val="20"/>
          <w:szCs w:val="20"/>
        </w:rPr>
        <w:t xml:space="preserve">Head Grant: </w:t>
      </w:r>
      <w:r>
        <w:rPr>
          <w:rFonts w:ascii="Nunito Sans" w:cs="Nunito Sans" w:eastAsia="Nunito Sans" w:hAnsi="Nunito Sans"/>
          <w:color w:val="102E3B"/>
          <w:sz w:val="20"/>
          <w:szCs w:val="20"/>
          <w:highlight w:val="yellow"/>
        </w:rPr>
        <w:t xml:space="preserve">[Head Donor name]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[grant reference]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[title]</w:t>
      </w:r>
      <w:r>
        <w:rPr>
          <w:rFonts w:ascii="Nunito Sans" w:cs="Nunito Sans" w:eastAsia="Nunito Sans" w:hAnsi="Nunito Sans"/>
          <w:color w:val="102E3B"/>
          <w:sz w:val="20"/>
          <w:szCs w:val="20"/>
        </w:rPr>
        <w:t xml:space="preserve">, dated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The following conditions of the Head Grant apply to the Partner. They are copied from the Head Grant without change. Where they refer to </w:t>
      </w:r>
      <w:r>
        <w:rPr>
          <w:rFonts w:ascii="Nunito Sans" w:cs="Nunito Sans" w:eastAsia="Nunito Sans" w:hAnsi="Nunito Sans"/>
          <w:color w:val="102E3B"/>
          <w:sz w:val="20"/>
          <w:szCs w:val="20"/>
          <w:highlight w:val="yellow"/>
        </w:rPr>
        <w:t xml:space="preserve">[the donor's term for the recipient, e.g. "the Grantee"]</w:t>
      </w:r>
      <w:r>
        <w:rPr>
          <w:rFonts w:ascii="Nunito Sans" w:cs="Nunito Sans" w:eastAsia="Nunito Sans" w:hAnsi="Nunito Sans"/>
          <w:color w:val="102E3B"/>
          <w:sz w:val="20"/>
          <w:szCs w:val="20"/>
        </w:rPr>
        <w:t xml:space="preserve">, that means the Grantor, and where they refer to </w:t>
      </w:r>
      <w:r>
        <w:rPr>
          <w:rFonts w:ascii="Nunito Sans" w:cs="Nunito Sans" w:eastAsia="Nunito Sans" w:hAnsi="Nunito Sans"/>
          <w:color w:val="102E3B"/>
          <w:sz w:val="20"/>
          <w:szCs w:val="20"/>
          <w:highlight w:val="yellow"/>
        </w:rPr>
        <w:t xml:space="preserve">[the donor's term for sub-recipients]</w:t>
      </w:r>
      <w:r>
        <w:rPr>
          <w:rFonts w:ascii="Nunito Sans" w:cs="Nunito Sans" w:eastAsia="Nunito Sans" w:hAnsi="Nunito Sans"/>
          <w:color w:val="102E3B"/>
          <w:sz w:val="20"/>
          <w:szCs w:val="20"/>
        </w:rPr>
        <w:t xml:space="preserve">, that means the Partner.</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[Clause number and full text: eligibility of costs]</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[Clause number and full text: procurement and nationality or origin rules]</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[Clause number and full text: audit, access and record retention]</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[Clause number and full text: anti-terrorism, sanctions and prohibited parties]</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[Clause number and full text: safeguarding and PSEAH reporting]</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[Clause number and full text: visibility and branding rules]</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[Clause number and full text: reporting of irregularities and fraud]</w:t>
      </w:r>
    </w:p>
    <w:p>
      <w:pPr>
        <w:pStyle w:val="ListParagraph"/>
        <w:numPr>
          <w:ilvl w:val="0"/>
          <w:numId w:val="21"/>
        </w:numPr>
        <w:spacing w:after="80" w:line="290"/>
      </w:pPr>
      <w:r>
        <w:rPr>
          <w:rFonts w:ascii="Nunito Sans" w:cs="Nunito Sans" w:eastAsia="Nunito Sans" w:hAnsi="Nunito Sans"/>
          <w:color w:val="102E3B"/>
          <w:sz w:val="20"/>
          <w:szCs w:val="20"/>
          <w:highlight w:val="yellow"/>
        </w:rPr>
        <w:t xml:space="preserve">[Any other flow-down clause]</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Signatures</w:t>
      </w:r>
    </w:p>
    <w:p>
      <w:pPr>
        <w:spacing w:after="120" w:before="0" w:line="300"/>
      </w:pPr>
      <w:r>
        <w:rPr>
          <w:rFonts w:ascii="Nunito Sans" w:cs="Nunito Sans" w:eastAsia="Nunito Sans" w:hAnsi="Nunito Sans"/>
          <w:color w:val="102E3B"/>
          <w:sz w:val="20"/>
          <w:szCs w:val="20"/>
        </w:rPr>
        <w:t xml:space="preserve">Signed by the authorised representatives of the parties on the dates below.</w:t>
      </w:r>
    </w:p>
    <w:p>
      <w:pPr>
        <w:keepNext/>
        <w:spacing w:after="80" w:before="120"/>
      </w:pPr>
      <w:r>
        <w:rPr>
          <w:rFonts w:ascii="Nunito Sans" w:cs="Nunito Sans" w:eastAsia="Nunito Sans" w:hAnsi="Nunito Sans"/>
          <w:b/>
          <w:bCs/>
          <w:color w:val="16746E"/>
          <w:spacing w:val="30"/>
          <w:sz w:val="15"/>
          <w:szCs w:val="15"/>
        </w:rPr>
        <w:t xml:space="preserve">FOR THE GRANTOR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FOR THE PARTNER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[Partner's legal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0D3942CA-11BA-B439-5AD1-C0413DF0F290}"/>
  </w:font>
  <w:font w:name="DM Serif Display">
    <w:family w:val="auto"/>
    <w:pitch w:val="variable"/>
    <w:sig w:usb0="E0002AFF" w:usb1="C000247B" w:usb2="00000009" w:usb3="00000000" w:csb0="000001FF" w:csb1="00000000"/>
    <w:embedRegular r:id="rId2" w:fontKey="{ABDA19A8-A0AD-9628-10DE-1ADA20E16FA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Sub-grant Agreement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SUB-GRANT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Sub-grant Agreement</dc:title>
  <dc:creator>Method into Impact</dc:creator>
  <dc:description>The agreement [[Organisation name]] signs when it passes grant funds to a partner organisation to deliver a project. It covers the budget, payments in tranches, reporting, the head donor's conditions, compliance and what happens to unspent funds.</dc:description>
  <cp:lastModifiedBy>Un-named</cp:lastModifiedBy>
  <cp:revision>1</cp:revision>
  <dcterms:created xsi:type="dcterms:W3CDTF">2026-10-29T06:09:15.571Z</dcterms:created>
  <dcterms:modified xsi:type="dcterms:W3CDTF">2026-10-29T06:09:15.571Z</dcterms:modified>
</cp:coreProperties>
</file>

<file path=docProps/custom.xml><?xml version="1.0" encoding="utf-8"?>
<Properties xmlns="http://schemas.openxmlformats.org/officeDocument/2006/custom-properties" xmlns:vt="http://schemas.openxmlformats.org/officeDocument/2006/docPropsVTypes"/>
</file>