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COMPRA O VENTA DE SERVICIOS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Contrato de Servicios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contrato claro para servicios remunerados entre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otra organización. Funciona en ambos sentidos: cuando compramos servicios a un proveedor y cuando vendemos nuestros propios servicios a un cliente.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contrato de servicios establece qué se entregará, en qué plazo, por qué importe y qué ocurre si algo sale mal. Los financiadores y los auditores esperan que haya uno detrás de cada pago importante a un proveedor. Si vendes servicios, protege tus ingresos, tus herramientas y tu reputación.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auditores que revisan las compras y contrataciones; clientes que encargan tus servicios; proveedores; bancos; tu órgano de gobierno cuando aprueba contratos por encima de los límites delegados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2–4 horas para adaptarlo la primera vez; 30–60 minutos para cada nuevo contrato una vez preparados los anexos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Contrato de Prestación de Servicios Independientes · Acuerdo de Confidencialidad Mutua · Acuerdo de Intercambio de Datos · Política de Compras y Contrataciones · Política de Gastos y Viáticos · Código de Conducta · Política y Procedimiento de Salvaguarda · Política y Procedimiento contra el Fraude, el Soborno y la Corrupción · Política de Debida Diligencia de Socios y Control de Sanciones · Lista de Verificación para Revisión Legal</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CONTRATO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una organización preste servicios definidos a otra a cambio de unos honorarios: una evaluación, una formación, trabajos de TI, una investigación o una empresa social que vende su consultoría. "El Cliente" recibe y paga los servicios; "el Proveedor" los presta. Coloca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en la columna correcta. Los recuadros posteriores muestran en qué puntos suele presionar cada parte.</w:t>
            </w:r>
          </w:p>
          <w:p>
            <w:pPr>
              <w:spacing w:after="120" w:before="0" w:line="300"/>
            </w:pP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una persona que trabaja principalmente para ti (usa el Contrato de Prestación de Servicios Independientes) ni para transferir fondos de subvención a un socio (usa el Acuerdo de Subvención a Socios).</w:t>
            </w:r>
          </w:p>
          <w:p>
            <w:pPr>
              <w:spacing w:after="120" w:before="0" w:line="300"/>
            </w:pPr>
            <w:r>
              <w:rPr>
                <w:rFonts w:ascii="Nunito Sans" w:cs="Nunito Sans" w:eastAsia="Nunito Sans" w:hAnsi="Nunito Sans"/>
                <w:b/>
                <w:bCs/>
                <w:color w:val="102E3B"/>
                <w:sz w:val="19"/>
                <w:szCs w:val="19"/>
              </w:rPr>
              <w:t xml:space="preserve">Legislación local:</w:t>
            </w:r>
            <w:r>
              <w:rPr>
                <w:rFonts w:ascii="Nunito Sans" w:cs="Nunito Sans" w:eastAsia="Nunito Sans" w:hAnsi="Nunito Sans"/>
                <w:color w:val="102E3B"/>
                <w:sz w:val="19"/>
                <w:szCs w:val="19"/>
              </w:rPr>
              <w:t xml:space="preserve"> algunas cláusulas, como las limitaciones de responsabilidad, pueden no ser exigibles en todas partes. Para contratos de más de </w:t>
            </w:r>
            <w:r>
              <w:rPr>
                <w:rFonts w:ascii="Nunito Sans" w:cs="Nunito Sans" w:eastAsia="Nunito Sans" w:hAnsi="Nunito Sans"/>
                <w:color w:val="102E3B"/>
                <w:sz w:val="19"/>
                <w:szCs w:val="19"/>
                <w:highlight w:val="yellow"/>
              </w:rPr>
              <w:t xml:space="preserve">[importe y moneda]</w:t>
            </w:r>
            <w:r>
              <w:rPr>
                <w:rFonts w:ascii="Nunito Sans" w:cs="Nunito Sans" w:eastAsia="Nunito Sans" w:hAnsi="Nunito Sans"/>
                <w:color w:val="102E3B"/>
                <w:sz w:val="19"/>
                <w:szCs w:val="19"/>
              </w:rPr>
              <w:t xml:space="preserve"> o de alto riesgo, pide a un abogado o una abogada de </w:t>
            </w:r>
            <w:r>
              <w:rPr>
                <w:rFonts w:ascii="Nunito Sans" w:cs="Nunito Sans" w:eastAsia="Nunito Sans" w:hAnsi="Nunito Sans"/>
                <w:color w:val="102E3B"/>
                <w:sz w:val="19"/>
                <w:szCs w:val="19"/>
                <w:highlight w:val="yellow"/>
              </w:rPr>
              <w:t xml:space="preserve">[país]</w:t>
            </w:r>
            <w:r>
              <w:rPr>
                <w:rFonts w:ascii="Nunito Sans" w:cs="Nunito Sans" w:eastAsia="Nunito Sans" w:hAnsi="Nunito Sans"/>
                <w:color w:val="102E3B"/>
                <w:sz w:val="19"/>
                <w:szCs w:val="19"/>
              </w:rPr>
              <w:t xml:space="preserve"> que revise la versión final con ayuda de la Lista de Verificación para Revisión Legal.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CLIENTE</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PROVEEDOR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organización benéfica registrada / sociedad sin fines de lucro]</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sociedad limitada / empresa social / cooperativa]</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[Dirección]</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[Dirección]</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Número de identificación fiscal: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 fiscal o de IVA, si lo hay]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Número de identificación fiscal: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 fiscal o de IVA, si lo hay]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del contrato: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del contrato: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 teléfono]</w:t>
            </w:r>
          </w:p>
        </w:tc>
      </w:tr>
    </w:tbl>
    <w:p>
      <w:pPr>
        <w:spacing w:after="120"/>
      </w:pPr>
    </w:p>
    <w:p>
      <w:pPr>
        <w:spacing w:after="120" w:before="0" w:line="300"/>
      </w:pPr>
      <w:r>
        <w:rPr>
          <w:rFonts w:ascii="Nunito Sans" w:cs="Nunito Sans" w:eastAsia="Nunito Sans" w:hAnsi="Nunito Sans"/>
          <w:color w:val="102E3B"/>
          <w:sz w:val="20"/>
          <w:szCs w:val="20"/>
        </w:rPr>
        <w:t xml:space="preserve">Cada una es una "parte" y, en conjunto, "las partes".</w:t>
      </w: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El Cliente es </w:t>
      </w:r>
      <w:r>
        <w:rPr>
          <w:rFonts w:ascii="Nunito Sans" w:cs="Nunito Sans" w:eastAsia="Nunito Sans" w:hAnsi="Nunito Sans"/>
          <w:color w:val="102E3B"/>
          <w:sz w:val="20"/>
          <w:szCs w:val="20"/>
          <w:highlight w:val="yellow"/>
        </w:rPr>
        <w:t xml:space="preserve">[una breve descripción, p. ej. una organización sin fines de lucro que apoya a cooperativas agrícolas dirigidas por mujeres en la región X]</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Cliente desea obtener </w:t>
      </w:r>
      <w:r>
        <w:rPr>
          <w:rFonts w:ascii="Nunito Sans" w:cs="Nunito Sans" w:eastAsia="Nunito Sans" w:hAnsi="Nunito Sans"/>
          <w:color w:val="102E3B"/>
          <w:sz w:val="20"/>
          <w:szCs w:val="20"/>
          <w:highlight w:val="yellow"/>
        </w:rPr>
        <w:t xml:space="preserve">[p. ej. una evaluación intermedia de su programa de empleo juvenil]</w:t>
      </w:r>
      <w:r>
        <w:rPr>
          <w:rFonts w:ascii="Nunito Sans" w:cs="Nunito Sans" w:eastAsia="Nunito Sans" w:hAnsi="Nunito Sans"/>
          <w:color w:val="102E3B"/>
          <w:sz w:val="20"/>
          <w:szCs w:val="20"/>
        </w:rPr>
        <w:t xml:space="preserve">. El Proveedor tiene las capacidades necesarias para prestarlo </w:t>
      </w:r>
      <w:r>
        <w:rPr>
          <w:rFonts w:ascii="Nunito Sans" w:cs="Nunito Sans" w:eastAsia="Nunito Sans" w:hAnsi="Nunito Sans"/>
          <w:color w:val="102E3B"/>
          <w:sz w:val="20"/>
          <w:szCs w:val="20"/>
          <w:highlight w:val="yellow"/>
        </w:rPr>
        <w:t xml:space="preserve">[y fue seleccionado mediante el proceso de compras y contrataciones del Cliente el 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Términos acordados</w:t>
      </w:r>
    </w:p>
    <w:p>
      <w:pPr>
        <w:pStyle w:val="Heading2"/>
        <w:keepNext/>
        <w:spacing w:after="120" w:before="280"/>
      </w:pPr>
      <w:r>
        <w:rPr>
          <w:rFonts w:ascii="DM Serif Display" w:cs="DM Serif Display" w:eastAsia="DM Serif Display" w:hAnsi="DM Serif Display"/>
          <w:color w:val="123C48"/>
          <w:sz w:val="28"/>
          <w:szCs w:val="28"/>
        </w:rPr>
        <w:t xml:space="preserve">1. Definiciones e interpretación</w:t>
      </w:r>
    </w:p>
    <w:p>
      <w:pPr>
        <w:pStyle w:val="ListParagraph"/>
        <w:numPr>
          <w:ilvl w:val="0"/>
          <w:numId w:val="4"/>
        </w:numPr>
        <w:spacing w:after="80" w:line="290"/>
      </w:pPr>
      <w:r>
        <w:rPr>
          <w:rFonts w:ascii="Nunito Sans" w:cs="Nunito Sans" w:eastAsia="Nunito Sans" w:hAnsi="Nunito Sans"/>
          <w:color w:val="102E3B"/>
          <w:sz w:val="20"/>
          <w:szCs w:val="20"/>
        </w:rPr>
        <w:t xml:space="preserve">En este contrato:</w:t>
      </w:r>
    </w:p>
    <w:p>
      <w:pPr>
        <w:pStyle w:val="ListParagraph"/>
        <w:numPr>
          <w:ilvl w:val="1"/>
          <w:numId w:val="4"/>
        </w:numPr>
        <w:spacing w:after="80" w:line="290"/>
      </w:pPr>
      <w:r>
        <w:rPr>
          <w:rFonts w:ascii="Nunito Sans" w:cs="Nunito Sans" w:eastAsia="Nunito Sans" w:hAnsi="Nunito Sans"/>
          <w:b/>
          <w:bCs/>
          <w:color w:val="102E3B"/>
          <w:sz w:val="20"/>
          <w:szCs w:val="20"/>
        </w:rPr>
        <w:t xml:space="preserve">Criterios de Aceptación</w:t>
      </w:r>
      <w:r>
        <w:rPr>
          <w:rFonts w:ascii="Nunito Sans" w:cs="Nunito Sans" w:eastAsia="Nunito Sans" w:hAnsi="Nunito Sans"/>
          <w:color w:val="102E3B"/>
          <w:sz w:val="20"/>
          <w:szCs w:val="20"/>
        </w:rPr>
        <w:t xml:space="preserve"> significa los criterios de cada Entregable que figuran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cualquier día que no sea fin de semana ni festivo en </w:t>
      </w:r>
      <w:r>
        <w:rPr>
          <w:rFonts w:ascii="Nunito Sans" w:cs="Nunito Sans" w:eastAsia="Nunito Sans" w:hAnsi="Nunito Sans"/>
          <w:color w:val="102E3B"/>
          <w:sz w:val="20"/>
          <w:szCs w:val="20"/>
          <w:highlight w:val="yellow"/>
        </w:rPr>
        <w:t xml:space="preserve">[país o ciudad]</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Precio</w:t>
      </w:r>
      <w:r>
        <w:rPr>
          <w:rFonts w:ascii="Nunito Sans" w:cs="Nunito Sans" w:eastAsia="Nunito Sans" w:hAnsi="Nunito Sans"/>
          <w:color w:val="102E3B"/>
          <w:sz w:val="20"/>
          <w:szCs w:val="20"/>
        </w:rPr>
        <w:t xml:space="preserve"> significa los honorarios y los gastos reembolsables que figuran en el Anexo 2.</w:t>
      </w:r>
    </w:p>
    <w:p>
      <w:pPr>
        <w:pStyle w:val="ListParagraph"/>
        <w:numPr>
          <w:ilvl w:val="1"/>
          <w:numId w:val="4"/>
        </w:numPr>
        <w:spacing w:after="80" w:line="290"/>
      </w:pP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la información compartida en virtud de este contrato que está marcada como confidencial o que una persona razonable consideraría confidencial, incluidos los datos personales.</w:t>
      </w:r>
    </w:p>
    <w:p>
      <w:pPr>
        <w:pStyle w:val="ListParagraph"/>
        <w:numPr>
          <w:ilvl w:val="1"/>
          <w:numId w:val="4"/>
        </w:numPr>
        <w:spacing w:after="80" w:line="290"/>
      </w:pPr>
      <w:r>
        <w:rPr>
          <w:rFonts w:ascii="Nunito Sans" w:cs="Nunito Sans" w:eastAsia="Nunito Sans" w:hAnsi="Nunito Sans"/>
          <w:b/>
          <w:bCs/>
          <w:color w:val="102E3B"/>
          <w:sz w:val="20"/>
          <w:szCs w:val="20"/>
        </w:rPr>
        <w:t xml:space="preserve">Legislación de Protección de Datos</w:t>
      </w:r>
      <w:r>
        <w:rPr>
          <w:rFonts w:ascii="Nunito Sans" w:cs="Nunito Sans" w:eastAsia="Nunito Sans" w:hAnsi="Nunito Sans"/>
          <w:color w:val="102E3B"/>
          <w:sz w:val="20"/>
          <w:szCs w:val="20"/>
        </w:rPr>
        <w:t xml:space="preserve"> significa todas las leyes sobre datos personales que se apliquen a cualquiera de las partes, incluida </w:t>
      </w:r>
      <w:r>
        <w:rPr>
          <w:rFonts w:ascii="Nunito Sans" w:cs="Nunito Sans" w:eastAsia="Nunito Sans" w:hAnsi="Nunito Sans"/>
          <w:color w:val="102E3B"/>
          <w:sz w:val="20"/>
          <w:szCs w:val="20"/>
          <w:highlight w:val="yellow"/>
        </w:rPr>
        <w:t xml:space="preserve">[p. ej. la Kenya Data Protection Act 2019 / el Reglamento General de Protección de Datos (RGPD) de la UE o del Reino Unido]</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Entregables</w:t>
      </w:r>
      <w:r>
        <w:rPr>
          <w:rFonts w:ascii="Nunito Sans" w:cs="Nunito Sans" w:eastAsia="Nunito Sans" w:hAnsi="Nunito Sans"/>
          <w:color w:val="102E3B"/>
          <w:sz w:val="20"/>
          <w:szCs w:val="20"/>
        </w:rPr>
        <w:t xml:space="preserve"> significa los productos enumerados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Derechos de Propiedad Intelectual</w:t>
      </w:r>
      <w:r>
        <w:rPr>
          <w:rFonts w:ascii="Nunito Sans" w:cs="Nunito Sans" w:eastAsia="Nunito Sans" w:hAnsi="Nunito Sans"/>
          <w:color w:val="102E3B"/>
          <w:sz w:val="20"/>
          <w:szCs w:val="20"/>
        </w:rPr>
        <w:t xml:space="preserve"> significa los derechos de autor, las marcas, los diseños, los derechos sobre bases de datos, las patentes, los derechos sobre conocimientos técnicos (know-how) y derechos similares en cualquier parte del mundo.</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w:t>
      </w:r>
      <w:r>
        <w:rPr>
          <w:rFonts w:ascii="Nunito Sans" w:cs="Nunito Sans" w:eastAsia="Nunito Sans" w:hAnsi="Nunito Sans"/>
          <w:color w:val="102E3B"/>
          <w:sz w:val="20"/>
          <w:szCs w:val="20"/>
        </w:rPr>
        <w:t xml:space="preserve"> significa el personal, las personas voluntarias y los subcontratistas de una parte.</w:t>
      </w:r>
    </w:p>
    <w:p>
      <w:pPr>
        <w:pStyle w:val="ListParagraph"/>
        <w:numPr>
          <w:ilvl w:val="1"/>
          <w:numId w:val="4"/>
        </w:numPr>
        <w:spacing w:after="80" w:line="290"/>
      </w:pPr>
      <w:r>
        <w:rPr>
          <w:rFonts w:ascii="Nunito Sans" w:cs="Nunito Sans" w:eastAsia="Nunito Sans" w:hAnsi="Nunito Sans"/>
          <w:b/>
          <w:bCs/>
          <w:color w:val="102E3B"/>
          <w:sz w:val="20"/>
          <w:szCs w:val="20"/>
        </w:rPr>
        <w:t xml:space="preserve">Servicios</w:t>
      </w:r>
      <w:r>
        <w:rPr>
          <w:rFonts w:ascii="Nunito Sans" w:cs="Nunito Sans" w:eastAsia="Nunito Sans" w:hAnsi="Nunito Sans"/>
          <w:color w:val="102E3B"/>
          <w:sz w:val="20"/>
          <w:szCs w:val="20"/>
        </w:rPr>
        <w:t xml:space="preserve"> significa los servicios que figuran en el Anexo 1, con las modificaciones introducidas conforme a la cláusula 6.</w:t>
      </w:r>
    </w:p>
    <w:p>
      <w:pPr>
        <w:pStyle w:val="ListParagraph"/>
        <w:numPr>
          <w:ilvl w:val="0"/>
          <w:numId w:val="4"/>
        </w:numPr>
        <w:spacing w:after="80" w:line="290"/>
      </w:pPr>
      <w:r>
        <w:rPr>
          <w:rFonts w:ascii="Nunito Sans" w:cs="Nunito Sans" w:eastAsia="Nunito Sans" w:hAnsi="Nunito Sans"/>
          <w:color w:val="102E3B"/>
          <w:sz w:val="20"/>
          <w:szCs w:val="20"/>
        </w:rPr>
        <w:t xml:space="preserve">"Cláusula 6.3" significa el apartado 3 de la cláusula 6. Los anexos forman parte de este contrato. Si una cláusula contradice un anexo, prevalece la cláusula, salvo que el Anexo 3 prevalece en materia de datos personales.</w:t>
      </w:r>
    </w:p>
    <w:p>
      <w:pPr>
        <w:pStyle w:val="ListParagraph"/>
        <w:numPr>
          <w:ilvl w:val="0"/>
          <w:numId w:val="4"/>
        </w:numPr>
        <w:spacing w:after="80" w:line="290"/>
      </w:pPr>
      <w:r>
        <w:rPr>
          <w:rFonts w:ascii="Nunito Sans" w:cs="Nunito Sans" w:eastAsia="Nunito Sans" w:hAnsi="Nunito Sans"/>
          <w:color w:val="102E3B"/>
          <w:sz w:val="20"/>
          <w:szCs w:val="20"/>
        </w:rPr>
        <w:t xml:space="preserve">"Incluido" significa incluido sin carácter limitativo. "Por escrito" incluye el correo electrónico, pero no </w:t>
      </w:r>
      <w:r>
        <w:rPr>
          <w:rFonts w:ascii="Nunito Sans" w:cs="Nunito Sans" w:eastAsia="Nunito Sans" w:hAnsi="Nunito Sans"/>
          <w:color w:val="102E3B"/>
          <w:sz w:val="20"/>
          <w:szCs w:val="20"/>
          <w:highlight w:val="yellow"/>
        </w:rPr>
        <w:t xml:space="preserve">[los mensajes instantáneos o de texto]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 Duración</w:t>
      </w:r>
    </w:p>
    <w:p>
      <w:pPr>
        <w:pStyle w:val="ListParagraph"/>
        <w:numPr>
          <w:ilvl w:val="0"/>
          <w:numId w:val="5"/>
        </w:numPr>
        <w:spacing w:after="80" w:line="290"/>
      </w:pPr>
      <w:r>
        <w:rPr>
          <w:rFonts w:ascii="Nunito Sans" w:cs="Nunito Sans" w:eastAsia="Nunito Sans" w:hAnsi="Nunito Sans"/>
          <w:color w:val="102E3B"/>
          <w:sz w:val="20"/>
          <w:szCs w:val="20"/>
        </w:rPr>
        <w:t xml:space="preserve">Este contrato entra en vigor en </w:t>
      </w:r>
      <w:r>
        <w:rPr>
          <w:rFonts w:ascii="Nunito Sans" w:cs="Nunito Sans" w:eastAsia="Nunito Sans" w:hAnsi="Nunito Sans"/>
          <w:color w:val="102E3B"/>
          <w:sz w:val="20"/>
          <w:szCs w:val="20"/>
          <w:highlight w:val="yellow"/>
        </w:rPr>
        <w:t xml:space="preserve">[la fecha de la última firma que figura a continuación / fecha]</w:t>
      </w:r>
      <w:r>
        <w:rPr>
          <w:rFonts w:ascii="Nunito Sans" w:cs="Nunito Sans" w:eastAsia="Nunito Sans" w:hAnsi="Nunito Sans"/>
          <w:color w:val="102E3B"/>
          <w:sz w:val="20"/>
          <w:szCs w:val="20"/>
        </w:rPr>
        <w:t xml:space="preserve"> (la </w:t>
      </w:r>
      <w:r>
        <w:rPr>
          <w:rFonts w:ascii="Nunito Sans" w:cs="Nunito Sans" w:eastAsia="Nunito Sans" w:hAnsi="Nunito Sans"/>
          <w:b/>
          <w:bCs/>
          <w:color w:val="102E3B"/>
          <w:sz w:val="20"/>
          <w:szCs w:val="20"/>
        </w:rPr>
        <w:t xml:space="preserve">Fecha de Entrada en Vigor</w:t>
      </w:r>
      <w:r>
        <w:rPr>
          <w:rFonts w:ascii="Nunito Sans" w:cs="Nunito Sans" w:eastAsia="Nunito Sans" w:hAnsi="Nunito Sans"/>
          <w:color w:val="102E3B"/>
          <w:sz w:val="20"/>
          <w:szCs w:val="20"/>
        </w:rPr>
        <w:t xml:space="preserve">). Sigue vigente hasta el </w:t>
      </w:r>
      <w:r>
        <w:rPr>
          <w:rFonts w:ascii="Nunito Sans" w:cs="Nunito Sans" w:eastAsia="Nunito Sans" w:hAnsi="Nunito Sans"/>
          <w:color w:val="102E3B"/>
          <w:sz w:val="20"/>
          <w:szCs w:val="20"/>
          <w:highlight w:val="yellow"/>
        </w:rPr>
        <w:t xml:space="preserve">[fecha de finalización]</w:t>
      </w:r>
      <w:r>
        <w:rPr>
          <w:rFonts w:ascii="Nunito Sans" w:cs="Nunito Sans" w:eastAsia="Nunito Sans" w:hAnsi="Nunito Sans"/>
          <w:color w:val="102E3B"/>
          <w:sz w:val="20"/>
          <w:szCs w:val="20"/>
        </w:rPr>
        <w:t xml:space="preserve">, o hasta que los Servicios se hayan completado y pagado, salvo que termine antes conforme a la cláusula 19 o se prorrogue mediante una nota de modificación.</w:t>
      </w:r>
    </w:p>
    <w:p>
      <w:pPr>
        <w:pStyle w:val="Heading2"/>
        <w:keepNext/>
        <w:spacing w:after="120" w:before="280"/>
      </w:pPr>
      <w:r>
        <w:rPr>
          <w:rFonts w:ascii="DM Serif Display" w:cs="DM Serif Display" w:eastAsia="DM Serif Display" w:hAnsi="DM Serif Display"/>
          <w:color w:val="123C48"/>
          <w:sz w:val="28"/>
          <w:szCs w:val="28"/>
        </w:rPr>
        <w:t xml:space="preserve">3. Los Servicios</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prestará los Servicios y entregará los Entregables que figuran en el Anexo 1, en las fechas allí indicadas, con su propio equipamiento salvo que el Anexo 1 diga otra cosa.</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trabajará con una pericia, un cuidado y una diligencia razonables, de acuerdo con las buenas prácticas del </w:t>
      </w:r>
      <w:r>
        <w:rPr>
          <w:rFonts w:ascii="Nunito Sans" w:cs="Nunito Sans" w:eastAsia="Nunito Sans" w:hAnsi="Nunito Sans"/>
          <w:color w:val="102E3B"/>
          <w:sz w:val="20"/>
          <w:szCs w:val="20"/>
          <w:highlight w:val="yellow"/>
        </w:rPr>
        <w:t xml:space="preserve">[sector, p. ej. evaluación / servicios de TI]</w:t>
      </w:r>
      <w:r>
        <w:rPr>
          <w:rFonts w:ascii="Nunito Sans" w:cs="Nunito Sans" w:eastAsia="Nunito Sans" w:hAnsi="Nunito Sans"/>
          <w:color w:val="102E3B"/>
          <w:sz w:val="20"/>
          <w:szCs w:val="20"/>
        </w:rPr>
        <w:t xml:space="preserve">, con Personal debidamente cualificado.</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no sustituirá al Personal clave indicado en el Anexo 1 sin el consentimiento del Cliente, que no se denegará de forma injustificada.</w:t>
      </w:r>
    </w:p>
    <w:p>
      <w:pPr>
        <w:pStyle w:val="ListParagraph"/>
        <w:numPr>
          <w:ilvl w:val="0"/>
          <w:numId w:val="6"/>
        </w:numPr>
        <w:spacing w:after="80" w:line="290"/>
      </w:pPr>
      <w:r>
        <w:rPr>
          <w:rFonts w:ascii="Nunito Sans" w:cs="Nunito Sans" w:eastAsia="Nunito Sans" w:hAnsi="Nunito Sans"/>
          <w:color w:val="102E3B"/>
          <w:sz w:val="20"/>
          <w:szCs w:val="20"/>
        </w:rPr>
        <w:t xml:space="preserve">El Proveedor informará por escrito al Cliente en cuanto prevea un retraso, indicando la causa y una nueva fecha probable.</w:t>
      </w:r>
    </w:p>
    <w:p>
      <w:pPr>
        <w:pStyle w:val="Heading2"/>
        <w:keepNext/>
        <w:spacing w:after="120" w:before="280"/>
      </w:pPr>
      <w:r>
        <w:rPr>
          <w:rFonts w:ascii="DM Serif Display" w:cs="DM Serif Display" w:eastAsia="DM Serif Display" w:hAnsi="DM Serif Display"/>
          <w:color w:val="123C48"/>
          <w:sz w:val="28"/>
          <w:szCs w:val="28"/>
        </w:rPr>
        <w:t xml:space="preserve">4. Responsabilidades del Cliente</w:t>
      </w:r>
    </w:p>
    <w:p>
      <w:pPr>
        <w:pStyle w:val="ListParagraph"/>
        <w:numPr>
          <w:ilvl w:val="0"/>
          <w:numId w:val="7"/>
        </w:numPr>
        <w:spacing w:after="80" w:line="290"/>
      </w:pPr>
      <w:r>
        <w:rPr>
          <w:rFonts w:ascii="Nunito Sans" w:cs="Nunito Sans" w:eastAsia="Nunito Sans" w:hAnsi="Nunito Sans"/>
          <w:color w:val="102E3B"/>
          <w:sz w:val="20"/>
          <w:szCs w:val="20"/>
        </w:rPr>
        <w:t xml:space="preserve">El Cliente proporcionará a tiempo la información, el acceso, las decisiones, el tiempo de su personal y las instalaciones que figuran en el Anexo 1 como aportaciones del Cliente, y se asegurará de que sean exactos según su leal saber y entender.</w:t>
      </w:r>
    </w:p>
    <w:p>
      <w:pPr>
        <w:pStyle w:val="ListParagraph"/>
        <w:numPr>
          <w:ilvl w:val="0"/>
          <w:numId w:val="7"/>
        </w:numPr>
        <w:spacing w:after="80" w:line="290"/>
      </w:pPr>
      <w:r>
        <w:rPr>
          <w:rFonts w:ascii="Nunito Sans" w:cs="Nunito Sans" w:eastAsia="Nunito Sans" w:hAnsi="Nunito Sans"/>
          <w:color w:val="102E3B"/>
          <w:sz w:val="20"/>
          <w:szCs w:val="20"/>
        </w:rPr>
        <w:t xml:space="preserve">El Cliente designará a una persona responsable del contrato que pueda tomar decisiones en el día a día.</w:t>
      </w:r>
    </w:p>
    <w:p>
      <w:pPr>
        <w:pStyle w:val="ListParagraph"/>
        <w:numPr>
          <w:ilvl w:val="0"/>
          <w:numId w:val="7"/>
        </w:numPr>
        <w:spacing w:after="80" w:line="290"/>
      </w:pPr>
      <w:r>
        <w:rPr>
          <w:rFonts w:ascii="Nunito Sans" w:cs="Nunito Sans" w:eastAsia="Nunito Sans" w:hAnsi="Nunito Sans"/>
          <w:color w:val="102E3B"/>
          <w:sz w:val="20"/>
          <w:szCs w:val="20"/>
        </w:rPr>
        <w:t xml:space="preserve">Si un retraso del Cliente impide al Proveedor cumplir, el Proveedor no incurre en incumplimiento y obtiene una prórroga razonable y los costos adicionales que se acuerden conforme a la cláusula 6.</w:t>
      </w:r>
    </w:p>
    <w:p>
      <w:pPr>
        <w:pStyle w:val="Heading2"/>
        <w:keepNext/>
        <w:spacing w:after="120" w:before="280"/>
      </w:pPr>
      <w:r>
        <w:rPr>
          <w:rFonts w:ascii="DM Serif Display" w:cs="DM Serif Display" w:eastAsia="DM Serif Display" w:hAnsi="DM Serif Display"/>
          <w:color w:val="123C48"/>
          <w:sz w:val="28"/>
          <w:szCs w:val="28"/>
        </w:rPr>
        <w:t xml:space="preserve">5. Aceptación</w:t>
      </w:r>
    </w:p>
    <w:p>
      <w:pPr>
        <w:pStyle w:val="ListParagraph"/>
        <w:numPr>
          <w:ilvl w:val="0"/>
          <w:numId w:val="8"/>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la recepción de un Entregable, el Cliente lo aceptará por escrito o lo rechazará por escrito con motivos que hagan referencia a los Criterios de Aceptación.</w:t>
      </w:r>
    </w:p>
    <w:p>
      <w:pPr>
        <w:pStyle w:val="ListParagraph"/>
        <w:numPr>
          <w:ilvl w:val="0"/>
          <w:numId w:val="8"/>
        </w:numPr>
        <w:spacing w:after="80" w:line="290"/>
      </w:pPr>
      <w:r>
        <w:rPr>
          <w:rFonts w:ascii="Nunito Sans" w:cs="Nunito Sans" w:eastAsia="Nunito Sans" w:hAnsi="Nunito Sans"/>
          <w:color w:val="102E3B"/>
          <w:sz w:val="20"/>
          <w:szCs w:val="20"/>
        </w:rPr>
        <w:t xml:space="preserve">Si el Cliente lo rechaza, el Proveedor lo corregirá y lo volverá a presentar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sin costo adicional, y se aplicará de nuevo la cláusula 5.1.</w:t>
      </w:r>
    </w:p>
    <w:p>
      <w:pPr>
        <w:pStyle w:val="ListParagraph"/>
        <w:numPr>
          <w:ilvl w:val="0"/>
          <w:numId w:val="8"/>
        </w:numPr>
        <w:spacing w:after="80" w:line="290"/>
      </w:pPr>
      <w:r>
        <w:rPr>
          <w:rFonts w:ascii="Nunito Sans" w:cs="Nunito Sans" w:eastAsia="Nunito Sans" w:hAnsi="Nunito Sans"/>
          <w:color w:val="102E3B"/>
          <w:sz w:val="20"/>
          <w:szCs w:val="20"/>
        </w:rPr>
        <w:t xml:space="preserve">Si el Cliente rechaza el mismo Entregable </w:t>
      </w:r>
      <w:r>
        <w:rPr>
          <w:rFonts w:ascii="Nunito Sans" w:cs="Nunito Sans" w:eastAsia="Nunito Sans" w:hAnsi="Nunito Sans"/>
          <w:color w:val="102E3B"/>
          <w:sz w:val="20"/>
          <w:szCs w:val="20"/>
          <w:highlight w:val="yellow"/>
        </w:rPr>
        <w:t xml:space="preserve">[dos veces]</w:t>
      </w:r>
      <w:r>
        <w:rPr>
          <w:rFonts w:ascii="Nunito Sans" w:cs="Nunito Sans" w:eastAsia="Nunito Sans" w:hAnsi="Nunito Sans"/>
          <w:color w:val="102E3B"/>
          <w:sz w:val="20"/>
          <w:szCs w:val="20"/>
        </w:rPr>
        <w:t xml:space="preserve"> por motivos sustancialmente iguales, puede aceptarlo con una reducción justa y acordada del Precio, o resolver este contrato conforme a la cláusula 19.3.</w:t>
      </w:r>
    </w:p>
    <w:p>
      <w:pPr>
        <w:pStyle w:val="ListParagraph"/>
        <w:numPr>
          <w:ilvl w:val="0"/>
          <w:numId w:val="8"/>
        </w:numPr>
        <w:spacing w:after="80" w:line="290"/>
      </w:pPr>
      <w:r>
        <w:rPr>
          <w:rFonts w:ascii="Nunito Sans" w:cs="Nunito Sans" w:eastAsia="Nunito Sans" w:hAnsi="Nunito Sans"/>
          <w:color w:val="102E3B"/>
          <w:sz w:val="20"/>
          <w:szCs w:val="20"/>
        </w:rPr>
        <w:t xml:space="preserve">Un Entregable se considera aceptado si el Cliente no responde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desde un recordatorio por escrito enviado una vez transcurrido el plazo de la cláusula 5.1, o cuando el Cliente lo usa en su trabajo con un fin distinto de su revisión.</w:t>
      </w:r>
    </w:p>
    <w:p>
      <w:pPr>
        <w:pStyle w:val="ListParagraph"/>
        <w:numPr>
          <w:ilvl w:val="0"/>
          <w:numId w:val="8"/>
        </w:numPr>
        <w:spacing w:after="80" w:line="290"/>
      </w:pPr>
      <w:r>
        <w:rPr>
          <w:rFonts w:ascii="Nunito Sans" w:cs="Nunito Sans" w:eastAsia="Nunito Sans" w:hAnsi="Nunito Sans"/>
          <w:color w:val="102E3B"/>
          <w:sz w:val="20"/>
          <w:szCs w:val="20"/>
        </w:rPr>
        <w:t xml:space="preserve">La aceptación no afecta a los derechos del Cliente conforme a la cláusula 10.4 en caso de defectos ocultos.</w:t>
      </w:r>
    </w:p>
    <w:p>
      <w:pPr>
        <w:pStyle w:val="Heading2"/>
        <w:keepNext/>
        <w:spacing w:after="120" w:before="280"/>
      </w:pPr>
      <w:r>
        <w:rPr>
          <w:rFonts w:ascii="DM Serif Display" w:cs="DM Serif Display" w:eastAsia="DM Serif Display" w:hAnsi="DM Serif Display"/>
          <w:color w:val="123C48"/>
          <w:sz w:val="28"/>
          <w:szCs w:val="28"/>
        </w:rPr>
        <w:t xml:space="preserve">6. Modificaciones</w:t>
      </w:r>
    </w:p>
    <w:p>
      <w:pPr>
        <w:pStyle w:val="ListParagraph"/>
        <w:numPr>
          <w:ilvl w:val="0"/>
          <w:numId w:val="9"/>
        </w:numPr>
        <w:spacing w:after="80" w:line="290"/>
      </w:pPr>
      <w:r>
        <w:rPr>
          <w:rFonts w:ascii="Nunito Sans" w:cs="Nunito Sans" w:eastAsia="Nunito Sans" w:hAnsi="Nunito Sans"/>
          <w:color w:val="102E3B"/>
          <w:sz w:val="20"/>
          <w:szCs w:val="20"/>
        </w:rPr>
        <w:t xml:space="preserve">Cualquiera de las partes puede solicitar por escrito una modificación.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el Proveedor expondrá su efecto sobre los Entregables, el calendario y el Precio.</w:t>
      </w:r>
    </w:p>
    <w:p>
      <w:pPr>
        <w:pStyle w:val="ListParagraph"/>
        <w:numPr>
          <w:ilvl w:val="0"/>
          <w:numId w:val="9"/>
        </w:numPr>
        <w:spacing w:after="80" w:line="290"/>
      </w:pPr>
      <w:r>
        <w:rPr>
          <w:rFonts w:ascii="Nunito Sans" w:cs="Nunito Sans" w:eastAsia="Nunito Sans" w:hAnsi="Nunito Sans"/>
          <w:color w:val="102E3B"/>
          <w:sz w:val="20"/>
          <w:szCs w:val="20"/>
        </w:rPr>
        <w:t xml:space="preserve">Una modificación solo es vinculante cuando ambas partes firman una nota de modificación con el formato del Anexo 2. Sin ella, ninguna de las partes está obligada a realizar ni a pagar trabajos que estén fuera del alcance.</w:t>
      </w:r>
    </w:p>
    <w:p>
      <w:pPr>
        <w:pStyle w:val="ListParagraph"/>
        <w:numPr>
          <w:ilvl w:val="0"/>
          <w:numId w:val="9"/>
        </w:numPr>
        <w:spacing w:after="80" w:line="290"/>
      </w:pPr>
      <w:r>
        <w:rPr>
          <w:rFonts w:ascii="Nunito Sans" w:cs="Nunito Sans" w:eastAsia="Nunito Sans" w:hAnsi="Nunito Sans"/>
          <w:color w:val="102E3B"/>
          <w:sz w:val="20"/>
          <w:szCs w:val="20"/>
        </w:rPr>
        <w:t xml:space="preserve">Las personas responsables del contrato pueden acordar por correo electrónico pequeñas modificaciones que no afecten al Precio, a la fecha de finalización ni a los Criterios de Aceptación.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ACEPTACIÓN Y CONTROL DE MODIFICACIONES</w:t>
            </w:r>
          </w:p>
          <w:p>
            <w:pPr>
              <w:spacing w:after="120" w:before="0" w:line="300"/>
            </w:pPr>
            <w:r>
              <w:rPr>
                <w:rFonts w:ascii="Nunito Sans" w:cs="Nunito Sans" w:eastAsia="Nunito Sans" w:hAnsi="Nunito Sans"/>
                <w:color w:val="102E3B"/>
                <w:sz w:val="19"/>
                <w:szCs w:val="19"/>
              </w:rPr>
              <w:t xml:space="preserve">Haz concretos los Criterios de Aceptación del Anexo 1. </w:t>
            </w: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prevé tiempo de revisión suficiente para tu equipo y para cualquier financiador que deba dar su aprobación.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mantén la aceptación tácita de la cláusula 5.4; sin ella, un cliente puede retrasar el pago simplemente no respondiendo. Limita las rondas de revisión incluidas en el precio (lo habitual son dos) y presupuesta las rondas adicionales mediante la cláusula 6.</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Precio y pago</w:t>
      </w:r>
    </w:p>
    <w:p>
      <w:pPr>
        <w:pStyle w:val="ListParagraph"/>
        <w:numPr>
          <w:ilvl w:val="0"/>
          <w:numId w:val="10"/>
        </w:numPr>
        <w:spacing w:after="80" w:line="290"/>
      </w:pPr>
      <w:r>
        <w:rPr>
          <w:rFonts w:ascii="Nunito Sans" w:cs="Nunito Sans" w:eastAsia="Nunito Sans" w:hAnsi="Nunito Sans"/>
          <w:color w:val="102E3B"/>
          <w:sz w:val="20"/>
          <w:szCs w:val="20"/>
        </w:rPr>
        <w:t xml:space="preserve">El Cliente pagará el Precio que figura en el Anexo 2. Se trata de </w:t>
      </w:r>
      <w:r>
        <w:rPr>
          <w:rFonts w:ascii="Nunito Sans" w:cs="Nunito Sans" w:eastAsia="Nunito Sans" w:hAnsi="Nunito Sans"/>
          <w:color w:val="102E3B"/>
          <w:sz w:val="20"/>
          <w:szCs w:val="20"/>
          <w:highlight w:val="yellow"/>
        </w:rPr>
        <w:t xml:space="preserve">[un precio cerrado / tarifas diarias hasta un máximo]</w:t>
      </w:r>
      <w:r>
        <w:rPr>
          <w:rFonts w:ascii="Nunito Sans" w:cs="Nunito Sans" w:eastAsia="Nunito Sans" w:hAnsi="Nunito Sans"/>
          <w:color w:val="102E3B"/>
          <w:sz w:val="20"/>
          <w:szCs w:val="20"/>
        </w:rPr>
        <w:t xml:space="preserve">, y el total no superará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sin una nota de modificación firmada.</w:t>
      </w:r>
    </w:p>
    <w:p>
      <w:pPr>
        <w:pStyle w:val="ListParagraph"/>
        <w:numPr>
          <w:ilvl w:val="0"/>
          <w:numId w:val="10"/>
        </w:numPr>
        <w:spacing w:after="80" w:line="290"/>
      </w:pPr>
      <w:r>
        <w:rPr>
          <w:rFonts w:ascii="Nunito Sans" w:cs="Nunito Sans" w:eastAsia="Nunito Sans" w:hAnsi="Nunito Sans"/>
          <w:color w:val="102E3B"/>
          <w:sz w:val="20"/>
          <w:szCs w:val="20"/>
        </w:rPr>
        <w:t xml:space="preserve">El Proveedor facturará </w:t>
      </w:r>
      <w:r>
        <w:rPr>
          <w:rFonts w:ascii="Nunito Sans" w:cs="Nunito Sans" w:eastAsia="Nunito Sans" w:hAnsi="Nunito Sans"/>
          <w:color w:val="102E3B"/>
          <w:sz w:val="20"/>
          <w:szCs w:val="20"/>
          <w:highlight w:val="yellow"/>
        </w:rPr>
        <w:t xml:space="preserve">[a la aceptación de cada Entregable / mensualmente a mes vencido]</w:t>
      </w:r>
      <w:r>
        <w:rPr>
          <w:rFonts w:ascii="Nunito Sans" w:cs="Nunito Sans" w:eastAsia="Nunito Sans" w:hAnsi="Nunito Sans"/>
          <w:color w:val="102E3B"/>
          <w:sz w:val="20"/>
          <w:szCs w:val="20"/>
        </w:rPr>
        <w:t xml:space="preserve">, indicando la referencia de este contrato y </w:t>
      </w:r>
      <w:r>
        <w:rPr>
          <w:rFonts w:ascii="Nunito Sans" w:cs="Nunito Sans" w:eastAsia="Nunito Sans" w:hAnsi="Nunito Sans"/>
          <w:color w:val="102E3B"/>
          <w:sz w:val="20"/>
          <w:szCs w:val="20"/>
          <w:highlight w:val="yellow"/>
        </w:rPr>
        <w:t xml:space="preserve">[el número de orden de compra]</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rPr>
        <w:t xml:space="preserve">El Cliente pagará cada factura correcta y no impugnada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su recepción, en </w:t>
      </w:r>
      <w:r>
        <w:rPr>
          <w:rFonts w:ascii="Nunito Sans" w:cs="Nunito Sans" w:eastAsia="Nunito Sans" w:hAnsi="Nunito Sans"/>
          <w:color w:val="102E3B"/>
          <w:sz w:val="20"/>
          <w:szCs w:val="20"/>
          <w:highlight w:val="yellow"/>
        </w:rPr>
        <w:t xml:space="preserve">[moneda]</w:t>
      </w:r>
      <w:r>
        <w:rPr>
          <w:rFonts w:ascii="Nunito Sans" w:cs="Nunito Sans" w:eastAsia="Nunito Sans" w:hAnsi="Nunito Sans"/>
          <w:color w:val="102E3B"/>
          <w:sz w:val="20"/>
          <w:szCs w:val="20"/>
        </w:rPr>
        <w:t xml:space="preserve">, en la cuenta del Proveedor que figura en el Anexo 2. Cada parte asume sus propias comisiones bancarias.</w:t>
      </w:r>
    </w:p>
    <w:p>
      <w:pPr>
        <w:pStyle w:val="ListParagraph"/>
        <w:numPr>
          <w:ilvl w:val="0"/>
          <w:numId w:val="10"/>
        </w:numPr>
        <w:spacing w:after="80" w:line="290"/>
      </w:pPr>
      <w:r>
        <w:rPr>
          <w:rFonts w:ascii="Nunito Sans" w:cs="Nunito Sans" w:eastAsia="Nunito Sans" w:hAnsi="Nunito Sans"/>
          <w:color w:val="102E3B"/>
          <w:sz w:val="20"/>
          <w:szCs w:val="20"/>
        </w:rPr>
        <w:t xml:space="preserve">Si el Cliente impugna una factura de buena fe, expondrá los motivos por escrito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pagará a tiempo la parte no impugnada. Los pagos no impugnados que se retrasen devengan intereses al </w:t>
      </w:r>
      <w:r>
        <w:rPr>
          <w:rFonts w:ascii="Nunito Sans" w:cs="Nunito Sans" w:eastAsia="Nunito Sans" w:hAnsi="Nunito Sans"/>
          <w:color w:val="102E3B"/>
          <w:sz w:val="20"/>
          <w:szCs w:val="20"/>
          <w:highlight w:val="yellow"/>
        </w:rPr>
        <w:t xml:space="preserve">[X % anual por encima del tipo del banco central / tipo fijado por la ley]</w:t>
      </w:r>
      <w:r>
        <w:rPr>
          <w:rFonts w:ascii="Nunito Sans" w:cs="Nunito Sans" w:eastAsia="Nunito Sans" w:hAnsi="Nunito Sans"/>
          <w:color w:val="102E3B"/>
          <w:sz w:val="20"/>
          <w:szCs w:val="20"/>
        </w:rPr>
        <w:t xml:space="preserve">.</w:t>
      </w:r>
    </w:p>
    <w:p>
      <w:pPr>
        <w:pStyle w:val="ListParagraph"/>
        <w:numPr>
          <w:ilvl w:val="0"/>
          <w:numId w:val="10"/>
        </w:numPr>
        <w:spacing w:after="80" w:line="290"/>
      </w:pPr>
      <w:r>
        <w:rPr>
          <w:rFonts w:ascii="Nunito Sans" w:cs="Nunito Sans" w:eastAsia="Nunito Sans" w:hAnsi="Nunito Sans"/>
          <w:color w:val="102E3B"/>
          <w:sz w:val="20"/>
          <w:szCs w:val="20"/>
          <w:highlight w:val="yellow"/>
        </w:rPr>
        <w:t xml:space="preserve">[Opcional: El Cliente pagará un anticipo del X % del Precio en un plazo de 10 Días Hábiles desde la Fecha de Entrada en Vigor, que se descontará de las facturas posteriores.]</w:t>
      </w:r>
    </w:p>
    <w:p>
      <w:pPr>
        <w:pStyle w:val="ListParagraph"/>
        <w:numPr>
          <w:ilvl w:val="0"/>
          <w:numId w:val="10"/>
        </w:numPr>
        <w:spacing w:after="80" w:line="290"/>
      </w:pPr>
      <w:r>
        <w:rPr>
          <w:rFonts w:ascii="Nunito Sans" w:cs="Nunito Sans" w:eastAsia="Nunito Sans" w:hAnsi="Nunito Sans"/>
          <w:color w:val="102E3B"/>
          <w:sz w:val="20"/>
          <w:szCs w:val="20"/>
        </w:rPr>
        <w:t xml:space="preserve">El Cliente confirmará por teléfono cualquier cambio de cuenta bancaria con la persona responsable del contrato del Proveedor, en el número que figura en este contrato, antes de realizar pagos en ella.</w:t>
      </w:r>
    </w:p>
    <w:p>
      <w:pPr>
        <w:pStyle w:val="Heading2"/>
        <w:keepNext/>
        <w:spacing w:after="120" w:before="280"/>
      </w:pPr>
      <w:r>
        <w:rPr>
          <w:rFonts w:ascii="DM Serif Display" w:cs="DM Serif Display" w:eastAsia="DM Serif Display" w:hAnsi="DM Serif Display"/>
          <w:color w:val="123C48"/>
          <w:sz w:val="28"/>
          <w:szCs w:val="28"/>
        </w:rPr>
        <w:t xml:space="preserve">8. Gastos</w:t>
      </w:r>
    </w:p>
    <w:p>
      <w:pPr>
        <w:pStyle w:val="ListParagraph"/>
        <w:numPr>
          <w:ilvl w:val="0"/>
          <w:numId w:val="11"/>
        </w:numPr>
        <w:spacing w:after="80" w:line="290"/>
      </w:pPr>
      <w:r>
        <w:rPr>
          <w:rFonts w:ascii="Nunito Sans" w:cs="Nunito Sans" w:eastAsia="Nunito Sans" w:hAnsi="Nunito Sans"/>
          <w:color w:val="102E3B"/>
          <w:sz w:val="20"/>
          <w:szCs w:val="20"/>
        </w:rPr>
        <w:t xml:space="preserve">El Precio incluye todos los costos del Proveedor, salvo los gastos que el Anexo 2 enumera como reembolsables. El Cliente solo los reembolsará si son necesarios, se han aprobado por escrito con antelación </w:t>
      </w:r>
      <w:r>
        <w:rPr>
          <w:rFonts w:ascii="Nunito Sans" w:cs="Nunito Sans" w:eastAsia="Nunito Sans" w:hAnsi="Nunito Sans"/>
          <w:color w:val="102E3B"/>
          <w:sz w:val="20"/>
          <w:szCs w:val="20"/>
          <w:highlight w:val="yellow"/>
        </w:rPr>
        <w:t xml:space="preserve">[cuando superen un importe]</w:t>
      </w:r>
      <w:r>
        <w:rPr>
          <w:rFonts w:ascii="Nunito Sans" w:cs="Nunito Sans" w:eastAsia="Nunito Sans" w:hAnsi="Nunito Sans"/>
          <w:color w:val="102E3B"/>
          <w:sz w:val="20"/>
          <w:szCs w:val="20"/>
        </w:rPr>
        <w:t xml:space="preserve">, se ajustan a </w:t>
      </w:r>
      <w:r>
        <w:rPr>
          <w:rFonts w:ascii="Nunito Sans" w:cs="Nunito Sans" w:eastAsia="Nunito Sans" w:hAnsi="Nunito Sans"/>
          <w:color w:val="102E3B"/>
          <w:sz w:val="20"/>
          <w:szCs w:val="20"/>
          <w:highlight w:val="yellow"/>
        </w:rPr>
        <w:t xml:space="preserve">[la Política de Gastos y Viáticos del Cliente]</w:t>
      </w:r>
      <w:r>
        <w:rPr>
          <w:rFonts w:ascii="Nunito Sans" w:cs="Nunito Sans" w:eastAsia="Nunito Sans" w:hAnsi="Nunito Sans"/>
          <w:color w:val="102E3B"/>
          <w:sz w:val="20"/>
          <w:szCs w:val="20"/>
        </w:rPr>
        <w:t xml:space="preserve">, están respaldados por justificantes y se facturan en un plazo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 sin recargo.</w:t>
      </w:r>
    </w:p>
    <w:p>
      <w:pPr>
        <w:pStyle w:val="Heading2"/>
        <w:keepNext/>
        <w:spacing w:after="120" w:before="280"/>
      </w:pPr>
      <w:r>
        <w:rPr>
          <w:rFonts w:ascii="DM Serif Display" w:cs="DM Serif Display" w:eastAsia="DM Serif Display" w:hAnsi="DM Serif Display"/>
          <w:color w:val="123C48"/>
          <w:sz w:val="28"/>
          <w:szCs w:val="28"/>
        </w:rPr>
        <w:t xml:space="preserve">9. Impuestos</w:t>
      </w:r>
    </w:p>
    <w:p>
      <w:pPr>
        <w:pStyle w:val="ListParagraph"/>
        <w:numPr>
          <w:ilvl w:val="0"/>
          <w:numId w:val="12"/>
        </w:numPr>
        <w:spacing w:after="80" w:line="290"/>
      </w:pPr>
      <w:r>
        <w:rPr>
          <w:rFonts w:ascii="Nunito Sans" w:cs="Nunito Sans" w:eastAsia="Nunito Sans" w:hAnsi="Nunito Sans"/>
          <w:color w:val="102E3B"/>
          <w:sz w:val="20"/>
          <w:szCs w:val="20"/>
        </w:rPr>
        <w:t xml:space="preserve">El Precio </w:t>
      </w:r>
      <w:r>
        <w:rPr>
          <w:rFonts w:ascii="Nunito Sans" w:cs="Nunito Sans" w:eastAsia="Nunito Sans" w:hAnsi="Nunito Sans"/>
          <w:color w:val="102E3B"/>
          <w:sz w:val="20"/>
          <w:szCs w:val="20"/>
          <w:highlight w:val="yellow"/>
        </w:rPr>
        <w:t xml:space="preserve">[no incluye / incluye]</w:t>
      </w:r>
      <w:r>
        <w:rPr>
          <w:rFonts w:ascii="Nunito Sans" w:cs="Nunito Sans" w:eastAsia="Nunito Sans" w:hAnsi="Nunito Sans"/>
          <w:color w:val="102E3B"/>
          <w:sz w:val="20"/>
          <w:szCs w:val="20"/>
        </w:rPr>
        <w:t xml:space="preserve"> el impuesto sobre el valor añadido (IVA) o impuestos similares. Cuando deba añadirse el IVA, el Cliente lo pagará contra una factura fiscal válida.</w:t>
      </w:r>
    </w:p>
    <w:p>
      <w:pPr>
        <w:pStyle w:val="ListParagraph"/>
        <w:numPr>
          <w:ilvl w:val="0"/>
          <w:numId w:val="12"/>
        </w:numPr>
        <w:spacing w:after="80" w:line="290"/>
      </w:pPr>
      <w:r>
        <w:rPr>
          <w:rFonts w:ascii="Nunito Sans" w:cs="Nunito Sans" w:eastAsia="Nunito Sans" w:hAnsi="Nunito Sans"/>
          <w:color w:val="102E3B"/>
          <w:sz w:val="20"/>
          <w:szCs w:val="20"/>
        </w:rPr>
        <w:t xml:space="preserve">El Proveedor es responsable del impuesto sobre la renta, las cotizaciones a la seguridad social y demás pagos que se adeuden por sí mismo y por su Personal.</w:t>
      </w:r>
    </w:p>
    <w:p>
      <w:pPr>
        <w:pStyle w:val="ListParagraph"/>
        <w:numPr>
          <w:ilvl w:val="0"/>
          <w:numId w:val="12"/>
        </w:numPr>
        <w:spacing w:after="80" w:line="290"/>
      </w:pPr>
      <w:r>
        <w:rPr>
          <w:rFonts w:ascii="Nunito Sans" w:cs="Nunito Sans" w:eastAsia="Nunito Sans" w:hAnsi="Nunito Sans"/>
          <w:color w:val="102E3B"/>
          <w:sz w:val="20"/>
          <w:szCs w:val="20"/>
        </w:rPr>
        <w:t xml:space="preserve">Si la ley obliga al Cliente a retener impuestos de un pago, el Cliente los ingresará en la autoridad tributaria a tiempo y entregará al Proveedor el justificante oficial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El Precio </w:t>
      </w:r>
      <w:r>
        <w:rPr>
          <w:rFonts w:ascii="Nunito Sans" w:cs="Nunito Sans" w:eastAsia="Nunito Sans" w:hAnsi="Nunito Sans"/>
          <w:color w:val="102E3B"/>
          <w:sz w:val="20"/>
          <w:szCs w:val="20"/>
          <w:highlight w:val="yellow"/>
        </w:rPr>
        <w:t xml:space="preserve">[se incrementará / no se incrementará]</w:t>
      </w:r>
      <w:r>
        <w:rPr>
          <w:rFonts w:ascii="Nunito Sans" w:cs="Nunito Sans" w:eastAsia="Nunito Sans" w:hAnsi="Nunito Sans"/>
          <w:color w:val="102E3B"/>
          <w:sz w:val="20"/>
          <w:szCs w:val="20"/>
        </w:rPr>
        <w:t xml:space="preserve"> para cubrirlos.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 GASTOS E IMPUESTOS</w:t>
            </w:r>
          </w:p>
          <w:p>
            <w:pPr>
              <w:spacing w:after="120" w:before="0" w:line="300"/>
            </w:pP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vincula los pagos a Entregables aceptados, retén un </w:t>
            </w:r>
            <w:r>
              <w:rPr>
                <w:rFonts w:ascii="Nunito Sans" w:cs="Nunito Sans" w:eastAsia="Nunito Sans" w:hAnsi="Nunito Sans"/>
                <w:color w:val="102E3B"/>
                <w:sz w:val="19"/>
                <w:szCs w:val="19"/>
                <w:highlight w:val="yellow"/>
              </w:rPr>
              <w:t xml:space="preserve">[10–20]</w:t>
            </w:r>
            <w:r>
              <w:rPr>
                <w:rFonts w:ascii="Nunito Sans" w:cs="Nunito Sans" w:eastAsia="Nunito Sans" w:hAnsi="Nunito Sans"/>
                <w:color w:val="102E3B"/>
                <w:sz w:val="19"/>
                <w:szCs w:val="19"/>
              </w:rPr>
              <w:t xml:space="preserve"> % hasta el último y comprueba que tu financiador permite los anticipos.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pide un anticipo (un 20–30 % es habitual para proveedores pequeños) e intereses por pago tardío.</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algunas leyes fijan intereses por los pagos comerciales tardíos, por ejemplo la UK Late Payment of Commercial Debts (Interest) Act 1998. Muchos países, entre ellos Kenia, Nigeria, Ghana, la India y Perú, obligan a quien paga a retener impuestos de los honorarios por servicios. Los tipos, las exenciones para organizaciones sin fines de lucro y los tipos de los convenios cambian con frecuencia: consulta con una persona asesora fiscal y acordad si los honorarios son "brutos" (el impuesto se descuenta de ellos) o "netos" (el impuesto se paga además).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Garantías</w:t>
      </w:r>
    </w:p>
    <w:p>
      <w:pPr>
        <w:pStyle w:val="ListParagraph"/>
        <w:numPr>
          <w:ilvl w:val="0"/>
          <w:numId w:val="13"/>
        </w:numPr>
        <w:spacing w:after="80" w:line="290"/>
      </w:pPr>
      <w:r>
        <w:rPr>
          <w:rFonts w:ascii="Nunito Sans" w:cs="Nunito Sans" w:eastAsia="Nunito Sans" w:hAnsi="Nunito Sans"/>
          <w:color w:val="102E3B"/>
          <w:sz w:val="20"/>
          <w:szCs w:val="20"/>
        </w:rPr>
        <w:t xml:space="preserve">Cada parte confirma que tiene capacidad para celebrar este contrato.</w:t>
      </w:r>
    </w:p>
    <w:p>
      <w:pPr>
        <w:pStyle w:val="ListParagraph"/>
        <w:numPr>
          <w:ilvl w:val="0"/>
          <w:numId w:val="13"/>
        </w:numPr>
        <w:spacing w:after="80" w:line="290"/>
      </w:pPr>
      <w:r>
        <w:rPr>
          <w:rFonts w:ascii="Nunito Sans" w:cs="Nunito Sans" w:eastAsia="Nunito Sans" w:hAnsi="Nunito Sans"/>
          <w:color w:val="102E3B"/>
          <w:sz w:val="20"/>
          <w:szCs w:val="20"/>
        </w:rPr>
        <w:t xml:space="preserve">El Proveedor confirma que tiene las licencias necesarias para los Servicios; que los Entregables no infringirán los Derechos de Propiedad Intelectual de nadie; y que la información que facilitó durante la selección era veraz.</w:t>
      </w:r>
    </w:p>
    <w:p>
      <w:pPr>
        <w:pStyle w:val="ListParagraph"/>
        <w:numPr>
          <w:ilvl w:val="0"/>
          <w:numId w:val="13"/>
        </w:numPr>
        <w:spacing w:after="80" w:line="290"/>
      </w:pPr>
      <w:r>
        <w:rPr>
          <w:rFonts w:ascii="Nunito Sans" w:cs="Nunito Sans" w:eastAsia="Nunito Sans" w:hAnsi="Nunito Sans"/>
          <w:color w:val="102E3B"/>
          <w:sz w:val="20"/>
          <w:szCs w:val="20"/>
        </w:rPr>
        <w:t xml:space="preserve">El Cliente confirma que puede compartir lícitamente los materiales que proporciona.</w:t>
      </w:r>
    </w:p>
    <w:p>
      <w:pPr>
        <w:pStyle w:val="ListParagraph"/>
        <w:numPr>
          <w:ilvl w:val="0"/>
          <w:numId w:val="13"/>
        </w:numPr>
        <w:spacing w:after="80" w:line="290"/>
      </w:pPr>
      <w:r>
        <w:rPr>
          <w:rFonts w:ascii="Nunito Sans" w:cs="Nunito Sans" w:eastAsia="Nunito Sans" w:hAnsi="Nunito Sans"/>
          <w:color w:val="102E3B"/>
          <w:sz w:val="20"/>
          <w:szCs w:val="20"/>
        </w:rPr>
        <w:t xml:space="preserve">Si,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después de la aceptación, se constata que un Entregable no se ajusta a este contrato, el Proveedor lo corregirá a su costo.</w:t>
      </w:r>
    </w:p>
    <w:p>
      <w:pPr>
        <w:pStyle w:val="Heading2"/>
        <w:keepNext/>
        <w:spacing w:after="120" w:before="280"/>
      </w:pPr>
      <w:r>
        <w:rPr>
          <w:rFonts w:ascii="DM Serif Display" w:cs="DM Serif Display" w:eastAsia="DM Serif Display" w:hAnsi="DM Serif Display"/>
          <w:color w:val="123C48"/>
          <w:sz w:val="28"/>
          <w:szCs w:val="28"/>
        </w:rPr>
        <w:t xml:space="preserve">11. Confidencialidad</w:t>
      </w:r>
    </w:p>
    <w:p>
      <w:pPr>
        <w:pStyle w:val="ListParagraph"/>
        <w:numPr>
          <w:ilvl w:val="0"/>
          <w:numId w:val="14"/>
        </w:numPr>
        <w:spacing w:after="80" w:line="290"/>
      </w:pPr>
      <w:r>
        <w:rPr>
          <w:rFonts w:ascii="Nunito Sans" w:cs="Nunito Sans" w:eastAsia="Nunito Sans" w:hAnsi="Nunito Sans"/>
          <w:color w:val="102E3B"/>
          <w:sz w:val="20"/>
          <w:szCs w:val="20"/>
        </w:rPr>
        <w:t xml:space="preserve">Cada parte mantendrá la confidencialidad de la Información Confidencial de la otra y la usará solo para los fines de este contrato.</w:t>
      </w:r>
    </w:p>
    <w:p>
      <w:pPr>
        <w:pStyle w:val="ListParagraph"/>
        <w:numPr>
          <w:ilvl w:val="0"/>
          <w:numId w:val="14"/>
        </w:numPr>
        <w:spacing w:after="80" w:line="290"/>
      </w:pPr>
      <w:r>
        <w:rPr>
          <w:rFonts w:ascii="Nunito Sans" w:cs="Nunito Sans" w:eastAsia="Nunito Sans" w:hAnsi="Nunito Sans"/>
          <w:color w:val="102E3B"/>
          <w:sz w:val="20"/>
          <w:szCs w:val="20"/>
        </w:rPr>
        <w:t xml:space="preserve">Una parte solo puede compartirla con su Personal, sus asesores, sus auditores </w:t>
      </w:r>
      <w:r>
        <w:rPr>
          <w:rFonts w:ascii="Nunito Sans" w:cs="Nunito Sans" w:eastAsia="Nunito Sans" w:hAnsi="Nunito Sans"/>
          <w:color w:val="102E3B"/>
          <w:sz w:val="20"/>
          <w:szCs w:val="20"/>
          <w:highlight w:val="yellow"/>
        </w:rPr>
        <w:t xml:space="preserve">[y sus financiadores]</w:t>
      </w:r>
      <w:r>
        <w:rPr>
          <w:rFonts w:ascii="Nunito Sans" w:cs="Nunito Sans" w:eastAsia="Nunito Sans" w:hAnsi="Nunito Sans"/>
          <w:color w:val="102E3B"/>
          <w:sz w:val="20"/>
          <w:szCs w:val="20"/>
        </w:rPr>
        <w:t xml:space="preserve"> que la necesiten y estén sujetos a deberes de confidencialidad similares.</w:t>
      </w:r>
    </w:p>
    <w:p>
      <w:pPr>
        <w:pStyle w:val="ListParagraph"/>
        <w:numPr>
          <w:ilvl w:val="0"/>
          <w:numId w:val="14"/>
        </w:numPr>
        <w:spacing w:after="80" w:line="290"/>
      </w:pPr>
      <w:r>
        <w:rPr>
          <w:rFonts w:ascii="Nunito Sans" w:cs="Nunito Sans" w:eastAsia="Nunito Sans" w:hAnsi="Nunito Sans"/>
          <w:color w:val="102E3B"/>
          <w:sz w:val="20"/>
          <w:szCs w:val="20"/>
        </w:rPr>
        <w:t xml:space="preserve">Esta cláusula no cubre la información que se hace pública sin culpa de la parte receptora, ni la que esta ya poseía, desarrolla de forma independiente o recibe lícitamente de un tercero. Una parte puede divulgar lo que exijan la ley o un organismo regulador, informando antes a la otra cuando sea lícito.</w:t>
      </w:r>
    </w:p>
    <w:p>
      <w:pPr>
        <w:pStyle w:val="ListParagraph"/>
        <w:numPr>
          <w:ilvl w:val="0"/>
          <w:numId w:val="14"/>
        </w:numPr>
        <w:spacing w:after="80" w:line="290"/>
      </w:pPr>
      <w:r>
        <w:rPr>
          <w:rFonts w:ascii="Nunito Sans" w:cs="Nunito Sans" w:eastAsia="Nunito Sans" w:hAnsi="Nunito Sans"/>
          <w:color w:val="102E3B"/>
          <w:sz w:val="20"/>
          <w:szCs w:val="20"/>
        </w:rPr>
        <w:t xml:space="preserve">El Cliente puede compartir este contrato y los Entregables con sus financiadores, auditores y organismos reguladores, y publicar los Entregables según lo indicado en el Anexo 1.</w:t>
      </w:r>
    </w:p>
    <w:p>
      <w:pPr>
        <w:pStyle w:val="ListParagraph"/>
        <w:numPr>
          <w:ilvl w:val="0"/>
          <w:numId w:val="14"/>
        </w:numPr>
        <w:spacing w:after="80" w:line="290"/>
      </w:pPr>
      <w:r>
        <w:rPr>
          <w:rFonts w:ascii="Nunito Sans" w:cs="Nunito Sans" w:eastAsia="Nunito Sans" w:hAnsi="Nunito Sans"/>
          <w:color w:val="102E3B"/>
          <w:sz w:val="20"/>
          <w:szCs w:val="20"/>
        </w:rPr>
        <w:t xml:space="preserve">Estos deberes continúan durante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años después de que termine este contrato, y sin límite de tiempo en el caso de los datos personales, la información de salvaguarda y los secretos comerciales.</w:t>
      </w:r>
    </w:p>
    <w:p>
      <w:pPr>
        <w:pStyle w:val="Heading2"/>
        <w:keepNext/>
        <w:spacing w:after="120" w:before="280"/>
      </w:pPr>
      <w:r>
        <w:rPr>
          <w:rFonts w:ascii="DM Serif Display" w:cs="DM Serif Display" w:eastAsia="DM Serif Display" w:hAnsi="DM Serif Display"/>
          <w:color w:val="123C48"/>
          <w:sz w:val="28"/>
          <w:szCs w:val="28"/>
        </w:rPr>
        <w:t xml:space="preserve">12. Protección de datos</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cumplirá la Legislación de Protección de Datos.</w:t>
      </w:r>
    </w:p>
    <w:p>
      <w:pPr>
        <w:pStyle w:val="ListParagraph"/>
        <w:numPr>
          <w:ilvl w:val="0"/>
          <w:numId w:val="15"/>
        </w:numPr>
        <w:spacing w:after="80" w:line="290"/>
      </w:pPr>
      <w:r>
        <w:rPr>
          <w:rFonts w:ascii="Nunito Sans" w:cs="Nunito Sans" w:eastAsia="Nunito Sans" w:hAnsi="Nunito Sans"/>
          <w:color w:val="102E3B"/>
          <w:sz w:val="20"/>
          <w:szCs w:val="20"/>
        </w:rPr>
        <w:t xml:space="preserve">El Anexo 1 indica si el Proveedor tratará datos personales por cuenta del Cliente. Cuando el Proveedor trate datos personales por cuenta del Cliente y siguiendo sus instrucciones, el Proveedor es un encargado del tratamiento y se aplica el Anexo 3.</w:t>
      </w:r>
    </w:p>
    <w:p>
      <w:pPr>
        <w:pStyle w:val="ListParagraph"/>
        <w:numPr>
          <w:ilvl w:val="0"/>
          <w:numId w:val="15"/>
        </w:numPr>
        <w:spacing w:after="80" w:line="290"/>
      </w:pPr>
      <w:r>
        <w:rPr>
          <w:rFonts w:ascii="Nunito Sans" w:cs="Nunito Sans" w:eastAsia="Nunito Sans" w:hAnsi="Nunito Sans"/>
          <w:color w:val="102E3B"/>
          <w:sz w:val="20"/>
          <w:szCs w:val="20"/>
        </w:rPr>
        <w:t xml:space="preserve">Cuando cada parte decida por sí misma por qué y cómo usa datos personales, como los datos de contacto del personal, cada una es un responsable del tratamiento independiente. Ninguna de las partes compartirá datos personales que la otra no necesite.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FUNCIONES EN MATERIA DE PROTECCIÓN DE DATOS</w:t>
            </w:r>
          </w:p>
          <w:p>
            <w:pPr>
              <w:spacing w:after="120" w:before="0" w:line="300"/>
            </w:pPr>
            <w:r>
              <w:rPr>
                <w:rFonts w:ascii="Nunito Sans" w:cs="Nunito Sans" w:eastAsia="Nunito Sans" w:hAnsi="Nunito Sans"/>
                <w:b/>
                <w:bCs/>
                <w:color w:val="102E3B"/>
                <w:sz w:val="19"/>
                <w:szCs w:val="19"/>
              </w:rPr>
              <w:t xml:space="preserve">Un encargado del tratamiento</w:t>
            </w:r>
            <w:r>
              <w:rPr>
                <w:rFonts w:ascii="Nunito Sans" w:cs="Nunito Sans" w:eastAsia="Nunito Sans" w:hAnsi="Nunito Sans"/>
                <w:color w:val="102E3B"/>
                <w:sz w:val="19"/>
                <w:szCs w:val="19"/>
              </w:rPr>
              <w:t xml:space="preserve"> solo sigue instrucciones: por ejemplo, una empresa que aloja tu base de datos, gestiona tus nóminas o transcribe entrevistas que tú has diseñado. La mayoría de las leyes de protección de datos exigen un contrato escrito con el encargado del tratamiento. El artículo 28 del RGPD enumera las cláusulas obligatorias, y el Anexo 3 lo sigue. La POPIA de Sudáfrica (secciones 20 y 21) establece obligaciones similares para el "operator". Consulta tu legislación local sobre los contratos con encargados del tratamiento.</w:t>
            </w:r>
          </w:p>
          <w:p>
            <w:pPr>
              <w:spacing w:after="120" w:before="0" w:line="300"/>
            </w:pPr>
            <w:r>
              <w:rPr>
                <w:rFonts w:ascii="Nunito Sans" w:cs="Nunito Sans" w:eastAsia="Nunito Sans" w:hAnsi="Nunito Sans"/>
                <w:b/>
                <w:bCs/>
                <w:color w:val="102E3B"/>
                <w:sz w:val="19"/>
                <w:szCs w:val="19"/>
              </w:rPr>
              <w:t xml:space="preserve">Un responsable del tratamiento independiente</w:t>
            </w:r>
            <w:r>
              <w:rPr>
                <w:rFonts w:ascii="Nunito Sans" w:cs="Nunito Sans" w:eastAsia="Nunito Sans" w:hAnsi="Nunito Sans"/>
                <w:color w:val="102E3B"/>
                <w:sz w:val="19"/>
                <w:szCs w:val="19"/>
              </w:rPr>
              <w:t xml:space="preserve"> decide sus propios fines: una evaluadora que diseña y publica su propia encuesta puede serlo. Si decidís los fines en conjunto, podéis ser corresponsables del tratamiento, lo que requiere otro tipo de acuerdo. Si tienes dudas, usa el Acuerdo de Intercambio de Datos o pide asesoramiento.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Propiedad intelectual</w:t>
      </w:r>
    </w:p>
    <w:p>
      <w:pPr>
        <w:pStyle w:val="ListParagraph"/>
        <w:numPr>
          <w:ilvl w:val="0"/>
          <w:numId w:val="16"/>
        </w:numPr>
        <w:spacing w:after="80" w:line="290"/>
      </w:pPr>
      <w:r>
        <w:rPr>
          <w:rFonts w:ascii="Nunito Sans" w:cs="Nunito Sans" w:eastAsia="Nunito Sans" w:hAnsi="Nunito Sans"/>
          <w:color w:val="102E3B"/>
          <w:sz w:val="20"/>
          <w:szCs w:val="20"/>
        </w:rPr>
        <w:t xml:space="preserve">Cada parte conserva sus Derechos de Propiedad Intelectual sobre los materiales que existían antes de este contrato o que desarrolle de forma independiente ("Propiedad Intelectual Previa").</w:t>
      </w:r>
    </w:p>
    <w:p>
      <w:pPr>
        <w:pStyle w:val="ListParagraph"/>
        <w:numPr>
          <w:ilvl w:val="0"/>
          <w:numId w:val="16"/>
        </w:numPr>
        <w:spacing w:after="80" w:line="290"/>
      </w:pPr>
      <w:r>
        <w:rPr>
          <w:rFonts w:ascii="Nunito Sans" w:cs="Nunito Sans" w:eastAsia="Nunito Sans" w:hAnsi="Nunito Sans"/>
          <w:b/>
          <w:bCs/>
          <w:color w:val="102E3B"/>
          <w:sz w:val="20"/>
          <w:szCs w:val="20"/>
        </w:rPr>
        <w:t xml:space="preserve">Opción A: el Cliente es titular de los Entregables.</w:t>
      </w:r>
      <w:r>
        <w:rPr>
          <w:rFonts w:ascii="Nunito Sans" w:cs="Nunito Sans" w:eastAsia="Nunito Sans" w:hAnsi="Nunito Sans"/>
          <w:color w:val="102E3B"/>
          <w:sz w:val="20"/>
          <w:szCs w:val="20"/>
        </w:rPr>
        <w:t xml:space="preserve"> Con el </w:t>
      </w:r>
      <w:r>
        <w:rPr>
          <w:rFonts w:ascii="Nunito Sans" w:cs="Nunito Sans" w:eastAsia="Nunito Sans" w:hAnsi="Nunito Sans"/>
          <w:color w:val="102E3B"/>
          <w:sz w:val="20"/>
          <w:szCs w:val="20"/>
          <w:highlight w:val="yellow"/>
        </w:rPr>
        <w:t xml:space="preserve">[pago íntegro de cada Entregable]</w:t>
      </w:r>
      <w:r>
        <w:rPr>
          <w:rFonts w:ascii="Nunito Sans" w:cs="Nunito Sans" w:eastAsia="Nunito Sans" w:hAnsi="Nunito Sans"/>
          <w:color w:val="102E3B"/>
          <w:sz w:val="20"/>
          <w:szCs w:val="20"/>
        </w:rPr>
        <w:t xml:space="preserve">, el Proveedor cede al Cliente todos los Derechos de Propiedad Intelectual sobre los Entregables, excepto la Propiedad Intelectual Previa del Proveedor y los materiales de terceros.</w:t>
      </w:r>
    </w:p>
    <w:p>
      <w:pPr>
        <w:pStyle w:val="ListParagraph"/>
        <w:numPr>
          <w:ilvl w:val="0"/>
          <w:numId w:val="16"/>
        </w:numPr>
        <w:spacing w:after="80" w:line="290"/>
      </w:pPr>
      <w:r>
        <w:rPr>
          <w:rFonts w:ascii="Nunito Sans" w:cs="Nunito Sans" w:eastAsia="Nunito Sans" w:hAnsi="Nunito Sans"/>
          <w:b/>
          <w:bCs/>
          <w:color w:val="102E3B"/>
          <w:sz w:val="20"/>
          <w:szCs w:val="20"/>
        </w:rPr>
        <w:t xml:space="preserve">Opción B: el Proveedor es titular de los Entregables.</w:t>
      </w:r>
      <w:r>
        <w:rPr>
          <w:rFonts w:ascii="Nunito Sans" w:cs="Nunito Sans" w:eastAsia="Nunito Sans" w:hAnsi="Nunito Sans"/>
          <w:color w:val="102E3B"/>
          <w:sz w:val="20"/>
          <w:szCs w:val="20"/>
        </w:rPr>
        <w:t xml:space="preserve"> El Proveedor conserva los Derechos de Propiedad Intelectual sobre los Entregables y concede al Cliente una licencia no exclusiva, mundial, gratuita, perpetua e irrevocable para usarlos, copiarlos, adaptarlos, traducirlos y compartirlos para los fines </w:t>
      </w:r>
      <w:r>
        <w:rPr>
          <w:rFonts w:ascii="Nunito Sans" w:cs="Nunito Sans" w:eastAsia="Nunito Sans" w:hAnsi="Nunito Sans"/>
          <w:color w:val="102E3B"/>
          <w:sz w:val="20"/>
          <w:szCs w:val="20"/>
          <w:highlight w:val="yellow"/>
        </w:rPr>
        <w:t xml:space="preserve">[institucionales y no comerciales]</w:t>
      </w:r>
      <w:r>
        <w:rPr>
          <w:rFonts w:ascii="Nunito Sans" w:cs="Nunito Sans" w:eastAsia="Nunito Sans" w:hAnsi="Nunito Sans"/>
          <w:color w:val="102E3B"/>
          <w:sz w:val="20"/>
          <w:szCs w:val="20"/>
        </w:rPr>
        <w:t xml:space="preserve"> del Cliente, incluso con sus financiadores, socios y comunidades.</w:t>
      </w:r>
    </w:p>
    <w:p>
      <w:pPr>
        <w:pStyle w:val="ListParagraph"/>
        <w:numPr>
          <w:ilvl w:val="0"/>
          <w:numId w:val="16"/>
        </w:numPr>
        <w:spacing w:after="80" w:line="290"/>
      </w:pPr>
      <w:r>
        <w:rPr>
          <w:rFonts w:ascii="Nunito Sans" w:cs="Nunito Sans" w:eastAsia="Nunito Sans" w:hAnsi="Nunito Sans"/>
          <w:color w:val="102E3B"/>
          <w:sz w:val="20"/>
          <w:szCs w:val="20"/>
        </w:rPr>
        <w:t xml:space="preserve">Cuando un Entregable incluya Propiedad Intelectual Previa del Proveedor o materiales de terceros, el Proveedor concede u obtiene una licencia en los términos de la cláusula 13.3 para su uso como parte de él. El Proveedor puede reutilizar sus conocimientos técnicos y herramientas generales, pero no la Información Confidencial del Cliente.</w:t>
      </w:r>
    </w:p>
    <w:p>
      <w:pPr>
        <w:pStyle w:val="ListParagraph"/>
        <w:numPr>
          <w:ilvl w:val="0"/>
          <w:numId w:val="16"/>
        </w:numPr>
        <w:spacing w:after="80" w:line="290"/>
      </w:pPr>
      <w:r>
        <w:rPr>
          <w:rFonts w:ascii="Nunito Sans" w:cs="Nunito Sans" w:eastAsia="Nunito Sans" w:hAnsi="Nunito Sans"/>
          <w:color w:val="102E3B"/>
          <w:sz w:val="20"/>
          <w:szCs w:val="20"/>
        </w:rPr>
        <w:t xml:space="preserve">El Proveedor obtendrá de su Personal los derechos que necesite para esta cláusula y, en la medida en que lo permita la ley, la renuncia a los derechos morales (el derecho de la autora o el autor a ser nombrado y a oponerse a modificaciones). El Cliente reconocerá la autoría al publicar </w:t>
      </w:r>
      <w:r>
        <w:rPr>
          <w:rFonts w:ascii="Nunito Sans" w:cs="Nunito Sans" w:eastAsia="Nunito Sans" w:hAnsi="Nunito Sans"/>
          <w:color w:val="102E3B"/>
          <w:sz w:val="20"/>
          <w:szCs w:val="20"/>
          <w:highlight w:val="yellow"/>
        </w:rPr>
        <w:t xml:space="preserve">[si se le solicita]</w:t>
      </w:r>
      <w:r>
        <w:rPr>
          <w:rFonts w:ascii="Nunito Sans" w:cs="Nunito Sans" w:eastAsia="Nunito Sans" w:hAnsi="Nunito Sans"/>
          <w:color w:val="102E3B"/>
          <w:sz w:val="20"/>
          <w:szCs w:val="20"/>
        </w:rPr>
        <w:t xml:space="preserve">.</w:t>
      </w:r>
    </w:p>
    <w:p>
      <w:pPr>
        <w:pStyle w:val="ListParagraph"/>
        <w:numPr>
          <w:ilvl w:val="0"/>
          <w:numId w:val="16"/>
        </w:numPr>
        <w:spacing w:after="80" w:line="290"/>
      </w:pPr>
      <w:r>
        <w:rPr>
          <w:rFonts w:ascii="Nunito Sans" w:cs="Nunito Sans" w:eastAsia="Nunito Sans" w:hAnsi="Nunito Sans"/>
          <w:color w:val="102E3B"/>
          <w:sz w:val="20"/>
          <w:szCs w:val="20"/>
        </w:rPr>
        <w:t xml:space="preserve">Las imágenes, historias y datos sobre personas recogidos durante los Servicios solo pueden usarse dentro de los límites del consentimiento que dieron esas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ES TITULAR DEL TRABAJO</w:t>
            </w:r>
          </w:p>
          <w:p>
            <w:pPr>
              <w:spacing w:after="120" w:before="0" w:line="300"/>
            </w:pP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la Opción A es la habitual para trabajos a medida que vas a reutilizar. Revisa primero tu acuerdo de subvención: muchos financiadores exigen una licencia para sí mismos, o la publicación en abierto, por ejemplo con una licencia Creative Commons Atribución 4.0 (CC BY 4.0).</w:t>
            </w:r>
          </w:p>
          <w:p>
            <w:pPr>
              <w:spacing w:after="120" w:before="0" w:line="300"/>
            </w:pP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y tienes tus propias herramientas, elige la Opción B, o enumera tus herramientas como Propiedad Intelectual Previa.</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la cesión de derechos de autor normalmente debe constar por escrito y estar firmada. En muchos países de derecho civil, entre ellos Brasil y gran parte de América Latina y de Europa continental, los derechos morales son irrenunciables, por lo que la cláusula 13.5 solo se aplica en la medida en que lo permita la ley. Consulta tu legislación local sobre derechos de autor. Elimina la opción que no uses.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Cumplimiento normativo y conducta</w:t>
      </w:r>
    </w:p>
    <w:p>
      <w:pPr>
        <w:pStyle w:val="ListParagraph"/>
        <w:numPr>
          <w:ilvl w:val="0"/>
          <w:numId w:val="17"/>
        </w:numPr>
        <w:spacing w:after="80" w:line="290"/>
      </w:pPr>
      <w:r>
        <w:rPr>
          <w:rFonts w:ascii="Nunito Sans" w:cs="Nunito Sans" w:eastAsia="Nunito Sans" w:hAnsi="Nunito Sans"/>
          <w:color w:val="102E3B"/>
          <w:sz w:val="20"/>
          <w:szCs w:val="20"/>
        </w:rPr>
        <w:t xml:space="preserve">Cada parte cumplirá todas las leyes aplicables a este contrato, incluidas las relativas al soborno, el blanqueo de capitales, las sanciones, el trabajo, la salud y la seguridad, y la protección de datos.</w:t>
      </w:r>
    </w:p>
    <w:p>
      <w:pPr>
        <w:pStyle w:val="ListParagraph"/>
        <w:numPr>
          <w:ilvl w:val="0"/>
          <w:numId w:val="17"/>
        </w:numPr>
        <w:spacing w:after="80" w:line="290"/>
      </w:pPr>
      <w:r>
        <w:rPr>
          <w:rFonts w:ascii="Nunito Sans" w:cs="Nunito Sans" w:eastAsia="Nunito Sans" w:hAnsi="Nunito Sans"/>
          <w:b/>
          <w:bCs/>
          <w:color w:val="102E3B"/>
          <w:sz w:val="20"/>
          <w:szCs w:val="20"/>
        </w:rPr>
        <w:t xml:space="preserve">Soborno y fraude.</w:t>
      </w:r>
      <w:r>
        <w:rPr>
          <w:rFonts w:ascii="Nunito Sans" w:cs="Nunito Sans" w:eastAsia="Nunito Sans" w:hAnsi="Nunito Sans"/>
          <w:color w:val="102E3B"/>
          <w:sz w:val="20"/>
          <w:szCs w:val="20"/>
        </w:rPr>
        <w:t xml:space="preserve"> Ninguna de las partes, ni su Personal, ofrecerá, dará, solicitará ni aceptará un soborno, un pago de facilitación ni ninguna otra ventaja indebida. Cada parte comunicará a la otra cualquier sospecha de soborno o fraude relacionada con este contrato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Pueden aplicarse leyes con alcance extraterritorial, como la UK Bribery Act 2010 y la US Foreign Corrupt Practices Act.</w:t>
      </w:r>
    </w:p>
    <w:p>
      <w:pPr>
        <w:pStyle w:val="ListParagraph"/>
        <w:numPr>
          <w:ilvl w:val="0"/>
          <w:numId w:val="17"/>
        </w:numPr>
        <w:spacing w:after="80" w:line="290"/>
      </w:pPr>
      <w:r>
        <w:rPr>
          <w:rFonts w:ascii="Nunito Sans" w:cs="Nunito Sans" w:eastAsia="Nunito Sans" w:hAnsi="Nunito Sans"/>
          <w:b/>
          <w:bCs/>
          <w:color w:val="102E3B"/>
          <w:sz w:val="20"/>
          <w:szCs w:val="20"/>
        </w:rPr>
        <w:t xml:space="preserve">Sanciones.</w:t>
      </w:r>
      <w:r>
        <w:rPr>
          <w:rFonts w:ascii="Nunito Sans" w:cs="Nunito Sans" w:eastAsia="Nunito Sans" w:hAnsi="Nunito Sans"/>
          <w:color w:val="102E3B"/>
          <w:sz w:val="20"/>
          <w:szCs w:val="20"/>
        </w:rPr>
        <w:t xml:space="preserve"> Cada parte confirma que ni ella ni sus propietarios, miembros de su órgano de gobierno, Personal clave o subcontratistas figuran en la Lista Consolidada del Consejo de Seguridad de las Naciones Unidas ni en </w:t>
      </w:r>
      <w:r>
        <w:rPr>
          <w:rFonts w:ascii="Nunito Sans" w:cs="Nunito Sans" w:eastAsia="Nunito Sans" w:hAnsi="Nunito Sans"/>
          <w:color w:val="102E3B"/>
          <w:sz w:val="20"/>
          <w:szCs w:val="20"/>
          <w:highlight w:val="yellow"/>
        </w:rPr>
        <w:t xml:space="preserve">[las listas de sanciones de la OFAC de EE. UU., la UE, el Reino Unido o nacionales]</w:t>
      </w:r>
      <w:r>
        <w:rPr>
          <w:rFonts w:ascii="Nunito Sans" w:cs="Nunito Sans" w:eastAsia="Nunito Sans" w:hAnsi="Nunito Sans"/>
          <w:color w:val="102E3B"/>
          <w:sz w:val="20"/>
          <w:szCs w:val="20"/>
        </w:rPr>
        <w:t xml:space="preserve">, y que ningún dinero pagado en virtud de este contrato llegará a nadie que figure en ellas. Cada parte informará a la otra de inmediato si esto cambia.</w:t>
      </w:r>
    </w:p>
    <w:p>
      <w:pPr>
        <w:pStyle w:val="ListParagraph"/>
        <w:numPr>
          <w:ilvl w:val="0"/>
          <w:numId w:val="17"/>
        </w:numPr>
        <w:spacing w:after="80" w:line="290"/>
      </w:pPr>
      <w:r>
        <w:rPr>
          <w:rFonts w:ascii="Nunito Sans" w:cs="Nunito Sans" w:eastAsia="Nunito Sans" w:hAnsi="Nunito Sans"/>
          <w:b/>
          <w:bCs/>
          <w:color w:val="102E3B"/>
          <w:sz w:val="20"/>
          <w:szCs w:val="20"/>
        </w:rPr>
        <w:t xml:space="preserve">Salvaguarda.</w:t>
      </w:r>
      <w:r>
        <w:rPr>
          <w:rFonts w:ascii="Nunito Sans" w:cs="Nunito Sans" w:eastAsia="Nunito Sans" w:hAnsi="Nunito Sans"/>
          <w:color w:val="102E3B"/>
          <w:sz w:val="20"/>
          <w:szCs w:val="20"/>
        </w:rPr>
        <w:t xml:space="preserve"> Cuando el Personal del Proveedor pueda tener contacto con niñas, niños o personas adultas en riesgo, o con sus datos, seguirá </w:t>
      </w:r>
      <w:r>
        <w:rPr>
          <w:rFonts w:ascii="Nunito Sans" w:cs="Nunito Sans" w:eastAsia="Nunito Sans" w:hAnsi="Nunito Sans"/>
          <w:color w:val="102E3B"/>
          <w:sz w:val="20"/>
          <w:szCs w:val="20"/>
          <w:highlight w:val="yellow"/>
        </w:rPr>
        <w:t xml:space="preserve">[la Política y Procedimiento de Salvaguarda del Cliente / la política propia del Proveedor, si es al menos igual de protectora]</w:t>
      </w:r>
      <w:r>
        <w:rPr>
          <w:rFonts w:ascii="Nunito Sans" w:cs="Nunito Sans" w:eastAsia="Nunito Sans" w:hAnsi="Nunito Sans"/>
          <w:color w:val="102E3B"/>
          <w:sz w:val="20"/>
          <w:szCs w:val="20"/>
        </w:rPr>
        <w:t xml:space="preserve">, incluidos los seis principios fundamentales del Comité Permanente entre Organismos (IASC) sobre explotación y abuso sexuales. El Proveedor comprobará la idoneidad de ese Personal </w:t>
      </w:r>
      <w:r>
        <w:rPr>
          <w:rFonts w:ascii="Nunito Sans" w:cs="Nunito Sans" w:eastAsia="Nunito Sans" w:hAnsi="Nunito Sans"/>
          <w:color w:val="102E3B"/>
          <w:sz w:val="20"/>
          <w:szCs w:val="20"/>
          <w:highlight w:val="yellow"/>
        </w:rPr>
        <w:t xml:space="preserve">[con referencias y, cuando sea lícito, comprobaciones de antecedentes penales y del Misconduct Disclosure Scheme]</w:t>
      </w:r>
      <w:r>
        <w:rPr>
          <w:rFonts w:ascii="Nunito Sans" w:cs="Nunito Sans" w:eastAsia="Nunito Sans" w:hAnsi="Nunito Sans"/>
          <w:color w:val="102E3B"/>
          <w:sz w:val="20"/>
          <w:szCs w:val="20"/>
        </w:rPr>
        <w:t xml:space="preserve">. Cada parte comunicará a la otra cualquier inquietud de salvaguarda relacionada con este contrato,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b/>
          <w:bCs/>
          <w:color w:val="102E3B"/>
          <w:sz w:val="20"/>
          <w:szCs w:val="20"/>
        </w:rPr>
        <w:t xml:space="preserve">Conducta.</w:t>
      </w:r>
      <w:r>
        <w:rPr>
          <w:rFonts w:ascii="Nunito Sans" w:cs="Nunito Sans" w:eastAsia="Nunito Sans" w:hAnsi="Nunito Sans"/>
          <w:color w:val="102E3B"/>
          <w:sz w:val="20"/>
          <w:szCs w:val="20"/>
        </w:rPr>
        <w:t xml:space="preserve"> El Personal del Proveedor seguirá </w:t>
      </w:r>
      <w:r>
        <w:rPr>
          <w:rFonts w:ascii="Nunito Sans" w:cs="Nunito Sans" w:eastAsia="Nunito Sans" w:hAnsi="Nunito Sans"/>
          <w:color w:val="102E3B"/>
          <w:sz w:val="20"/>
          <w:szCs w:val="20"/>
          <w:highlight w:val="yellow"/>
        </w:rPr>
        <w:t xml:space="preserve">[el Código de Conducta del Cliente]</w:t>
      </w:r>
      <w:r>
        <w:rPr>
          <w:rFonts w:ascii="Nunito Sans" w:cs="Nunito Sans" w:eastAsia="Nunito Sans" w:hAnsi="Nunito Sans"/>
          <w:color w:val="102E3B"/>
          <w:sz w:val="20"/>
          <w:szCs w:val="20"/>
        </w:rPr>
        <w:t xml:space="preserve"> y declarará cualquier conflicto de interés. El Proveedor no recurrirá al trabajo forzoso ni al trabajo infantil.</w:t>
      </w:r>
    </w:p>
    <w:p>
      <w:pPr>
        <w:pStyle w:val="ListParagraph"/>
        <w:numPr>
          <w:ilvl w:val="0"/>
          <w:numId w:val="17"/>
        </w:numPr>
        <w:spacing w:after="80" w:line="290"/>
      </w:pPr>
      <w:r>
        <w:rPr>
          <w:rFonts w:ascii="Nunito Sans" w:cs="Nunito Sans" w:eastAsia="Nunito Sans" w:hAnsi="Nunito Sans"/>
          <w:b/>
          <w:bCs/>
          <w:color w:val="102E3B"/>
          <w:sz w:val="20"/>
          <w:szCs w:val="20"/>
        </w:rPr>
        <w:t xml:space="preserve">Registros y auditoría.</w:t>
      </w:r>
      <w:r>
        <w:rPr>
          <w:rFonts w:ascii="Nunito Sans" w:cs="Nunito Sans" w:eastAsia="Nunito Sans" w:hAnsi="Nunito Sans"/>
          <w:color w:val="102E3B"/>
          <w:sz w:val="20"/>
          <w:szCs w:val="20"/>
        </w:rPr>
        <w:t xml:space="preserve"> El Proveedor llevará registros exactos de los Servicios, el tiempo y los gastos durante </w:t>
      </w:r>
      <w:r>
        <w:rPr>
          <w:rFonts w:ascii="Nunito Sans" w:cs="Nunito Sans" w:eastAsia="Nunito Sans" w:hAnsi="Nunito Sans"/>
          <w:color w:val="102E3B"/>
          <w:sz w:val="20"/>
          <w:szCs w:val="20"/>
          <w:highlight w:val="yellow"/>
        </w:rPr>
        <w:t xml:space="preserve">[6]</w:t>
      </w:r>
      <w:r>
        <w:rPr>
          <w:rFonts w:ascii="Nunito Sans" w:cs="Nunito Sans" w:eastAsia="Nunito Sans" w:hAnsi="Nunito Sans"/>
          <w:color w:val="102E3B"/>
          <w:sz w:val="20"/>
          <w:szCs w:val="20"/>
        </w:rPr>
        <w:t xml:space="preserve"> años después de que termine este contrato, y permitirá que el Cliente, </w:t>
      </w:r>
      <w:r>
        <w:rPr>
          <w:rFonts w:ascii="Nunito Sans" w:cs="Nunito Sans" w:eastAsia="Nunito Sans" w:hAnsi="Nunito Sans"/>
          <w:color w:val="102E3B"/>
          <w:sz w:val="20"/>
          <w:szCs w:val="20"/>
          <w:highlight w:val="yellow"/>
        </w:rPr>
        <w:t xml:space="preserve">[sus financiadores]</w:t>
      </w:r>
      <w:r>
        <w:rPr>
          <w:rFonts w:ascii="Nunito Sans" w:cs="Nunito Sans" w:eastAsia="Nunito Sans" w:hAnsi="Nunito Sans"/>
          <w:color w:val="102E3B"/>
          <w:sz w:val="20"/>
          <w:szCs w:val="20"/>
        </w:rPr>
        <w:t xml:space="preserve"> y sus auditores los inspeccionen con un preaviso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w:t>
      </w:r>
    </w:p>
    <w:p>
      <w:pPr>
        <w:pStyle w:val="ListParagraph"/>
        <w:numPr>
          <w:ilvl w:val="0"/>
          <w:numId w:val="17"/>
        </w:numPr>
        <w:spacing w:after="80" w:line="290"/>
      </w:pPr>
      <w:r>
        <w:rPr>
          <w:rFonts w:ascii="Nunito Sans" w:cs="Nunito Sans" w:eastAsia="Nunito Sans" w:hAnsi="Nunito Sans"/>
          <w:color w:val="102E3B"/>
          <w:sz w:val="20"/>
          <w:szCs w:val="20"/>
        </w:rPr>
        <w:t xml:space="preserve">Un incumplimiento grave de esta cláusula es un incumplimiento sustancial que no puede subsanarse, a los efectos de la cláusula 19.3.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CLÁUSULAS DE CUMPLIMIENTO NORMATIVO</w:t>
            </w:r>
          </w:p>
          <w:p>
            <w:pPr>
              <w:spacing w:after="120" w:before="0" w:line="300"/>
            </w:pPr>
            <w:r>
              <w:rPr>
                <w:rFonts w:ascii="Nunito Sans" w:cs="Nunito Sans" w:eastAsia="Nunito Sans" w:hAnsi="Nunito Sans"/>
                <w:color w:val="102E3B"/>
                <w:sz w:val="19"/>
                <w:szCs w:val="19"/>
              </w:rPr>
              <w:t xml:space="preserve">Mantén esta cláusula recíproca. </w:t>
            </w: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comparte antes de firmar las políticas que mencionas, y revisa tu acuerdo de subvención para identificar las cláusulas que debes trasladar, como los derechos de auditoría o listas de sanciones concretas: cópialas con exactitud.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comprueba que puedes cumplir las obligaciones de comprobación, comunicación y auditoría. En algunos países no es posible obtener certificados de antecedentes penales o su obtención está restringida: usa lo que sea lícito en el ámbito local y pide siempre referencias. Deja constancia del control de sanciones según explica la Política de Debida Diligencia de Socios y Control de Sanciones.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Responsabilidad</w:t>
      </w:r>
    </w:p>
    <w:p>
      <w:pPr>
        <w:pStyle w:val="ListParagraph"/>
        <w:numPr>
          <w:ilvl w:val="0"/>
          <w:numId w:val="18"/>
        </w:numPr>
        <w:spacing w:after="80" w:line="290"/>
      </w:pPr>
      <w:r>
        <w:rPr>
          <w:rFonts w:ascii="Nunito Sans" w:cs="Nunito Sans" w:eastAsia="Nunito Sans" w:hAnsi="Nunito Sans"/>
          <w:color w:val="102E3B"/>
          <w:sz w:val="20"/>
          <w:szCs w:val="20"/>
        </w:rPr>
        <w:t xml:space="preserve">Nada de lo dispuesto en este contrato limita la responsabilidad por muerte o lesiones personales causadas por negligencia, por fraude, por </w:t>
      </w:r>
      <w:r>
        <w:rPr>
          <w:rFonts w:ascii="Nunito Sans" w:cs="Nunito Sans" w:eastAsia="Nunito Sans" w:hAnsi="Nunito Sans"/>
          <w:color w:val="102E3B"/>
          <w:sz w:val="20"/>
          <w:szCs w:val="20"/>
          <w:highlight w:val="yellow"/>
        </w:rPr>
        <w:t xml:space="preserve">[dolo o conducta dolosa]</w:t>
      </w:r>
      <w:r>
        <w:rPr>
          <w:rFonts w:ascii="Nunito Sans" w:cs="Nunito Sans" w:eastAsia="Nunito Sans" w:hAnsi="Nunito Sans"/>
          <w:color w:val="102E3B"/>
          <w:sz w:val="20"/>
          <w:szCs w:val="20"/>
        </w:rPr>
        <w:t xml:space="preserve">, ni por nada que no pueda limitarse por ley.</w:t>
      </w:r>
    </w:p>
    <w:p>
      <w:pPr>
        <w:pStyle w:val="ListParagraph"/>
        <w:numPr>
          <w:ilvl w:val="0"/>
          <w:numId w:val="18"/>
        </w:numPr>
        <w:spacing w:after="80" w:line="290"/>
      </w:pPr>
      <w:r>
        <w:rPr>
          <w:rFonts w:ascii="Nunito Sans" w:cs="Nunito Sans" w:eastAsia="Nunito Sans" w:hAnsi="Nunito Sans"/>
          <w:color w:val="102E3B"/>
          <w:sz w:val="20"/>
          <w:szCs w:val="20"/>
        </w:rPr>
        <w:t xml:space="preserve">Ninguna de las partes es responsable del lucro cesante, la pérdida de ingresos o de fondo de comercio, ni de daños indirectos o consecuentes, </w:t>
      </w:r>
      <w:r>
        <w:rPr>
          <w:rFonts w:ascii="Nunito Sans" w:cs="Nunito Sans" w:eastAsia="Nunito Sans" w:hAnsi="Nunito Sans"/>
          <w:color w:val="102E3B"/>
          <w:sz w:val="20"/>
          <w:szCs w:val="20"/>
          <w:highlight w:val="yellow"/>
        </w:rPr>
        <w:t xml:space="preserve">[salvo que el Cliente podrá recuperar cualquier importe que deba reembolsar a un financiador como consecuencia directa del incumplimiento del Proveedor]</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Sin perjuicio de las cláusulas 15.1 y 15.4, la responsabilidad total de cada parte en virtud de este contrato se limita al </w:t>
      </w:r>
      <w:r>
        <w:rPr>
          <w:rFonts w:ascii="Nunito Sans" w:cs="Nunito Sans" w:eastAsia="Nunito Sans" w:hAnsi="Nunito Sans"/>
          <w:color w:val="102E3B"/>
          <w:sz w:val="20"/>
          <w:szCs w:val="20"/>
          <w:highlight w:val="yellow"/>
        </w:rPr>
        <w:t xml:space="preserve">[100 % / 150 %]</w:t>
      </w:r>
      <w:r>
        <w:rPr>
          <w:rFonts w:ascii="Nunito Sans" w:cs="Nunito Sans" w:eastAsia="Nunito Sans" w:hAnsi="Nunito Sans"/>
          <w:color w:val="102E3B"/>
          <w:sz w:val="20"/>
          <w:szCs w:val="20"/>
        </w:rPr>
        <w:t xml:space="preserve"> del Precio total pagado y pendiente de pago.</w:t>
      </w:r>
    </w:p>
    <w:p>
      <w:pPr>
        <w:pStyle w:val="ListParagraph"/>
        <w:numPr>
          <w:ilvl w:val="0"/>
          <w:numId w:val="18"/>
        </w:numPr>
        <w:spacing w:after="80" w:line="290"/>
      </w:pPr>
      <w:r>
        <w:rPr>
          <w:rFonts w:ascii="Nunito Sans" w:cs="Nunito Sans" w:eastAsia="Nunito Sans" w:hAnsi="Nunito Sans"/>
          <w:color w:val="102E3B"/>
          <w:sz w:val="20"/>
          <w:szCs w:val="20"/>
        </w:rPr>
        <w:t xml:space="preserve">Este límite no se aplica a la obligación del Cliente de pagar el Precio. </w:t>
      </w:r>
      <w:r>
        <w:rPr>
          <w:rFonts w:ascii="Nunito Sans" w:cs="Nunito Sans" w:eastAsia="Nunito Sans" w:hAnsi="Nunito Sans"/>
          <w:color w:val="102E3B"/>
          <w:sz w:val="20"/>
          <w:szCs w:val="20"/>
          <w:highlight w:val="yellow"/>
        </w:rPr>
        <w:t xml:space="preserve">[En caso de incumplimiento de la cláusula 11 o de la cláusula 12 y del Anexo 3, el límite es de importe y moneda.]</w:t>
      </w:r>
    </w:p>
    <w:p>
      <w:pPr>
        <w:pStyle w:val="Heading2"/>
        <w:keepNext/>
        <w:spacing w:after="120" w:before="280"/>
      </w:pPr>
      <w:r>
        <w:rPr>
          <w:rFonts w:ascii="DM Serif Display" w:cs="DM Serif Display" w:eastAsia="DM Serif Display" w:hAnsi="DM Serif Display"/>
          <w:color w:val="123C48"/>
          <w:sz w:val="28"/>
          <w:szCs w:val="28"/>
        </w:rPr>
        <w:t xml:space="preserve">16. Indemnizaciones</w:t>
      </w:r>
    </w:p>
    <w:p>
      <w:pPr>
        <w:pStyle w:val="ListParagraph"/>
        <w:numPr>
          <w:ilvl w:val="0"/>
          <w:numId w:val="19"/>
        </w:numPr>
        <w:spacing w:after="80" w:line="290"/>
      </w:pPr>
      <w:r>
        <w:rPr>
          <w:rFonts w:ascii="Nunito Sans" w:cs="Nunito Sans" w:eastAsia="Nunito Sans" w:hAnsi="Nunito Sans"/>
          <w:color w:val="102E3B"/>
          <w:sz w:val="20"/>
          <w:szCs w:val="20"/>
        </w:rPr>
        <w:t xml:space="preserve">El Proveedor indemnizará al Cliente por las pérdidas, los costos y los honorarios jurídicos razonables derivados de cualquier reclamación de un tercero según la cual un Entregable infringe sus Derechos de Propiedad Intelectual, salvo cuando la reclamación se deba a materiales o modificaciones del Cliente.</w:t>
      </w:r>
    </w:p>
    <w:p>
      <w:pPr>
        <w:pStyle w:val="ListParagraph"/>
        <w:numPr>
          <w:ilvl w:val="0"/>
          <w:numId w:val="19"/>
        </w:numPr>
        <w:spacing w:after="80" w:line="290"/>
      </w:pPr>
      <w:r>
        <w:rPr>
          <w:rFonts w:ascii="Nunito Sans" w:cs="Nunito Sans" w:eastAsia="Nunito Sans" w:hAnsi="Nunito Sans"/>
          <w:color w:val="102E3B"/>
          <w:sz w:val="20"/>
          <w:szCs w:val="20"/>
          <w:highlight w:val="yellow"/>
        </w:rPr>
        <w:t xml:space="preserve">[Opcional: El Proveedor indemnizará al Cliente por las reclamaciones de terceros por lesiones personales o daños materiales causados por la negligencia del Personal del Proveedor.]</w:t>
      </w:r>
    </w:p>
    <w:p>
      <w:pPr>
        <w:pStyle w:val="ListParagraph"/>
        <w:numPr>
          <w:ilvl w:val="0"/>
          <w:numId w:val="19"/>
        </w:numPr>
        <w:spacing w:after="80" w:line="290"/>
      </w:pPr>
      <w:r>
        <w:rPr>
          <w:rFonts w:ascii="Nunito Sans" w:cs="Nunito Sans" w:eastAsia="Nunito Sans" w:hAnsi="Nunito Sans"/>
          <w:color w:val="102E3B"/>
          <w:sz w:val="20"/>
          <w:szCs w:val="20"/>
        </w:rPr>
        <w:t xml:space="preserve">La parte que reclame en virtud de una indemnización debe informar con prontitud a la otra, no admitir responsabilidad y dejar que la otra dirija la defensa.</w:t>
      </w:r>
    </w:p>
    <w:p>
      <w:pPr>
        <w:pStyle w:val="ListParagraph"/>
        <w:numPr>
          <w:ilvl w:val="0"/>
          <w:numId w:val="19"/>
        </w:numPr>
        <w:spacing w:after="80" w:line="290"/>
      </w:pPr>
      <w:r>
        <w:rPr>
          <w:rFonts w:ascii="Nunito Sans" w:cs="Nunito Sans" w:eastAsia="Nunito Sans" w:hAnsi="Nunito Sans"/>
          <w:color w:val="102E3B"/>
          <w:sz w:val="20"/>
          <w:szCs w:val="20"/>
        </w:rPr>
        <w:t xml:space="preserve">Estas indemnizaciones están sujetas al límite de la cláusula 15.3.</w:t>
      </w:r>
    </w:p>
    <w:p>
      <w:pPr>
        <w:pStyle w:val="Heading2"/>
        <w:keepNext/>
        <w:spacing w:after="120" w:before="280"/>
      </w:pPr>
      <w:r>
        <w:rPr>
          <w:rFonts w:ascii="DM Serif Display" w:cs="DM Serif Display" w:eastAsia="DM Serif Display" w:hAnsi="DM Serif Display"/>
          <w:color w:val="123C48"/>
          <w:sz w:val="28"/>
          <w:szCs w:val="28"/>
        </w:rPr>
        <w:t xml:space="preserve">17. Seguros</w:t>
      </w:r>
    </w:p>
    <w:p>
      <w:pPr>
        <w:pStyle w:val="ListParagraph"/>
        <w:numPr>
          <w:ilvl w:val="0"/>
          <w:numId w:val="20"/>
        </w:numPr>
        <w:spacing w:after="80" w:line="290"/>
      </w:pPr>
      <w:r>
        <w:rPr>
          <w:rFonts w:ascii="Nunito Sans" w:cs="Nunito Sans" w:eastAsia="Nunito Sans" w:hAnsi="Nunito Sans"/>
          <w:color w:val="102E3B"/>
          <w:sz w:val="20"/>
          <w:szCs w:val="20"/>
        </w:rPr>
        <w:t xml:space="preserve">Durante la vigencia de este contrato y durante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años después, el Proveedor mantendrá un seguro de responsabilidad civil profesional de al menos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por reclamación, un seguro de responsabilidad civil general de al menos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 cualquier seguro que exija la ley para su personal empleado. Lo acreditará cuando se le solicite.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RESPONSABILIDAD, INDEMNIZACIONES Y SEGUROS</w:t>
            </w:r>
          </w:p>
          <w:p>
            <w:pPr>
              <w:spacing w:after="120" w:before="0" w:line="300"/>
            </w:pPr>
            <w:r>
              <w:rPr>
                <w:rFonts w:ascii="Nunito Sans" w:cs="Nunito Sans" w:eastAsia="Nunito Sans" w:hAnsi="Nunito Sans"/>
                <w:b/>
                <w:bCs/>
                <w:color w:val="102E3B"/>
                <w:sz w:val="19"/>
                <w:szCs w:val="19"/>
              </w:rPr>
              <w:t xml:space="preserve">El límite:</w:t>
            </w:r>
            <w:r>
              <w:rPr>
                <w:rFonts w:ascii="Nunito Sans" w:cs="Nunito Sans" w:eastAsia="Nunito Sans" w:hAnsi="Nunito Sans"/>
                <w:color w:val="102E3B"/>
                <w:sz w:val="19"/>
                <w:szCs w:val="19"/>
              </w:rPr>
              <w:t xml:space="preserve"> el 100 % de los honorarios es habitual en contratos pequeños; los clientes que se juegan más pueden pedir un 150–200 %. </w:t>
            </w: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mantén la redacción sobre el reembolso al financiador de la cláusula 15.2: de lo contrario, una subvención que debas devolver podría considerarse "pérdida de ingresos" excluida. </w:t>
            </w: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nunca aceptes una responsabilidad ilimitada, y ajusta el límite a tu seguro.</w:t>
            </w:r>
          </w:p>
          <w:p>
            <w:pPr>
              <w:spacing w:after="120" w:before="0" w:line="300"/>
            </w:pPr>
            <w:r>
              <w:rPr>
                <w:rFonts w:ascii="Nunito Sans" w:cs="Nunito Sans" w:eastAsia="Nunito Sans" w:hAnsi="Nunito Sans"/>
                <w:b/>
                <w:bCs/>
                <w:color w:val="102E3B"/>
                <w:sz w:val="19"/>
                <w:szCs w:val="19"/>
              </w:rPr>
              <w:t xml:space="preserve">Las indemnizaciones</w:t>
            </w:r>
            <w:r>
              <w:rPr>
                <w:rFonts w:ascii="Nunito Sans" w:cs="Nunito Sans" w:eastAsia="Nunito Sans" w:hAnsi="Nunito Sans"/>
                <w:color w:val="102E3B"/>
                <w:sz w:val="19"/>
                <w:szCs w:val="19"/>
              </w:rPr>
              <w:t xml:space="preserve"> son promesas de pagar pérdidas concretas, a menudo con independencia de que pudieran reclamarse como daños y perjuicios, por lo que pueden costar mucho más de lo que vale el contrato. Mantenlas acotadas y dentro del límite. Rechaza fórmulas como "indemnizar por todas las pérdidas derivadas de este contrato", y comprueba si tu seguro cubre la responsabilidad asumida por contrato: a menudo no la cubre. Si un proveedor pequeño no puede contratar un seguro de responsabilidad civil profesional, reduce o elimina la cláusula 17.</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en el Reino Unido, las limitaciones incluidas en condiciones comerciales estándar deben superar la prueba de razonabilidad de la Unfair Contract Terms Act 1977. En muchos países de derecho civil, la responsabilidad por dolo o negligencia grave no puede limitarse, y las indemnizaciones pueden tratarse de forma distinta que en los contratos de estilo inglés. Consulta tu legislación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18. Personal y subcontratación</w:t>
      </w:r>
    </w:p>
    <w:p>
      <w:pPr>
        <w:pStyle w:val="ListParagraph"/>
        <w:numPr>
          <w:ilvl w:val="0"/>
          <w:numId w:val="21"/>
        </w:numPr>
        <w:spacing w:after="80" w:line="290"/>
      </w:pPr>
      <w:r>
        <w:rPr>
          <w:rFonts w:ascii="Nunito Sans" w:cs="Nunito Sans" w:eastAsia="Nunito Sans" w:hAnsi="Nunito Sans"/>
          <w:color w:val="102E3B"/>
          <w:sz w:val="20"/>
          <w:szCs w:val="20"/>
        </w:rPr>
        <w:t xml:space="preserve">El Proveedor es un contratista independiente. Este contrato no crea ninguna relación laboral, sociedad, agencia ni empresa conjunta. Solo el Proveedor es responsable de la remuneración, los impuestos, la seguridad social, los seguros y las prestaciones de su Personal.</w:t>
      </w:r>
    </w:p>
    <w:p>
      <w:pPr>
        <w:pStyle w:val="ListParagraph"/>
        <w:numPr>
          <w:ilvl w:val="0"/>
          <w:numId w:val="21"/>
        </w:numPr>
        <w:spacing w:after="80" w:line="290"/>
      </w:pPr>
      <w:r>
        <w:rPr>
          <w:rFonts w:ascii="Nunito Sans" w:cs="Nunito Sans" w:eastAsia="Nunito Sans" w:hAnsi="Nunito Sans"/>
          <w:color w:val="102E3B"/>
          <w:sz w:val="20"/>
          <w:szCs w:val="20"/>
        </w:rPr>
        <w:t xml:space="preserve">El Proveedor no subcontratará ninguna parte de los Servicios sin el consentimiento previo y por escrito del Cliente. Sigue siendo responsable de sus subcontratistas y les trasladará las obligaciones de las cláusulas 11 a 14.</w:t>
      </w:r>
    </w:p>
    <w:p>
      <w:pPr>
        <w:pStyle w:val="Heading2"/>
        <w:keepNext/>
        <w:spacing w:after="120" w:before="280"/>
      </w:pPr>
      <w:r>
        <w:rPr>
          <w:rFonts w:ascii="DM Serif Display" w:cs="DM Serif Display" w:eastAsia="DM Serif Display" w:hAnsi="DM Serif Display"/>
          <w:color w:val="123C48"/>
          <w:sz w:val="28"/>
          <w:szCs w:val="28"/>
        </w:rPr>
        <w:t xml:space="preserve">19. Fuerza mayor y resolución</w:t>
      </w:r>
    </w:p>
    <w:p>
      <w:pPr>
        <w:pStyle w:val="ListParagraph"/>
        <w:numPr>
          <w:ilvl w:val="0"/>
          <w:numId w:val="22"/>
        </w:numPr>
        <w:spacing w:after="80" w:line="290"/>
      </w:pPr>
      <w:r>
        <w:rPr>
          <w:rFonts w:ascii="Nunito Sans" w:cs="Nunito Sans" w:eastAsia="Nunito Sans" w:hAnsi="Nunito Sans"/>
          <w:b/>
          <w:bCs/>
          <w:color w:val="102E3B"/>
          <w:sz w:val="20"/>
          <w:szCs w:val="20"/>
        </w:rPr>
        <w:t xml:space="preserve">Fuerza mayor.</w:t>
      </w:r>
      <w:r>
        <w:rPr>
          <w:rFonts w:ascii="Nunito Sans" w:cs="Nunito Sans" w:eastAsia="Nunito Sans" w:hAnsi="Nunito Sans"/>
          <w:color w:val="102E3B"/>
          <w:sz w:val="20"/>
          <w:szCs w:val="20"/>
        </w:rPr>
        <w:t xml:space="preserve"> Ninguna de las partes incurre en incumplimiento por un retraso causado por hechos que escapen a su control razonable, como catástrofes naturales, epidemias, guerras, disturbios civiles o actuaciones de las autoridades, pero no por falta de dinero. La parte afectada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y limitará el efecto; los plazos se prorrogan en consecuencia. Si el hecho dura más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 cualquiera de las partes puede resolver este contrato con un preaviso por escrito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w:t>
      </w:r>
    </w:p>
    <w:p>
      <w:pPr>
        <w:pStyle w:val="ListParagraph"/>
        <w:numPr>
          <w:ilvl w:val="0"/>
          <w:numId w:val="22"/>
        </w:numPr>
        <w:spacing w:after="80" w:line="290"/>
      </w:pPr>
      <w:r>
        <w:rPr>
          <w:rFonts w:ascii="Nunito Sans" w:cs="Nunito Sans" w:eastAsia="Nunito Sans" w:hAnsi="Nunito Sans"/>
          <w:b/>
          <w:bCs/>
          <w:color w:val="102E3B"/>
          <w:sz w:val="20"/>
          <w:szCs w:val="20"/>
        </w:rPr>
        <w:t xml:space="preserve">Por conveniencia.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[Cualquiera de las partes / El Cliente]</w:t>
      </w:r>
      <w:r>
        <w:rPr>
          <w:rFonts w:ascii="Nunito Sans" w:cs="Nunito Sans" w:eastAsia="Nunito Sans" w:hAnsi="Nunito Sans"/>
          <w:color w:val="102E3B"/>
          <w:sz w:val="20"/>
          <w:szCs w:val="20"/>
        </w:rPr>
        <w:t xml:space="preserve"> puede resolver este contrato con un preaviso por escrito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w:t>
      </w:r>
    </w:p>
    <w:p>
      <w:pPr>
        <w:pStyle w:val="ListParagraph"/>
        <w:numPr>
          <w:ilvl w:val="0"/>
          <w:numId w:val="22"/>
        </w:numPr>
        <w:spacing w:after="80" w:line="290"/>
      </w:pPr>
      <w:r>
        <w:rPr>
          <w:rFonts w:ascii="Nunito Sans" w:cs="Nunito Sans" w:eastAsia="Nunito Sans" w:hAnsi="Nunito Sans"/>
          <w:b/>
          <w:bCs/>
          <w:color w:val="102E3B"/>
          <w:sz w:val="20"/>
          <w:szCs w:val="20"/>
        </w:rPr>
        <w:t xml:space="preserve">Por causa justificada.</w:t>
      </w:r>
      <w:r>
        <w:rPr>
          <w:rFonts w:ascii="Nunito Sans" w:cs="Nunito Sans" w:eastAsia="Nunito Sans" w:hAnsi="Nunito Sans"/>
          <w:color w:val="102E3B"/>
          <w:sz w:val="20"/>
          <w:szCs w:val="20"/>
        </w:rPr>
        <w:t xml:space="preserve"> Cualquiera de las partes puede resolver este contrato de inmediato mediante notificación por escrito si la otra parte:</w:t>
      </w:r>
    </w:p>
    <w:p>
      <w:pPr>
        <w:pStyle w:val="ListParagraph"/>
        <w:numPr>
          <w:ilvl w:val="1"/>
          <w:numId w:val="22"/>
        </w:numPr>
        <w:spacing w:after="80" w:line="290"/>
      </w:pPr>
      <w:r>
        <w:rPr>
          <w:rFonts w:ascii="Nunito Sans" w:cs="Nunito Sans" w:eastAsia="Nunito Sans" w:hAnsi="Nunito Sans"/>
          <w:color w:val="102E3B"/>
          <w:sz w:val="20"/>
          <w:szCs w:val="20"/>
        </w:rPr>
        <w:t xml:space="preserve">comete un incumplimiento sustancial que no puede subsanarse, o que no subsana en un plazo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desde la notificación por escrito;</w:t>
      </w:r>
    </w:p>
    <w:p>
      <w:pPr>
        <w:pStyle w:val="ListParagraph"/>
        <w:numPr>
          <w:ilvl w:val="1"/>
          <w:numId w:val="22"/>
        </w:numPr>
        <w:spacing w:after="80" w:line="290"/>
      </w:pPr>
      <w:r>
        <w:rPr>
          <w:rFonts w:ascii="Nunito Sans" w:cs="Nunito Sans" w:eastAsia="Nunito Sans" w:hAnsi="Nunito Sans"/>
          <w:color w:val="102E3B"/>
          <w:sz w:val="20"/>
          <w:szCs w:val="20"/>
        </w:rPr>
        <w:t xml:space="preserve">es declarada insolvente, entra en liquidación, se da de baja del registro o cesa su actividad; o</w:t>
      </w:r>
    </w:p>
    <w:p>
      <w:pPr>
        <w:pStyle w:val="ListParagraph"/>
        <w:numPr>
          <w:ilvl w:val="1"/>
          <w:numId w:val="22"/>
        </w:numPr>
        <w:spacing w:after="80" w:line="290"/>
      </w:pPr>
      <w:r>
        <w:rPr>
          <w:rFonts w:ascii="Nunito Sans" w:cs="Nunito Sans" w:eastAsia="Nunito Sans" w:hAnsi="Nunito Sans"/>
          <w:color w:val="102E3B"/>
          <w:sz w:val="20"/>
          <w:szCs w:val="20"/>
        </w:rPr>
        <w:t xml:space="preserve">comete un incumplimiento grave de la cláusula 14.</w:t>
      </w:r>
    </w:p>
    <w:p>
      <w:pPr>
        <w:pStyle w:val="ListParagraph"/>
        <w:numPr>
          <w:ilvl w:val="0"/>
          <w:numId w:val="22"/>
        </w:numPr>
        <w:spacing w:after="80" w:line="290"/>
      </w:pPr>
      <w:r>
        <w:rPr>
          <w:rFonts w:ascii="Nunito Sans" w:cs="Nunito Sans" w:eastAsia="Nunito Sans" w:hAnsi="Nunito Sans"/>
          <w:b/>
          <w:bCs/>
          <w:color w:val="102E3B"/>
          <w:sz w:val="20"/>
          <w:szCs w:val="20"/>
        </w:rPr>
        <w:t xml:space="preserve">Pérdida de financiación.</w:t>
      </w:r>
      <w:r>
        <w:rPr>
          <w:rFonts w:ascii="Nunito Sans" w:cs="Nunito Sans" w:eastAsia="Nunito Sans" w:hAnsi="Nunito Sans"/>
          <w:color w:val="102E3B"/>
          <w:sz w:val="20"/>
          <w:szCs w:val="20"/>
        </w:rPr>
        <w:t xml:space="preserve"> Si la financiación del Cliente para los Servicios se retira, se suspende o se reduce, el Cliente puede resolver este contrato o reducir los Servicios con un preaviso por escrito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w:t>
      </w:r>
    </w:p>
    <w:p>
      <w:pPr>
        <w:pStyle w:val="ListParagraph"/>
        <w:numPr>
          <w:ilvl w:val="0"/>
          <w:numId w:val="22"/>
        </w:numPr>
        <w:spacing w:after="80" w:line="290"/>
      </w:pPr>
      <w:r>
        <w:rPr>
          <w:rFonts w:ascii="Nunito Sans" w:cs="Nunito Sans" w:eastAsia="Nunito Sans" w:hAnsi="Nunito Sans"/>
          <w:b/>
          <w:bCs/>
          <w:color w:val="102E3B"/>
          <w:sz w:val="20"/>
          <w:szCs w:val="20"/>
        </w:rPr>
        <w:t xml:space="preserve">Impago.</w:t>
      </w:r>
      <w:r>
        <w:rPr>
          <w:rFonts w:ascii="Nunito Sans" w:cs="Nunito Sans" w:eastAsia="Nunito Sans" w:hAnsi="Nunito Sans"/>
          <w:color w:val="102E3B"/>
          <w:sz w:val="20"/>
          <w:szCs w:val="20"/>
        </w:rPr>
        <w:t xml:space="preserve"> Si una factura no impugnada sigue sin pagarse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después de un recordatorio por escrito, el Proveedor puede suspender los Servicios con un preaviso por escrito de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días hasta que se pague.</w:t>
      </w:r>
    </w:p>
    <w:p>
      <w:pPr>
        <w:pStyle w:val="ListParagraph"/>
        <w:numPr>
          <w:ilvl w:val="0"/>
          <w:numId w:val="22"/>
        </w:numPr>
        <w:spacing w:after="80" w:line="290"/>
      </w:pPr>
      <w:r>
        <w:rPr>
          <w:rFonts w:ascii="Nunito Sans" w:cs="Nunito Sans" w:eastAsia="Nunito Sans" w:hAnsi="Nunito Sans"/>
          <w:b/>
          <w:bCs/>
          <w:color w:val="102E3B"/>
          <w:sz w:val="20"/>
          <w:szCs w:val="20"/>
        </w:rPr>
        <w:t xml:space="preserve">A la terminación.</w:t>
      </w:r>
      <w:r>
        <w:rPr>
          <w:rFonts w:ascii="Nunito Sans" w:cs="Nunito Sans" w:eastAsia="Nunito Sans" w:hAnsi="Nunito Sans"/>
          <w:color w:val="102E3B"/>
          <w:sz w:val="20"/>
          <w:szCs w:val="20"/>
        </w:rPr>
        <w:t xml:space="preserve"> El Cliente pagará los Servicios debidamente prestados hasta la fecha de terminación, más los costos aprobados que el Proveedor no pueda cancelar, pero no el trabajo rechazado. El Proveedor reembolsará cualquier anticipo no devengado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entregará todo el trabajo y devolverá o eliminará los materiales y los datos personales del Cliente.</w:t>
      </w:r>
    </w:p>
    <w:p>
      <w:pPr>
        <w:pStyle w:val="ListParagraph"/>
        <w:numPr>
          <w:ilvl w:val="0"/>
          <w:numId w:val="22"/>
        </w:numPr>
        <w:spacing w:after="80" w:line="290"/>
      </w:pPr>
      <w:r>
        <w:rPr>
          <w:rFonts w:ascii="Nunito Sans" w:cs="Nunito Sans" w:eastAsia="Nunito Sans" w:hAnsi="Nunito Sans"/>
          <w:color w:val="102E3B"/>
          <w:sz w:val="20"/>
          <w:szCs w:val="20"/>
        </w:rPr>
        <w:t xml:space="preserve">Las cláusulas 11 a 16, 19.6, 20 y 21 siguen vigentes después de la terminación de este contrato.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PONER FIN AL CONTRATO</w:t>
            </w:r>
          </w:p>
          <w:p>
            <w:pPr>
              <w:spacing w:after="120" w:before="0" w:line="300"/>
            </w:pPr>
            <w:r>
              <w:rPr>
                <w:rFonts w:ascii="Nunito Sans" w:cs="Nunito Sans" w:eastAsia="Nunito Sans" w:hAnsi="Nunito Sans"/>
                <w:b/>
                <w:bCs/>
                <w:color w:val="102E3B"/>
                <w:sz w:val="19"/>
                <w:szCs w:val="19"/>
              </w:rPr>
              <w:t xml:space="preserve">Si eres el Cliente:</w:t>
            </w:r>
            <w:r>
              <w:rPr>
                <w:rFonts w:ascii="Nunito Sans" w:cs="Nunito Sans" w:eastAsia="Nunito Sans" w:hAnsi="Nunito Sans"/>
                <w:color w:val="102E3B"/>
                <w:sz w:val="19"/>
                <w:szCs w:val="19"/>
              </w:rPr>
              <w:t xml:space="preserve"> mantén la cláusula de pérdida de financiación. Las organizaciones financiadas con subvenciones a menudo no pueden pagar cuando un financiador se retira, y esta cláusula te permite terminar de forma ordenada pagando el trabajo realizado.</w:t>
            </w:r>
          </w:p>
          <w:p>
            <w:pPr>
              <w:spacing w:after="120" w:before="0" w:line="300"/>
            </w:pPr>
            <w:r>
              <w:rPr>
                <w:rFonts w:ascii="Nunito Sans" w:cs="Nunito Sans" w:eastAsia="Nunito Sans" w:hAnsi="Nunito Sans"/>
                <w:b/>
                <w:bCs/>
                <w:color w:val="102E3B"/>
                <w:sz w:val="19"/>
                <w:szCs w:val="19"/>
              </w:rPr>
              <w:t xml:space="preserve">Si eres el Proveedor:</w:t>
            </w:r>
            <w:r>
              <w:rPr>
                <w:rFonts w:ascii="Nunito Sans" w:cs="Nunito Sans" w:eastAsia="Nunito Sans" w:hAnsi="Nunito Sans"/>
                <w:color w:val="102E3B"/>
                <w:sz w:val="19"/>
                <w:szCs w:val="19"/>
              </w:rPr>
              <w:t xml:space="preserve"> pide una penalización por cancelación (por ejemplo, un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 del Precio pendiente) por el tiempo que has reservado. Algunos países tratan un contrato largo con un único cliente principal como una relación laboral o de agencia, con derechos de preaviso. Consulta tu legislación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20. Controversias y ley aplicable</w:t>
      </w:r>
    </w:p>
    <w:p>
      <w:pPr>
        <w:pStyle w:val="ListParagraph"/>
        <w:numPr>
          <w:ilvl w:val="0"/>
          <w:numId w:val="23"/>
        </w:numPr>
        <w:spacing w:after="80" w:line="290"/>
      </w:pPr>
      <w:r>
        <w:rPr>
          <w:rFonts w:ascii="Nunito Sans" w:cs="Nunito Sans" w:eastAsia="Nunito Sans" w:hAnsi="Nunito Sans"/>
          <w:color w:val="102E3B"/>
          <w:sz w:val="20"/>
          <w:szCs w:val="20"/>
        </w:rPr>
        <w:t xml:space="preserve">Las personas responsables del contrato y, después, </w:t>
      </w:r>
      <w:r>
        <w:rPr>
          <w:rFonts w:ascii="Nunito Sans" w:cs="Nunito Sans" w:eastAsia="Nunito Sans" w:hAnsi="Nunito Sans"/>
          <w:color w:val="102E3B"/>
          <w:sz w:val="20"/>
          <w:szCs w:val="20"/>
          <w:highlight w:val="yellow"/>
        </w:rPr>
        <w:t xml:space="preserve">[las personas que dirigen ambas organizaciones]</w:t>
      </w:r>
      <w:r>
        <w:rPr>
          <w:rFonts w:ascii="Nunito Sans" w:cs="Nunito Sans" w:eastAsia="Nunito Sans" w:hAnsi="Nunito Sans"/>
          <w:color w:val="102E3B"/>
          <w:sz w:val="20"/>
          <w:szCs w:val="20"/>
        </w:rPr>
        <w:t xml:space="preserve"> intentarán resolver cualquier controversia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en cada caso. Si sigue sin resolverse, las partes </w:t>
      </w:r>
      <w:r>
        <w:rPr>
          <w:rFonts w:ascii="Nunito Sans" w:cs="Nunito Sans" w:eastAsia="Nunito Sans" w:hAnsi="Nunito Sans"/>
          <w:color w:val="102E3B"/>
          <w:sz w:val="20"/>
          <w:szCs w:val="20"/>
          <w:highlight w:val="yellow"/>
        </w:rPr>
        <w:t xml:space="preserve">[intentarán / podrán intentar]</w:t>
      </w:r>
      <w:r>
        <w:rPr>
          <w:rFonts w:ascii="Nunito Sans" w:cs="Nunito Sans" w:eastAsia="Nunito Sans" w:hAnsi="Nunito Sans"/>
          <w:color w:val="102E3B"/>
          <w:sz w:val="20"/>
          <w:szCs w:val="20"/>
        </w:rPr>
        <w:t xml:space="preserve"> una mediación a través de </w:t>
      </w:r>
      <w:r>
        <w:rPr>
          <w:rFonts w:ascii="Nunito Sans" w:cs="Nunito Sans" w:eastAsia="Nunito Sans" w:hAnsi="Nunito Sans"/>
          <w:color w:val="102E3B"/>
          <w:sz w:val="20"/>
          <w:szCs w:val="20"/>
          <w:highlight w:val="yellow"/>
        </w:rPr>
        <w:t xml:space="preserve">[persona mediadora o centro de mediación]</w:t>
      </w:r>
      <w:r>
        <w:rPr>
          <w:rFonts w:ascii="Nunito Sans" w:cs="Nunito Sans" w:eastAsia="Nunito Sans" w:hAnsi="Nunito Sans"/>
          <w:color w:val="102E3B"/>
          <w:sz w:val="20"/>
          <w:szCs w:val="20"/>
        </w:rPr>
        <w:t xml:space="preserve">, repartiendo los costos a partes iguales.</w:t>
      </w:r>
    </w:p>
    <w:p>
      <w:pPr>
        <w:pStyle w:val="ListParagraph"/>
        <w:numPr>
          <w:ilvl w:val="0"/>
          <w:numId w:val="23"/>
        </w:numPr>
        <w:spacing w:after="80" w:line="290"/>
      </w:pPr>
      <w:r>
        <w:rPr>
          <w:rFonts w:ascii="Nunito Sans" w:cs="Nunito Sans" w:eastAsia="Nunito Sans" w:hAnsi="Nunito Sans"/>
          <w:color w:val="102E3B"/>
          <w:sz w:val="20"/>
          <w:szCs w:val="20"/>
        </w:rPr>
        <w:t xml:space="preserve">Si la mediación fracasa, la controversia se resolverá </w:t>
      </w:r>
      <w:r>
        <w:rPr>
          <w:rFonts w:ascii="Nunito Sans" w:cs="Nunito Sans" w:eastAsia="Nunito Sans" w:hAnsi="Nunito Sans"/>
          <w:color w:val="102E3B"/>
          <w:sz w:val="20"/>
          <w:szCs w:val="20"/>
          <w:highlight w:val="yellow"/>
        </w:rPr>
        <w:t xml:space="preserve">[ante los tribunales de país o ciudad, que tendrán jurisdicción exclusiva / mediante arbitraje conforme al reglamento de la institución indicada, con un único árbitro, con sede en ciudad, en español]</w:t>
      </w:r>
      <w:r>
        <w:rPr>
          <w:rFonts w:ascii="Nunito Sans" w:cs="Nunito Sans" w:eastAsia="Nunito Sans" w:hAnsi="Nunito Sans"/>
          <w:color w:val="102E3B"/>
          <w:sz w:val="20"/>
          <w:szCs w:val="20"/>
        </w:rPr>
        <w:t xml:space="preserve">. Cualquiera de las partes podrá en todo caso solicitar a un tribunal medidas cautelares urgentes.</w:t>
      </w:r>
    </w:p>
    <w:p>
      <w:pPr>
        <w:pStyle w:val="ListParagraph"/>
        <w:numPr>
          <w:ilvl w:val="0"/>
          <w:numId w:val="23"/>
        </w:numPr>
        <w:spacing w:after="80" w:line="290"/>
      </w:pPr>
      <w:r>
        <w:rPr>
          <w:rFonts w:ascii="Nunito Sans" w:cs="Nunito Sans" w:eastAsia="Nunito Sans" w:hAnsi="Nunito Sans"/>
          <w:color w:val="102E3B"/>
          <w:sz w:val="20"/>
          <w:szCs w:val="20"/>
        </w:rPr>
        <w:t xml:space="preserve">Este contrato se rige por la ley de </w:t>
      </w:r>
      <w:r>
        <w:rPr>
          <w:rFonts w:ascii="Nunito Sans" w:cs="Nunito Sans" w:eastAsia="Nunito Sans" w:hAnsi="Nunito Sans"/>
          <w:color w:val="102E3B"/>
          <w:sz w:val="20"/>
          <w:szCs w:val="20"/>
          <w:highlight w:val="yellow"/>
        </w:rPr>
        <w:t xml:space="preserve">[país o estado]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21. Notificaciones y disposiciones generales</w:t>
      </w:r>
    </w:p>
    <w:p>
      <w:pPr>
        <w:pStyle w:val="ListParagraph"/>
        <w:numPr>
          <w:ilvl w:val="0"/>
          <w:numId w:val="24"/>
        </w:numPr>
        <w:spacing w:after="80" w:line="290"/>
      </w:pPr>
      <w:r>
        <w:rPr>
          <w:rFonts w:ascii="Nunito Sans" w:cs="Nunito Sans" w:eastAsia="Nunito Sans" w:hAnsi="Nunito Sans"/>
          <w:color w:val="102E3B"/>
          <w:sz w:val="20"/>
          <w:szCs w:val="20"/>
        </w:rPr>
        <w:t xml:space="preserve">Las notificaciones formales deben enviarse por correo electrónico a la persona responsable del contrato de la otra parte. Las notificaciones de incumplimiento, resolución o controversia deben enviarse además en mano o por mensajería al domicilio social. Un correo electrónico enviado en el horario laboral de quien lo recibe se considera recibido en el momento del envío; en otro caso, el siguiente Día Hábil.</w:t>
      </w:r>
    </w:p>
    <w:p>
      <w:pPr>
        <w:pStyle w:val="ListParagraph"/>
        <w:numPr>
          <w:ilvl w:val="0"/>
          <w:numId w:val="24"/>
        </w:numPr>
        <w:spacing w:after="80" w:line="290"/>
      </w:pPr>
      <w:r>
        <w:rPr>
          <w:rFonts w:ascii="Nunito Sans" w:cs="Nunito Sans" w:eastAsia="Nunito Sans" w:hAnsi="Nunito Sans"/>
          <w:color w:val="102E3B"/>
          <w:sz w:val="20"/>
          <w:szCs w:val="20"/>
        </w:rPr>
        <w:t xml:space="preserve">Este es el acuerdo íntegro sobre los Servicios. Las modificaciones solo son válidas si constan por escrito y están firmadas por ambas partes.</w:t>
      </w:r>
    </w:p>
    <w:p>
      <w:pPr>
        <w:pStyle w:val="ListParagraph"/>
        <w:numPr>
          <w:ilvl w:val="0"/>
          <w:numId w:val="24"/>
        </w:numPr>
        <w:spacing w:after="80" w:line="290"/>
      </w:pPr>
      <w:r>
        <w:rPr>
          <w:rFonts w:ascii="Nunito Sans" w:cs="Nunito Sans" w:eastAsia="Nunito Sans" w:hAnsi="Nunito Sans"/>
          <w:color w:val="102E3B"/>
          <w:sz w:val="20"/>
          <w:szCs w:val="20"/>
        </w:rPr>
        <w:t xml:space="preserve">Ninguna de las partes puede transferir sus derechos u obligaciones sin el consentimiento por escrito de la otra. No ejercer un derecho no supone renunciar a él. Si alguna parte es inválida, el resto sigue en vigor.</w:t>
      </w:r>
    </w:p>
    <w:p>
      <w:pPr>
        <w:pStyle w:val="ListParagraph"/>
        <w:numPr>
          <w:ilvl w:val="0"/>
          <w:numId w:val="24"/>
        </w:numPr>
        <w:spacing w:after="80" w:line="290"/>
      </w:pPr>
      <w:r>
        <w:rPr>
          <w:rFonts w:ascii="Nunito Sans" w:cs="Nunito Sans" w:eastAsia="Nunito Sans" w:hAnsi="Nunito Sans"/>
          <w:color w:val="102E3B"/>
          <w:sz w:val="20"/>
          <w:szCs w:val="20"/>
        </w:rPr>
        <w:t xml:space="preserve">Nadie más tiene derechos en virtud de este contrato, </w:t>
      </w:r>
      <w:r>
        <w:rPr>
          <w:rFonts w:ascii="Nunito Sans" w:cs="Nunito Sans" w:eastAsia="Nunito Sans" w:hAnsi="Nunito Sans"/>
          <w:color w:val="102E3B"/>
          <w:sz w:val="20"/>
          <w:szCs w:val="20"/>
          <w:highlight w:val="yellow"/>
        </w:rPr>
        <w:t xml:space="preserve">[salvo los financiadores del Cliente y sus auditores conforme a la cláusula 14.6]</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Ninguna de las partes usará el nombre o el logotipo de la otra sin su consentimiento, </w:t>
      </w:r>
      <w:r>
        <w:rPr>
          <w:rFonts w:ascii="Nunito Sans" w:cs="Nunito Sans" w:eastAsia="Nunito Sans" w:hAnsi="Nunito Sans"/>
          <w:color w:val="102E3B"/>
          <w:sz w:val="20"/>
          <w:szCs w:val="20"/>
          <w:highlight w:val="yellow"/>
        </w:rPr>
        <w:t xml:space="preserve">[salvo que el Proveedor podrá mencionar al Cliente entre sus clientes]</w:t>
      </w:r>
      <w:r>
        <w:rPr>
          <w:rFonts w:ascii="Nunito Sans" w:cs="Nunito Sans" w:eastAsia="Nunito Sans" w:hAnsi="Nunito Sans"/>
          <w:color w:val="102E3B"/>
          <w:sz w:val="20"/>
          <w:szCs w:val="20"/>
        </w:rPr>
        <w:t xml:space="preserve">.</w:t>
      </w:r>
    </w:p>
    <w:p>
      <w:pPr>
        <w:pStyle w:val="ListParagraph"/>
        <w:numPr>
          <w:ilvl w:val="0"/>
          <w:numId w:val="24"/>
        </w:numPr>
        <w:spacing w:after="80" w:line="290"/>
      </w:pPr>
      <w:r>
        <w:rPr>
          <w:rFonts w:ascii="Nunito Sans" w:cs="Nunito Sans" w:eastAsia="Nunito Sans" w:hAnsi="Nunito Sans"/>
          <w:color w:val="102E3B"/>
          <w:sz w:val="20"/>
          <w:szCs w:val="20"/>
        </w:rPr>
        <w:t xml:space="preserve">Este contrato puede firmarse en ejemplares separados y de forma electrónica.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CONTROVERSIAS Y FIRMA</w:t>
            </w:r>
          </w:p>
          <w:p>
            <w:pPr>
              <w:spacing w:after="120" w:before="0" w:line="300"/>
            </w:pPr>
            <w:r>
              <w:rPr>
                <w:rFonts w:ascii="Nunito Sans" w:cs="Nunito Sans" w:eastAsia="Nunito Sans" w:hAnsi="Nunito Sans"/>
                <w:b/>
                <w:bCs/>
                <w:color w:val="102E3B"/>
                <w:sz w:val="19"/>
                <w:szCs w:val="19"/>
              </w:rPr>
              <w:t xml:space="preserve">Ley aplicable:</w:t>
            </w:r>
            <w:r>
              <w:rPr>
                <w:rFonts w:ascii="Nunito Sans" w:cs="Nunito Sans" w:eastAsia="Nunito Sans" w:hAnsi="Nunito Sans"/>
                <w:color w:val="102E3B"/>
                <w:sz w:val="19"/>
                <w:szCs w:val="19"/>
              </w:rPr>
              <w:t xml:space="preserve"> normalmente, la del lugar donde está registrada una de las partes y donde se prestan los Servicios. </w:t>
            </w:r>
            <w:r>
              <w:rPr>
                <w:rFonts w:ascii="Nunito Sans" w:cs="Nunito Sans" w:eastAsia="Nunito Sans" w:hAnsi="Nunito Sans"/>
                <w:b/>
                <w:bCs/>
                <w:color w:val="102E3B"/>
                <w:sz w:val="19"/>
                <w:szCs w:val="19"/>
              </w:rPr>
              <w:t xml:space="preserve">Tribunales o arbitraje:</w:t>
            </w:r>
            <w:r>
              <w:rPr>
                <w:rFonts w:ascii="Nunito Sans" w:cs="Nunito Sans" w:eastAsia="Nunito Sans" w:hAnsi="Nunito Sans"/>
                <w:color w:val="102E3B"/>
                <w:sz w:val="19"/>
                <w:szCs w:val="19"/>
              </w:rPr>
              <w:t xml:space="preserve"> a menudo es difícil ejecutar una sentencia judicial en el extranjero. Los laudos arbitrales son ejecutables en la mayoría de los países gracias a la Convención de Nueva York de 1958, pero el arbitraje puede costar más de lo que vale un contrato pequeño. Las agencias de la ONU suelen exigir un arbitraje conforme al Reglamento de Arbitraje de la CNUDMI (UNCITRAL).</w:t>
            </w:r>
          </w:p>
          <w:p>
            <w:pPr>
              <w:spacing w:after="120" w:before="0" w:line="300"/>
            </w:pPr>
            <w:r>
              <w:rPr>
                <w:rFonts w:ascii="Nunito Sans" w:cs="Nunito Sans" w:eastAsia="Nunito Sans" w:hAnsi="Nunito Sans"/>
                <w:b/>
                <w:bCs/>
                <w:color w:val="102E3B"/>
                <w:sz w:val="19"/>
                <w:szCs w:val="19"/>
              </w:rPr>
              <w:t xml:space="preserve">Formalidades:</w:t>
            </w:r>
            <w:r>
              <w:rPr>
                <w:rFonts w:ascii="Nunito Sans" w:cs="Nunito Sans" w:eastAsia="Nunito Sans" w:hAnsi="Nunito Sans"/>
                <w:color w:val="102E3B"/>
                <w:sz w:val="19"/>
                <w:szCs w:val="19"/>
              </w:rPr>
              <w:t xml:space="preserve"> comprueba si el contrato necesita un sello, testigos o el pago de un impuesto de timbre para ser válido o para usarse como prueba (por ejemplo, el impuesto de timbre en muchos estados de la India, o el timbre fiscal meterai en Indonesia), y si se aceptan las firmas electrónicas.</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Servicios y Entregables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[Qué deben lograr los Servicios; adjuntar los términos de referencia, si los hay]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Alcance de los Servicios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[Qué hará el Proveedor, paso a paso]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incluido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traducción]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Personal clave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y funciones]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Aportaciones del Cliente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[Documentos, contactos, tiempo de personal y aprobaciones, con fechas]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Propiedad Intelectual Previa del Proveedor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[Herramientas o materiales que conserva el Proveedor, p. ej. su programa de formación]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personales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[Ninguno / El Proveedor tratará datos personales por cuenta del Cliente: se aplica el Anexo 3]</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Publicación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[Si el Cliente puede publicar los Entregables y cómo, y reconocimiento de la autoría]</w:t>
            </w:r>
          </w:p>
        </w:tc>
      </w:tr>
    </w:tbl>
    <w:p>
      <w:pPr>
        <w:spacing w:after="120"/>
      </w:pPr>
    </w:p>
    <w:p>
      <w:pPr>
        <w:spacing w:after="120" w:before="0" w:line="300"/>
      </w:pPr>
      <w:r>
        <w:rPr>
          <w:rFonts w:ascii="Nunito Sans" w:cs="Nunito Sans" w:eastAsia="Nunito Sans" w:hAnsi="Nunito Sans"/>
          <w:color w:val="102E3B"/>
          <w:sz w:val="20"/>
          <w:szCs w:val="20"/>
        </w:rPr>
        <w:t xml:space="preserve">Entregables (las filas siguientes son ejemplos; sustitúyalas):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
        <w:gridCol w:w="2857"/>
        <w:gridCol w:w="3238"/>
        <w:gridCol w:w="1428"/>
        <w:gridCol w:w="1430"/>
      </w:tblGrid>
      <w:tr>
        <w:trPr>
          <w:cantSplit/>
          <w:tblHeader/>
        </w:trPr>
        <w:tc>
          <w:tcPr>
            <w:tcW w:type="dxa" w:w="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N.º</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ENTREGABLE</w:t>
            </w:r>
          </w:p>
        </w:tc>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CRITERIOS DE ACEPTACIÓN</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DE ENTREGA</w:t>
            </w:r>
          </w:p>
        </w:tc>
        <w:tc>
          <w:tcPr>
            <w:tcW w:type="dxa" w:w="1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PAGO</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informe inicial</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Metodología, plan de trabajo y herramientas según los términos de referencia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w:t>
            </w:r>
            <w:r>
              <w:rPr>
                <w:rFonts w:ascii="Nunito Sans" w:cs="Nunito Sans" w:eastAsia="Nunito Sans" w:hAnsi="Nunito Sans"/>
                <w:color w:val="102E3B"/>
                <w:sz w:val="18"/>
                <w:szCs w:val="18"/>
              </w:rPr>
              <w:t xml:space="preserve"> %</w:t>
            </w:r>
          </w:p>
        </w:tc>
      </w:tr>
      <w:tr>
        <w:trPr>
          <w:cantSplit/>
          <w:tblHeader w:val="off"/>
        </w:trPr>
        <w:tc>
          <w:tcPr>
            <w:tcW w:type="dxa" w:w="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borrador del informe</w:t>
            </w:r>
          </w:p>
        </w:tc>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Responde a todas las preguntas de evaluación; no más de </w:t>
            </w:r>
            <w:r>
              <w:rPr>
                <w:rFonts w:ascii="Nunito Sans" w:cs="Nunito Sans" w:eastAsia="Nunito Sans" w:hAnsi="Nunito Sans"/>
                <w:color w:val="102E3B"/>
                <w:sz w:val="18"/>
                <w:szCs w:val="18"/>
                <w:highlight w:val="yellow"/>
              </w:rPr>
              <w:t xml:space="preserve">[30]</w:t>
            </w:r>
            <w:r>
              <w:rPr>
                <w:rFonts w:ascii="Nunito Sans" w:cs="Nunito Sans" w:eastAsia="Nunito Sans" w:hAnsi="Nunito Sans"/>
                <w:color w:val="102E3B"/>
                <w:sz w:val="18"/>
                <w:szCs w:val="18"/>
              </w:rPr>
              <w:t xml:space="preserve"> páginas más anexos</w:t>
            </w: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 %</w:t>
            </w:r>
          </w:p>
        </w:tc>
      </w:tr>
      <w:tr>
        <w:trPr>
          <w:cantSplit/>
          <w:tblHeader w:val="off"/>
        </w:trPr>
        <w:tc>
          <w:tcPr>
            <w:tcW w:type="dxa" w:w="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informe final y presentación</w:t>
            </w:r>
          </w:p>
        </w:tc>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Incorpora los comentarios consolidados del Cliente; resumen en </w:t>
            </w:r>
            <w:r>
              <w:rPr>
                <w:rFonts w:ascii="Nunito Sans" w:cs="Nunito Sans" w:eastAsia="Nunito Sans" w:hAnsi="Nunito Sans"/>
                <w:color w:val="102E3B"/>
                <w:sz w:val="18"/>
                <w:szCs w:val="18"/>
                <w:highlight w:val="yellow"/>
              </w:rPr>
              <w:t xml:space="preserve">[idioma]</w:t>
            </w: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c>
          <w:tcPr>
            <w:tcW w:type="dxa" w:w="1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r>
              <w:rPr>
                <w:rFonts w:ascii="Nunito Sans" w:cs="Nunito Sans" w:eastAsia="Nunito Sans" w:hAnsi="Nunito Sans"/>
                <w:color w:val="102E3B"/>
                <w:sz w:val="18"/>
                <w:szCs w:val="18"/>
              </w:rPr>
              <w:t xml:space="preserve"> %</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Precio y nota de modificación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Base de precios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[Precio cerrado / tarifa diaria de importe hasta un máximo de número días]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máximo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y moneda]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[IVA no incluido / IVA incluido]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Cuenta bancaria del Proveedor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[Titular de la cuenta (denominación legal del Proveedor), banco, número de cuenta, código SWIFT o de sucursal]</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Gastos reembolsables y viáticos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vuelos en clase turista, alojamiento hasta un importe por noche, viáticos según la Política de Gastos y Viáticos del Cliente; o ninguno]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Impuestos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[Honorarios brutos / netos de una retención del X %; tratamiento del IVA]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NOTA DE MODIFICACIÓN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Número y fecha de la modificación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[N.º y fecha]</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Descripción y motivo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[Qué cambia y por qué]</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Efecto sobre los Entregables y las fechas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[Entregables y fechas nuevos o modificados]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Efecto sobre el Precio</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[Cambio y nuevo total máximo]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Aprobada por cada parte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cargos, firmas, fechas]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3: Condiciones del tratamiento de datos</w:t>
      </w:r>
    </w:p>
    <w:p>
      <w:pPr>
        <w:spacing w:after="120" w:before="0" w:line="300"/>
      </w:pPr>
      <w:r>
        <w:rPr>
          <w:rFonts w:ascii="Nunito Sans" w:cs="Nunito Sans" w:eastAsia="Nunito Sans" w:hAnsi="Nunito Sans"/>
          <w:color w:val="102E3B"/>
          <w:sz w:val="20"/>
          <w:szCs w:val="20"/>
        </w:rPr>
        <w:t xml:space="preserve">Este anexo solo se aplica cuando el Anexo 1 indica que el Proveedor tratará datos personales por cuenta del Cliente.</w:t>
      </w:r>
    </w:p>
    <w:p>
      <w:pPr>
        <w:keepNext/>
        <w:spacing w:after="80" w:before="120"/>
      </w:pPr>
      <w:r>
        <w:rPr>
          <w:rFonts w:ascii="Nunito Sans" w:cs="Nunito Sans" w:eastAsia="Nunito Sans" w:hAnsi="Nunito Sans"/>
          <w:b/>
          <w:bCs/>
          <w:color w:val="16746E"/>
          <w:spacing w:val="30"/>
          <w:sz w:val="15"/>
          <w:szCs w:val="15"/>
        </w:rPr>
        <w:t xml:space="preserve">PARTE A: DETALLES DEL TRATAMIENTO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Objeto, naturaleza y finalidad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grabar, transcribir y analizar entrevistas para la evaluación]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Duración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[Desde la Fecha de Entrada en Vigor hasta la eliminación conforme al apartado 8]</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Tipos de datos personales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nombres, números de teléfono, grupo de edad, respuestas a entrevistas; cualquier dato sensible, como información de salud]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 las que se refieren los datos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participantes del programa de 18 años o más]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Subencargados autorizados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proveedor de almacenamiento en la nube o de software de transcripción]</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se conservan los datos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[Países y cualquier transferencia]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PARTE B: OBLIGACIONES DEL PROVEEDOR COMO ENCARGADO DEL TRATAMIENTO</w:t>
      </w:r>
    </w:p>
    <w:p>
      <w:pPr>
        <w:spacing w:after="120" w:before="0" w:line="300"/>
      </w:pPr>
      <w:r>
        <w:rPr>
          <w:rFonts w:ascii="Nunito Sans" w:cs="Nunito Sans" w:eastAsia="Nunito Sans" w:hAnsi="Nunito Sans"/>
          <w:color w:val="102E3B"/>
          <w:sz w:val="20"/>
          <w:szCs w:val="20"/>
        </w:rPr>
        <w:t xml:space="preserve">Cuando trate datos personales por cuenta del Cliente, el Proveedor:</w:t>
      </w:r>
    </w:p>
    <w:p>
      <w:pPr>
        <w:pStyle w:val="ListParagraph"/>
        <w:numPr>
          <w:ilvl w:val="0"/>
          <w:numId w:val="25"/>
        </w:numPr>
        <w:spacing w:after="80" w:line="290"/>
      </w:pPr>
      <w:r>
        <w:rPr>
          <w:rFonts w:ascii="Nunito Sans" w:cs="Nunito Sans" w:eastAsia="Nunito Sans" w:hAnsi="Nunito Sans"/>
          <w:color w:val="102E3B"/>
          <w:sz w:val="20"/>
          <w:szCs w:val="20"/>
        </w:rPr>
        <w:t xml:space="preserve">los tratará solo siguiendo las instrucciones documentadas del Cliente (este contrato y este anexo), también en lo relativo a las transferencias, salvo que la ley exija otra cosa, en cuyo caso informará antes al Cliente si es lícito;</w:t>
      </w:r>
    </w:p>
    <w:p>
      <w:pPr>
        <w:pStyle w:val="ListParagraph"/>
        <w:numPr>
          <w:ilvl w:val="0"/>
          <w:numId w:val="25"/>
        </w:numPr>
        <w:spacing w:after="80" w:line="290"/>
      </w:pPr>
      <w:r>
        <w:rPr>
          <w:rFonts w:ascii="Nunito Sans" w:cs="Nunito Sans" w:eastAsia="Nunito Sans" w:hAnsi="Nunito Sans"/>
          <w:color w:val="102E3B"/>
          <w:sz w:val="20"/>
          <w:szCs w:val="20"/>
        </w:rPr>
        <w:t xml:space="preserve">se asegurará de que todas las personas autorizadas a tratar los datos estén sujetas a un deber de confidencialidad;</w:t>
      </w:r>
    </w:p>
    <w:p>
      <w:pPr>
        <w:pStyle w:val="ListParagraph"/>
        <w:numPr>
          <w:ilvl w:val="0"/>
          <w:numId w:val="25"/>
        </w:numPr>
        <w:spacing w:after="80" w:line="290"/>
      </w:pPr>
      <w:r>
        <w:rPr>
          <w:rFonts w:ascii="Nunito Sans" w:cs="Nunito Sans" w:eastAsia="Nunito Sans" w:hAnsi="Nunito Sans"/>
          <w:color w:val="102E3B"/>
          <w:sz w:val="20"/>
          <w:szCs w:val="20"/>
        </w:rPr>
        <w:t xml:space="preserve">adoptará medidas de seguridad técnicas y organizativas adecuadas, que incluyan al menos </w:t>
      </w:r>
      <w:r>
        <w:rPr>
          <w:rFonts w:ascii="Nunito Sans" w:cs="Nunito Sans" w:eastAsia="Nunito Sans" w:hAnsi="Nunito Sans"/>
          <w:color w:val="102E3B"/>
          <w:sz w:val="20"/>
          <w:szCs w:val="20"/>
          <w:highlight w:val="yellow"/>
        </w:rPr>
        <w:t xml:space="preserve">[acceso limitado al Personal designado, autenticación multifactor, dispositivos y transferencias cifrados, y copias de seguridad seguras]</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no recurrirá a un subencargado sin la autorización previa y por escrito del Cliente, le impondrá por escrito las mismas obligaciones y seguirá siendo responsable de él;</w:t>
      </w:r>
    </w:p>
    <w:p>
      <w:pPr>
        <w:pStyle w:val="ListParagraph"/>
        <w:numPr>
          <w:ilvl w:val="0"/>
          <w:numId w:val="25"/>
        </w:numPr>
        <w:spacing w:after="80" w:line="290"/>
      </w:pPr>
      <w:r>
        <w:rPr>
          <w:rFonts w:ascii="Nunito Sans" w:cs="Nunito Sans" w:eastAsia="Nunito Sans" w:hAnsi="Nunito Sans"/>
          <w:color w:val="102E3B"/>
          <w:sz w:val="20"/>
          <w:szCs w:val="20"/>
        </w:rPr>
        <w:t xml:space="preserve">ayudará al Cliente a responder a las personas que ejerzan sus derechos sobre los datos, remitiéndole cualquier solicitud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w:t>
      </w:r>
    </w:p>
    <w:p>
      <w:pPr>
        <w:pStyle w:val="ListParagraph"/>
        <w:numPr>
          <w:ilvl w:val="0"/>
          <w:numId w:val="25"/>
        </w:numPr>
        <w:spacing w:after="80" w:line="290"/>
      </w:pPr>
      <w:r>
        <w:rPr>
          <w:rFonts w:ascii="Nunito Sans" w:cs="Nunito Sans" w:eastAsia="Nunito Sans" w:hAnsi="Nunito Sans"/>
          <w:color w:val="102E3B"/>
          <w:sz w:val="20"/>
          <w:szCs w:val="20"/>
        </w:rPr>
        <w:t xml:space="preserve">ayudará al Cliente en materia de seguridad, notificación de brechas, evaluaciones de impacto en la protección de datos y consultas a las autoridades de control;</w:t>
      </w:r>
    </w:p>
    <w:p>
      <w:pPr>
        <w:pStyle w:val="ListParagraph"/>
        <w:numPr>
          <w:ilvl w:val="0"/>
          <w:numId w:val="25"/>
        </w:numPr>
        <w:spacing w:after="80" w:line="290"/>
      </w:pPr>
      <w:r>
        <w:rPr>
          <w:rFonts w:ascii="Nunito Sans" w:cs="Nunito Sans" w:eastAsia="Nunito Sans" w:hAnsi="Nunito Sans"/>
          <w:color w:val="102E3B"/>
          <w:sz w:val="20"/>
          <w:szCs w:val="20"/>
        </w:rPr>
        <w:t xml:space="preserve">informará al Cliente de cualquier brecha de datos personales sin dilación indebida, y en un plazo de </w:t>
      </w:r>
      <w:r>
        <w:rPr>
          <w:rFonts w:ascii="Nunito Sans" w:cs="Nunito Sans" w:eastAsia="Nunito Sans" w:hAnsi="Nunito Sans"/>
          <w:color w:val="102E3B"/>
          <w:sz w:val="20"/>
          <w:szCs w:val="20"/>
          <w:highlight w:val="yellow"/>
        </w:rPr>
        <w:t xml:space="preserve">[24 horas / 48 horas]</w:t>
      </w:r>
      <w:r>
        <w:rPr>
          <w:rFonts w:ascii="Nunito Sans" w:cs="Nunito Sans" w:eastAsia="Nunito Sans" w:hAnsi="Nunito Sans"/>
          <w:color w:val="102E3B"/>
          <w:sz w:val="20"/>
          <w:szCs w:val="20"/>
        </w:rPr>
        <w:t xml:space="preserve"> desde que tenga conocimiento de ella, con la información que el Cliente necesite;</w:t>
      </w:r>
    </w:p>
    <w:p>
      <w:pPr>
        <w:pStyle w:val="ListParagraph"/>
        <w:numPr>
          <w:ilvl w:val="0"/>
          <w:numId w:val="25"/>
        </w:numPr>
        <w:spacing w:after="80" w:line="290"/>
      </w:pPr>
      <w:r>
        <w:rPr>
          <w:rFonts w:ascii="Nunito Sans" w:cs="Nunito Sans" w:eastAsia="Nunito Sans" w:hAnsi="Nunito Sans"/>
          <w:color w:val="102E3B"/>
          <w:sz w:val="20"/>
          <w:szCs w:val="20"/>
        </w:rPr>
        <w:t xml:space="preserve">al finalizar los Servicios, a elección del Cliente, eliminará o devolverá todos los datos personales y eliminará las copias, salvo que la ley le obligue a conservarlos, y lo confirmará por escrito;</w:t>
      </w:r>
    </w:p>
    <w:p>
      <w:pPr>
        <w:pStyle w:val="ListParagraph"/>
        <w:numPr>
          <w:ilvl w:val="0"/>
          <w:numId w:val="25"/>
        </w:numPr>
        <w:spacing w:after="80" w:line="290"/>
      </w:pPr>
      <w:r>
        <w:rPr>
          <w:rFonts w:ascii="Nunito Sans" w:cs="Nunito Sans" w:eastAsia="Nunito Sans" w:hAnsi="Nunito Sans"/>
          <w:color w:val="102E3B"/>
          <w:sz w:val="20"/>
          <w:szCs w:val="20"/>
        </w:rPr>
        <w:t xml:space="preserve">demostrará su cumplimiento cuando se le solicite, y permitirá auditorías del Cliente o de su auditor con un preaviso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w:t>
      </w:r>
    </w:p>
    <w:p>
      <w:pPr>
        <w:pStyle w:val="ListParagraph"/>
        <w:numPr>
          <w:ilvl w:val="0"/>
          <w:numId w:val="25"/>
        </w:numPr>
        <w:spacing w:after="80" w:line="290"/>
      </w:pPr>
      <w:r>
        <w:rPr>
          <w:rFonts w:ascii="Nunito Sans" w:cs="Nunito Sans" w:eastAsia="Nunito Sans" w:hAnsi="Nunito Sans"/>
          <w:color w:val="102E3B"/>
          <w:sz w:val="20"/>
          <w:szCs w:val="20"/>
        </w:rPr>
        <w:t xml:space="preserve">informará al Cliente de inmediato si considera que una instrucción infringe la Legislación de Protección de Datos;</w:t>
      </w:r>
    </w:p>
    <w:p>
      <w:pPr>
        <w:pStyle w:val="ListParagraph"/>
        <w:numPr>
          <w:ilvl w:val="0"/>
          <w:numId w:val="25"/>
        </w:numPr>
        <w:spacing w:after="80" w:line="290"/>
      </w:pPr>
      <w:r>
        <w:rPr>
          <w:rFonts w:ascii="Nunito Sans" w:cs="Nunito Sans" w:eastAsia="Nunito Sans" w:hAnsi="Nunito Sans"/>
          <w:color w:val="102E3B"/>
          <w:sz w:val="20"/>
          <w:szCs w:val="20"/>
        </w:rPr>
        <w:t xml:space="preserve">no transferirá los datos fuera de </w:t>
      </w:r>
      <w:r>
        <w:rPr>
          <w:rFonts w:ascii="Nunito Sans" w:cs="Nunito Sans" w:eastAsia="Nunito Sans" w:hAnsi="Nunito Sans"/>
          <w:color w:val="102E3B"/>
          <w:sz w:val="20"/>
          <w:szCs w:val="20"/>
          <w:highlight w:val="yellow"/>
        </w:rPr>
        <w:t xml:space="preserve">[país o región]</w:t>
      </w:r>
      <w:r>
        <w:rPr>
          <w:rFonts w:ascii="Nunito Sans" w:cs="Nunito Sans" w:eastAsia="Nunito Sans" w:hAnsi="Nunito Sans"/>
          <w:color w:val="102E3B"/>
          <w:sz w:val="20"/>
          <w:szCs w:val="20"/>
        </w:rPr>
        <w:t xml:space="preserve"> sin el consentimiento por escrito del Cliente y las garantías que exija la Legislación de Protección de Datos; y</w:t>
      </w:r>
    </w:p>
    <w:p>
      <w:pPr>
        <w:pStyle w:val="ListParagraph"/>
        <w:numPr>
          <w:ilvl w:val="0"/>
          <w:numId w:val="25"/>
        </w:numPr>
        <w:spacing w:after="80" w:line="290"/>
      </w:pPr>
      <w:r>
        <w:rPr>
          <w:rFonts w:ascii="Nunito Sans" w:cs="Nunito Sans" w:eastAsia="Nunito Sans" w:hAnsi="Nunito Sans"/>
          <w:color w:val="102E3B"/>
          <w:sz w:val="20"/>
          <w:szCs w:val="20"/>
        </w:rPr>
        <w:t xml:space="preserve">no usará los datos para sus propios fines, como el marketing o el entrenamiento de modelos de IA.</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EL CLIENTE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Cliente]</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EL PROVEEDOR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Proveedor]</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F5A64BE-4698-855A-BFBE-5AA6ADA790AF}"/>
  </w:font>
  <w:font w:name="DM Serif Display">
    <w:family w:val="auto"/>
    <w:pitch w:val="variable"/>
    <w:sig w:usb0="E0002AFF" w:usb1="C000247B" w:usb2="00000009" w:usb3="00000000" w:csb0="000001FF" w:csb1="00000000"/>
    <w:embedRegular r:id="rId2" w:fontKey="{0F3C54B6-8F06-643F-ACF2-510D5878914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Contrato de Servicios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CONTRATO DE SERVICIOS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Servicios</dc:title>
  <dc:creator>Method into Impact</dc:creator>
  <dc:description>Un contrato claro para servicios remunerados entre [[Nombre de la organización]] y otra organización. Funciona en ambos sentidos: cuando compramos servicios a un proveedor y cuando vendemos nuestros propios servicios a un cliente.</dc:description>
  <cp:lastModifiedBy>Un-named</cp:lastModifiedBy>
  <cp:revision>1</cp:revision>
  <dcterms:created xsi:type="dcterms:W3CDTF">2026-10-29T06:08:23.649Z</dcterms:created>
  <dcterms:modified xsi:type="dcterms:W3CDTF">2026-10-29T06:08:23.649Z</dcterms:modified>
</cp:coreProperties>
</file>

<file path=docProps/custom.xml><?xml version="1.0" encoding="utf-8"?>
<Properties xmlns="http://schemas.openxmlformats.org/officeDocument/2006/custom-properties" xmlns:vt="http://schemas.openxmlformats.org/officeDocument/2006/docPropsVTypes"/>
</file>