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PROCEDIMIENTO · INCIDENTES Y RIESGOS</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Procedimiento de Notificación de Incidentes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Lo que hacen todas las personas de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cuando algo sale mal: proteger a las personas, informar rápidamente a la persona adecuada, notificar a tiempo a las autoridades y a los financiadores, y aprender de lo ocurrido.</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Un procedimiento de incidentes garantiza que, cuando algo sale mal, las personas actúen de forma segura y rápida, que lo sepan las personas adecuadas y que no se incumplan los plazos de notificación externa. Los financiadores, los reguladores y las aseguradoras suelen fijar plazos breves, a veces de 24 a 72 horas, e incumplirlos puede costarle una subvención, una multa o una reclamación al seguro. Esta plantilla ofrece una escala de gravedad sencilla, plazos claros y un formulario de reporte que un equipo pequeño realmente puede usar.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institucionales y ONG internacionales socias en los acuerdos de subvención; reguladores de organizaciones benéficas u ONG; aseguradoras; su órgano de gobierno; auditores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horas para adaptarlo; 1 hora para acordarlo con su órgano de gobierno y probarlo con un caso práctico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Política y Procedimiento de Salvaguarda · Política y Procedimiento contra el Fraude, el Soborno y la Corrupción · Procedimiento de Respuesta ante Brechas de Datos · Política y Procedimiento de Denuncia de Irregularidades · Procedimiento de Quejas y Retroalimentación · Política de Seguridad en Viajes y Deber de Cuidado · Registro de Riesgos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Procedimiento de Notificación de Incidentes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Procedimiento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Personal, personas voluntarias, personas en prácticas, miembros del órgano de gobierno, contratistas y consultores, y socios que realizan trabajos con </w:t>
            </w:r>
            <w:r>
              <w:rPr>
                <w:rFonts w:ascii="Nunito Sans" w:cs="Nunito Sans" w:eastAsia="Nunito Sans" w:hAnsi="Nunito Sans"/>
                <w:color w:val="102E3B"/>
                <w:sz w:val="19"/>
                <w:szCs w:val="19"/>
                <w:highlight w:val="yellow"/>
              </w:rPr>
              <w:t xml:space="preserve">[Nombre de la organización]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[incidentes@tuorganizacion.org]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[número de teléfono de emergencia]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Finalidad y alcance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Paso 6: Cerrar y aprender</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Niveles de gravedad</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y responsabilidades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Paso 1: Proteger a las personas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Registros y confidencialidad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Paso 2: Informar</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Seguimiento y revisión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Paso 3: Evaluar y escalar</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A: Formulario de reporte de incidentes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Paso 4: Notificaciones externas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B: Registro de incidentes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Paso 5: Responder e investigar</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una </w:t>
            </w:r>
            <w:r>
              <w:rPr>
                <w:rFonts w:ascii="Nunito Sans" w:cs="Nunito Sans" w:eastAsia="Nunito Sans" w:hAnsi="Nunito Sans"/>
                <w:color w:val="102E3B"/>
                <w:sz w:val="19"/>
                <w:szCs w:val="19"/>
                <w:highlight w:val="yellow"/>
              </w:rPr>
              <w:t xml:space="preserve">[organización pequeña de X personas / organización emergente dirigida por sus fundadores]</w:t>
            </w:r>
            <w:r>
              <w:rPr>
                <w:rFonts w:ascii="Nunito Sans" w:cs="Nunito Sans" w:eastAsia="Nunito Sans" w:hAnsi="Nunito Sans"/>
                <w:color w:val="102E3B"/>
                <w:sz w:val="19"/>
                <w:szCs w:val="19"/>
              </w:rPr>
              <w:t xml:space="preserve">. Esta es nuestra </w:t>
            </w:r>
            <w:r>
              <w:rPr>
                <w:rFonts w:ascii="Nunito Sans" w:cs="Nunito Sans" w:eastAsia="Nunito Sans" w:hAnsi="Nunito Sans"/>
                <w:color w:val="102E3B"/>
                <w:sz w:val="19"/>
                <w:szCs w:val="19"/>
                <w:highlight w:val="yellow"/>
              </w:rPr>
              <w:t xml:space="preserve">[primera]</w:t>
            </w:r>
            <w:r>
              <w:rPr>
                <w:rFonts w:ascii="Nunito Sans" w:cs="Nunito Sans" w:eastAsia="Nunito Sans" w:hAnsi="Nunito Sans"/>
                <w:color w:val="102E3B"/>
                <w:sz w:val="19"/>
                <w:szCs w:val="19"/>
              </w:rPr>
              <w:t xml:space="preserve"> versión de este procedimiento. Lo ampliaremos a medida que crezcamos. Mientras tanto:</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nuestra persona responsable de incidentes.</w:t>
            </w:r>
            <w:r>
              <w:rPr>
                <w:rFonts w:ascii="Nunito Sans" w:cs="Nunito Sans" w:eastAsia="Nunito Sans" w:hAnsi="Nunito Sans"/>
                <w:color w:val="102E3B"/>
                <w:sz w:val="19"/>
                <w:szCs w:val="19"/>
              </w:rPr>
              <w:t xml:space="preserve"> Recibe los reportes, fija el nivel de gravedad, coordina la respuesta, realiza las notificaciones externas y lleva el registro de incidentes.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nuestra persona suplente responsable de incidentes.</w:t>
            </w:r>
            <w:r>
              <w:rPr>
                <w:rFonts w:ascii="Nunito Sans" w:cs="Nunito Sans" w:eastAsia="Nunito Sans" w:hAnsi="Nunito Sans"/>
                <w:color w:val="102E3B"/>
                <w:sz w:val="19"/>
                <w:szCs w:val="19"/>
              </w:rPr>
              <w:t xml:space="preserve"> Actúa cuando no se puede localizar a la persona responsable en un plazo de </w:t>
            </w:r>
            <w:r>
              <w:rPr>
                <w:rFonts w:ascii="Nunito Sans" w:cs="Nunito Sans" w:eastAsia="Nunito Sans" w:hAnsi="Nunito Sans"/>
                <w:color w:val="102E3B"/>
                <w:sz w:val="19"/>
                <w:szCs w:val="19"/>
                <w:highlight w:val="yellow"/>
              </w:rPr>
              <w:t xml:space="preserve">[2 horas]</w:t>
            </w:r>
            <w:r>
              <w:rPr>
                <w:rFonts w:ascii="Nunito Sans" w:cs="Nunito Sans" w:eastAsia="Nunito Sans" w:hAnsi="Nunito Sans"/>
                <w:color w:val="102E3B"/>
                <w:sz w:val="19"/>
                <w:szCs w:val="19"/>
              </w:rPr>
              <w:t xml:space="preserve"> ante un incidente alto o crítico, y gestiona cualquier incidente en el que esté implicada la persona responsable.</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w:t>
            </w:r>
            <w:r>
              <w:rPr>
                <w:rFonts w:ascii="Nunito Sans" w:cs="Nunito Sans" w:eastAsia="Nunito Sans" w:hAnsi="Nunito Sans"/>
                <w:b/>
                <w:bCs/>
                <w:color w:val="102E3B"/>
                <w:sz w:val="19"/>
                <w:szCs w:val="19"/>
              </w:rPr>
              <w:t xml:space="preserve">, que ocupa la presidencia de nuestro órgano de gobierno</w:t>
            </w:r>
            <w:r>
              <w:rPr>
                <w:rFonts w:ascii="Nunito Sans" w:cs="Nunito Sans" w:eastAsia="Nunito Sans" w:hAnsi="Nunito Sans"/>
                <w:color w:val="102E3B"/>
                <w:sz w:val="19"/>
                <w:szCs w:val="19"/>
              </w:rPr>
              <w:t xml:space="preserve"> </w:t>
            </w:r>
            <w:r>
              <w:rPr>
                <w:rFonts w:ascii="Nunito Sans" w:cs="Nunito Sans" w:eastAsia="Nunito Sans" w:hAnsi="Nunito Sans"/>
                <w:color w:val="102E3B"/>
                <w:sz w:val="19"/>
                <w:szCs w:val="19"/>
                <w:highlight w:val="yellow"/>
              </w:rPr>
              <w:t xml:space="preserve">[patronato / junta directiva / comité]</w:t>
            </w:r>
            <w:r>
              <w:rPr>
                <w:rFonts w:ascii="Nunito Sans" w:cs="Nunito Sans" w:eastAsia="Nunito Sans" w:hAnsi="Nunito Sans"/>
                <w:color w:val="102E3B"/>
                <w:sz w:val="19"/>
                <w:szCs w:val="19"/>
              </w:rPr>
              <w:t xml:space="preserve">, recibe información de todos los incidentes altos y críticos.</w:t>
            </w:r>
          </w:p>
          <w:p>
            <w:pPr>
              <w:pStyle w:val="ListParagraph"/>
              <w:numPr>
                <w:ilvl w:val="0"/>
                <w:numId w:val="3"/>
              </w:numPr>
              <w:spacing w:after="80" w:line="290"/>
            </w:pPr>
            <w:r>
              <w:rPr>
                <w:rFonts w:ascii="Nunito Sans" w:cs="Nunito Sans" w:eastAsia="Nunito Sans" w:hAnsi="Nunito Sans"/>
                <w:b/>
                <w:bCs/>
                <w:color w:val="102E3B"/>
                <w:sz w:val="19"/>
                <w:szCs w:val="19"/>
              </w:rPr>
              <w:t xml:space="preserve">Revisamos este procedimiento</w:t>
            </w:r>
            <w:r>
              <w:rPr>
                <w:rFonts w:ascii="Nunito Sans" w:cs="Nunito Sans" w:eastAsia="Nunito Sans" w:hAnsi="Nunito Sans"/>
                <w:color w:val="102E3B"/>
                <w:sz w:val="19"/>
                <w:szCs w:val="19"/>
              </w:rPr>
              <w:t xml:space="preserve"> al menos una vez al año, después de cualquier incidente alto o crítico y cuando cambian nuestras actividades, nuestros financiadores o los países donde trabajamos.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ESTOS ROLES</w:t>
            </w:r>
          </w:p>
          <w:p>
            <w:pPr>
              <w:spacing w:after="120" w:before="0" w:line="300"/>
            </w:pPr>
            <w:r>
              <w:rPr>
                <w:rFonts w:ascii="Nunito Sans" w:cs="Nunito Sans" w:eastAsia="Nunito Sans" w:hAnsi="Nunito Sans"/>
                <w:color w:val="102E3B"/>
                <w:sz w:val="19"/>
                <w:szCs w:val="19"/>
              </w:rPr>
              <w:t xml:space="preserve">En una organización pequeña, la persona fundadora o directora suele ser la responsable de incidentes. La persona suplente debería ser alguien que no dependa de la responsable de incidentes, como un miembro del órgano de gobierno, para que un incidente en el que esté implicada la responsable tenga igualmente adónde ir. Los incidentes de salvaguarda los dirige la persona responsable de salvaguarda; puede ser la misma persona, pero indícalo. Si todavía no tienes órgano de gobierno, nombra a una persona asesora externa que acepte que se le llame en caso de incidentes graves. Indica un número de teléfono que se atienda fuera del horario laboral si realizas actividades por la tarde o sobre el terreno.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Un incidente es cualquier hecho que ha causado o podría causar daño a personas, dinero, información o nuestra reputación. Los cuasi incidentes también cuentan.</w:t>
            </w:r>
          </w:p>
          <w:p>
            <w:pPr>
              <w:pStyle w:val="ListParagraph"/>
              <w:numPr>
                <w:ilvl w:val="0"/>
                <w:numId w:val="3"/>
              </w:numPr>
              <w:spacing w:after="80" w:line="290"/>
            </w:pPr>
            <w:r>
              <w:rPr>
                <w:rFonts w:ascii="Nunito Sans" w:cs="Nunito Sans" w:eastAsia="Nunito Sans" w:hAnsi="Nunito Sans"/>
                <w:color w:val="102E3B"/>
                <w:sz w:val="19"/>
                <w:szCs w:val="19"/>
              </w:rPr>
              <w:t xml:space="preserve">La seguridad es lo primero: si alguien está en peligro, llame a los servicios de emergencia al </w:t>
            </w:r>
            <w:r>
              <w:rPr>
                <w:rFonts w:ascii="Nunito Sans" w:cs="Nunito Sans" w:eastAsia="Nunito Sans" w:hAnsi="Nunito Sans"/>
                <w:color w:val="102E3B"/>
                <w:sz w:val="19"/>
                <w:szCs w:val="19"/>
                <w:highlight w:val="yellow"/>
              </w:rPr>
              <w:t xml:space="preserve">[número]</w:t>
            </w:r>
            <w:r>
              <w:rPr>
                <w:rFonts w:ascii="Nunito Sans" w:cs="Nunito Sans" w:eastAsia="Nunito Sans" w:hAnsi="Nunito Sans"/>
                <w:color w:val="102E3B"/>
                <w:sz w:val="19"/>
                <w:szCs w:val="19"/>
              </w:rPr>
              <w:t xml:space="preserve"> antes que nada.</w:t>
            </w:r>
          </w:p>
          <w:p>
            <w:pPr>
              <w:pStyle w:val="ListParagraph"/>
              <w:numPr>
                <w:ilvl w:val="0"/>
                <w:numId w:val="3"/>
              </w:numPr>
              <w:spacing w:after="80" w:line="290"/>
            </w:pPr>
            <w:r>
              <w:rPr>
                <w:rFonts w:ascii="Nunito Sans" w:cs="Nunito Sans" w:eastAsia="Nunito Sans" w:hAnsi="Nunito Sans"/>
                <w:color w:val="102E3B"/>
                <w:sz w:val="19"/>
                <w:szCs w:val="19"/>
              </w:rPr>
              <w:t xml:space="preserve">Informe de cada incidente a la persona responsable de incidentes </w:t>
            </w:r>
            <w:r>
              <w:rPr>
                <w:rFonts w:ascii="Nunito Sans" w:cs="Nunito Sans" w:eastAsia="Nunito Sans" w:hAnsi="Nunito Sans"/>
                <w:b/>
                <w:bCs/>
                <w:color w:val="102E3B"/>
                <w:sz w:val="19"/>
                <w:szCs w:val="19"/>
              </w:rPr>
              <w:t xml:space="preserve">en un plazo de </w:t>
            </w:r>
            <w:r>
              <w:rPr>
                <w:rFonts w:ascii="Nunito Sans" w:cs="Nunito Sans" w:eastAsia="Nunito Sans" w:hAnsi="Nunito Sans"/>
                <w:b/>
                <w:bCs/>
                <w:color w:val="102E3B"/>
                <w:sz w:val="19"/>
                <w:szCs w:val="19"/>
                <w:highlight w:val="yellow"/>
              </w:rPr>
              <w:t xml:space="preserve">[24 horas]</w:t>
            </w:r>
            <w:r>
              <w:rPr>
                <w:rFonts w:ascii="Nunito Sans" w:cs="Nunito Sans" w:eastAsia="Nunito Sans" w:hAnsi="Nunito Sans"/>
                <w:color w:val="102E3B"/>
                <w:sz w:val="19"/>
                <w:szCs w:val="19"/>
              </w:rPr>
              <w:t xml:space="preserve">, e </w:t>
            </w:r>
            <w:r>
              <w:rPr>
                <w:rFonts w:ascii="Nunito Sans" w:cs="Nunito Sans" w:eastAsia="Nunito Sans" w:hAnsi="Nunito Sans"/>
                <w:b/>
                <w:bCs/>
                <w:color w:val="102E3B"/>
                <w:sz w:val="19"/>
                <w:szCs w:val="19"/>
              </w:rPr>
              <w:t xml:space="preserve">inmediatamente</w:t>
            </w:r>
            <w:r>
              <w:rPr>
                <w:rFonts w:ascii="Nunito Sans" w:cs="Nunito Sans" w:eastAsia="Nunito Sans" w:hAnsi="Nunito Sans"/>
                <w:color w:val="102E3B"/>
                <w:sz w:val="19"/>
                <w:szCs w:val="19"/>
              </w:rPr>
              <w:t xml:space="preserve"> si es alto o crítico. Las preocupaciones de salvaguarda se dirigen a la persona responsable de salvaguarda. No necesita conocer todos los hechos.</w:t>
            </w:r>
          </w:p>
          <w:p>
            <w:pPr>
              <w:pStyle w:val="ListParagraph"/>
              <w:numPr>
                <w:ilvl w:val="0"/>
                <w:numId w:val="3"/>
              </w:numPr>
              <w:spacing w:after="80" w:line="290"/>
            </w:pPr>
            <w:r>
              <w:rPr>
                <w:rFonts w:ascii="Nunito Sans" w:cs="Nunito Sans" w:eastAsia="Nunito Sans" w:hAnsi="Nunito Sans"/>
                <w:color w:val="102E3B"/>
                <w:sz w:val="19"/>
                <w:szCs w:val="19"/>
              </w:rPr>
              <w:t xml:space="preserve">La persona responsable de incidentes fija el nivel de gravedad: bajo, medio, alto o crítico.</w:t>
            </w:r>
          </w:p>
          <w:p>
            <w:pPr>
              <w:pStyle w:val="ListParagraph"/>
              <w:numPr>
                <w:ilvl w:val="0"/>
                <w:numId w:val="3"/>
              </w:numPr>
              <w:spacing w:after="80" w:line="290"/>
            </w:pPr>
            <w:r>
              <w:rPr>
                <w:rFonts w:ascii="Nunito Sans" w:cs="Nunito Sans" w:eastAsia="Nunito Sans" w:hAnsi="Nunito Sans"/>
                <w:color w:val="102E3B"/>
                <w:sz w:val="19"/>
                <w:szCs w:val="19"/>
              </w:rPr>
              <w:t xml:space="preserve">Los incidentes altos y críticos se comunican a la dirección y a la presidencia del órgano de gobierno el mismo día.</w:t>
            </w:r>
          </w:p>
          <w:p>
            <w:pPr>
              <w:pStyle w:val="ListParagraph"/>
              <w:numPr>
                <w:ilvl w:val="0"/>
                <w:numId w:val="3"/>
              </w:numPr>
              <w:spacing w:after="80" w:line="290"/>
            </w:pPr>
            <w:r>
              <w:rPr>
                <w:rFonts w:ascii="Nunito Sans" w:cs="Nunito Sans" w:eastAsia="Nunito Sans" w:hAnsi="Nunito Sans"/>
                <w:color w:val="102E3B"/>
                <w:sz w:val="19"/>
                <w:szCs w:val="19"/>
              </w:rPr>
              <w:t xml:space="preserve">La persona responsable de incidentes realiza a tiempo las notificaciones externas: policía, reguladores, autoridad de protección de datos (a menudo en un plazo de 72 horas), financiadores (a menudo en un plazo de 24 a 72 horas) y aseguradoras.</w:t>
            </w:r>
          </w:p>
          <w:p>
            <w:pPr>
              <w:pStyle w:val="ListParagraph"/>
              <w:numPr>
                <w:ilvl w:val="0"/>
                <w:numId w:val="3"/>
              </w:numPr>
              <w:spacing w:after="80" w:line="290"/>
            </w:pPr>
            <w:r>
              <w:rPr>
                <w:rFonts w:ascii="Nunito Sans" w:cs="Nunito Sans" w:eastAsia="Nunito Sans" w:hAnsi="Nunito Sans"/>
                <w:color w:val="102E3B"/>
                <w:sz w:val="19"/>
                <w:szCs w:val="19"/>
              </w:rPr>
              <w:t xml:space="preserve">Los registros son confidenciales. Cada incidente se cierra con una breve revisión de aprendizaje.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Finalidad y alcance</w:t>
      </w:r>
    </w:p>
    <w:p>
      <w:pPr>
        <w:spacing w:after="120" w:before="0" w:line="300"/>
      </w:pPr>
      <w:r>
        <w:rPr>
          <w:rFonts w:ascii="Nunito Sans" w:cs="Nunito Sans" w:eastAsia="Nunito Sans" w:hAnsi="Nunito Sans"/>
          <w:color w:val="102E3B"/>
          <w:sz w:val="20"/>
          <w:szCs w:val="20"/>
        </w:rPr>
        <w:t xml:space="preserve">Este procedimiento explica qué hacer cuando se produce un incidente relacionado con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en el trabajo, en nuestras actividades, al viajar para nosotros y en línea.</w:t>
      </w:r>
    </w:p>
    <w:p>
      <w:pPr>
        <w:spacing w:after="120" w:before="0" w:line="300"/>
      </w:pPr>
      <w:r>
        <w:rPr>
          <w:rFonts w:ascii="Nunito Sans" w:cs="Nunito Sans" w:eastAsia="Nunito Sans" w:hAnsi="Nunito Sans"/>
          <w:color w:val="102E3B"/>
          <w:sz w:val="20"/>
          <w:szCs w:val="20"/>
        </w:rPr>
        <w:t xml:space="preserve">Un </w:t>
      </w:r>
      <w:r>
        <w:rPr>
          <w:rFonts w:ascii="Nunito Sans" w:cs="Nunito Sans" w:eastAsia="Nunito Sans" w:hAnsi="Nunito Sans"/>
          <w:b/>
          <w:bCs/>
          <w:color w:val="102E3B"/>
          <w:sz w:val="20"/>
          <w:szCs w:val="20"/>
        </w:rPr>
        <w:t xml:space="preserve">incidente</w:t>
      </w:r>
      <w:r>
        <w:rPr>
          <w:rFonts w:ascii="Nunito Sans" w:cs="Nunito Sans" w:eastAsia="Nunito Sans" w:hAnsi="Nunito Sans"/>
          <w:color w:val="102E3B"/>
          <w:sz w:val="20"/>
          <w:szCs w:val="20"/>
        </w:rPr>
        <w:t xml:space="preserve"> es un hecho que ha causado o podría causar daño a personas, dinero, bienes, información personal o nuestra reputación. Un </w:t>
      </w:r>
      <w:r>
        <w:rPr>
          <w:rFonts w:ascii="Nunito Sans" w:cs="Nunito Sans" w:eastAsia="Nunito Sans" w:hAnsi="Nunito Sans"/>
          <w:b/>
          <w:bCs/>
          <w:color w:val="102E3B"/>
          <w:sz w:val="20"/>
          <w:szCs w:val="20"/>
        </w:rPr>
        <w:t xml:space="preserve">cuasi incidente</w:t>
      </w:r>
      <w:r>
        <w:rPr>
          <w:rFonts w:ascii="Nunito Sans" w:cs="Nunito Sans" w:eastAsia="Nunito Sans" w:hAnsi="Nunito Sans"/>
          <w:color w:val="102E3B"/>
          <w:sz w:val="20"/>
          <w:szCs w:val="20"/>
        </w:rPr>
        <w:t xml:space="preserve"> podría haber causado daño, pero no lo hizo. Informe también de los cuasi incidentes: nos muestran dónde mejorar.</w:t>
      </w:r>
    </w:p>
    <w:p>
      <w:pPr>
        <w:spacing w:after="120" w:before="0" w:line="300"/>
      </w:pPr>
      <w:r>
        <w:rPr>
          <w:rFonts w:ascii="Nunito Sans" w:cs="Nunito Sans" w:eastAsia="Nunito Sans" w:hAnsi="Nunito Sans"/>
          <w:color w:val="102E3B"/>
          <w:sz w:val="20"/>
          <w:szCs w:val="20"/>
        </w:rPr>
        <w:t xml:space="preserve">Algunos incidentes se investigan después conforme a su propia política:</w:t>
      </w:r>
    </w:p>
    <w:p>
      <w:pPr>
        <w:pStyle w:val="ListParagraph"/>
        <w:numPr>
          <w:ilvl w:val="0"/>
          <w:numId w:val="3"/>
        </w:numPr>
        <w:spacing w:after="80" w:line="290"/>
      </w:pPr>
      <w:r>
        <w:rPr>
          <w:rFonts w:ascii="Nunito Sans" w:cs="Nunito Sans" w:eastAsia="Nunito Sans" w:hAnsi="Nunito Sans"/>
          <w:color w:val="102E3B"/>
          <w:sz w:val="20"/>
          <w:szCs w:val="20"/>
        </w:rPr>
        <w:t xml:space="preserve">daño, abuso o explotación: Política y Procedimiento de Salvaguarda;</w:t>
      </w:r>
    </w:p>
    <w:p>
      <w:pPr>
        <w:pStyle w:val="ListParagraph"/>
        <w:numPr>
          <w:ilvl w:val="0"/>
          <w:numId w:val="3"/>
        </w:numPr>
        <w:spacing w:after="80" w:line="290"/>
      </w:pPr>
      <w:r>
        <w:rPr>
          <w:rFonts w:ascii="Nunito Sans" w:cs="Nunito Sans" w:eastAsia="Nunito Sans" w:hAnsi="Nunito Sans"/>
          <w:color w:val="102E3B"/>
          <w:sz w:val="20"/>
          <w:szCs w:val="20"/>
        </w:rPr>
        <w:t xml:space="preserve">fraude, robo, soborno o corrupción: Política y Procedimiento contra el Fraude, el Soborno y la Corrupción;</w:t>
      </w:r>
    </w:p>
    <w:p>
      <w:pPr>
        <w:pStyle w:val="ListParagraph"/>
        <w:numPr>
          <w:ilvl w:val="0"/>
          <w:numId w:val="3"/>
        </w:numPr>
        <w:spacing w:after="80" w:line="290"/>
      </w:pPr>
      <w:r>
        <w:rPr>
          <w:rFonts w:ascii="Nunito Sans" w:cs="Nunito Sans" w:eastAsia="Nunito Sans" w:hAnsi="Nunito Sans"/>
          <w:color w:val="102E3B"/>
          <w:sz w:val="20"/>
          <w:szCs w:val="20"/>
        </w:rPr>
        <w:t xml:space="preserve">datos personales perdidos, robados o compartidos indebidamente: Procedimiento de Respuesta ante Brechas de Datos;</w:t>
      </w:r>
    </w:p>
    <w:p>
      <w:pPr>
        <w:pStyle w:val="ListParagraph"/>
        <w:numPr>
          <w:ilvl w:val="0"/>
          <w:numId w:val="3"/>
        </w:numPr>
        <w:spacing w:after="80" w:line="290"/>
      </w:pPr>
      <w:r>
        <w:rPr>
          <w:rFonts w:ascii="Nunito Sans" w:cs="Nunito Sans" w:eastAsia="Nunito Sans" w:hAnsi="Nunito Sans"/>
          <w:color w:val="102E3B"/>
          <w:sz w:val="20"/>
          <w:szCs w:val="20"/>
        </w:rPr>
        <w:t xml:space="preserve">quejas de las personas a las que servimos, de personas que nos apoyan o del público: Procedimiento de Quejas y Retroalimentación.</w:t>
      </w:r>
    </w:p>
    <w:p>
      <w:pPr>
        <w:spacing w:after="120" w:before="0" w:line="300"/>
      </w:pPr>
      <w:r>
        <w:rPr>
          <w:rFonts w:ascii="Nunito Sans" w:cs="Nunito Sans" w:eastAsia="Nunito Sans" w:hAnsi="Nunito Sans"/>
          <w:color w:val="102E3B"/>
          <w:sz w:val="20"/>
          <w:szCs w:val="20"/>
        </w:rPr>
        <w:t xml:space="preserve">Si no está seguro de cuál se aplica, informe conforme a este procedimiento. La persona responsable de incidentes lo encauzará. También puede plantear una preocupación de forma confidencial conforme a nuestra Política y Procedimiento de Denuncia de Irregularidades.</w:t>
      </w:r>
    </w:p>
    <w:p>
      <w:pPr>
        <w:spacing w:after="120" w:before="0" w:line="300"/>
      </w:pPr>
      <w:r>
        <w:rPr>
          <w:rFonts w:ascii="Nunito Sans" w:cs="Nunito Sans" w:eastAsia="Nunito Sans" w:hAnsi="Nunito Sans"/>
          <w:b/>
          <w:bCs/>
          <w:color w:val="102E3B"/>
          <w:sz w:val="20"/>
          <w:szCs w:val="20"/>
        </w:rPr>
        <w:t xml:space="preserve">Ley.</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está registrada en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y cumple sus leyes, así como la ley de cualquier otro país donde trabajemos. Cuando las normas de un financiador o socio son más estrictas que este procedimiento, se aplica la norma más estricta a su proyecto.</w:t>
      </w:r>
    </w:p>
    <w:p>
      <w:pPr>
        <w:pStyle w:val="Heading1"/>
        <w:keepNext/>
        <w:spacing w:after="160" w:before="360"/>
      </w:pPr>
      <w:r>
        <w:rPr>
          <w:rFonts w:ascii="DM Serif Display" w:cs="DM Serif Display" w:eastAsia="DM Serif Display" w:hAnsi="DM Serif Display"/>
          <w:color w:val="123C48"/>
          <w:sz w:val="40"/>
          <w:szCs w:val="40"/>
        </w:rPr>
        <w:t xml:space="preserve">Niveles de gravedad</w:t>
      </w:r>
    </w:p>
    <w:p>
      <w:pPr>
        <w:spacing w:after="120" w:before="0" w:line="300"/>
      </w:pPr>
      <w:r>
        <w:rPr>
          <w:rFonts w:ascii="Nunito Sans" w:cs="Nunito Sans" w:eastAsia="Nunito Sans" w:hAnsi="Nunito Sans"/>
          <w:color w:val="102E3B"/>
          <w:sz w:val="20"/>
          <w:szCs w:val="20"/>
        </w:rPr>
        <w:t xml:space="preserve">La persona responsable de incidentes fija el nivel al recibir un reporte. Si tiene dudas, elige el nivel más alto: después puede rebajarse.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8"/>
        <w:gridCol w:w="2571"/>
        <w:gridCol w:w="3428"/>
        <w:gridCol w:w="2287"/>
      </w:tblGrid>
      <w:tr>
        <w:trPr>
          <w:cantSplit/>
          <w:tblHeader/>
        </w:trPr>
        <w:tc>
          <w:tcPr>
            <w:tcW w:type="dxa" w:w="1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NIVEL</w:t>
            </w:r>
          </w:p>
        </w:tc>
        <w:tc>
          <w:tcPr>
            <w:tcW w:type="dxa" w:w="257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SIGNIFICA</w:t>
            </w:r>
          </w:p>
        </w:tc>
        <w:tc>
          <w:tcPr>
            <w:tcW w:type="dxa" w:w="342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EJEMPLOS</w:t>
            </w:r>
          </w:p>
        </w:tc>
        <w:tc>
          <w:tcPr>
            <w:tcW w:type="dxa" w:w="228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 QUIÉN SE INFORMA Y CUÁNDO</w:t>
            </w:r>
          </w:p>
        </w:tc>
      </w:tr>
      <w:tr>
        <w:trPr>
          <w:cantSplit/>
          <w:tblHeader w:val="off"/>
        </w:trPr>
        <w:tc>
          <w:tcPr>
            <w:tcW w:type="dxa" w:w="1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Bajo</w:t>
            </w:r>
          </w:p>
        </w:tc>
        <w:tc>
          <w:tcPr>
            <w:tcW w:type="dxa" w:w="2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Daño leve o un cuasi incidente. Sin efectos duraderos.</w:t>
            </w:r>
          </w:p>
        </w:tc>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 corte leve en una actividad; un pequeño error de pago, detectado y corregido; un comentario grosero en redes sociales.</w:t>
            </w:r>
          </w:p>
        </w:tc>
        <w:tc>
          <w:tcPr>
            <w:tcW w:type="dxa" w:w="2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incidentes en un plazo de </w:t>
            </w:r>
            <w:r>
              <w:rPr>
                <w:rFonts w:ascii="Nunito Sans" w:cs="Nunito Sans" w:eastAsia="Nunito Sans" w:hAnsi="Nunito Sans"/>
                <w:color w:val="102E3B"/>
                <w:sz w:val="18"/>
                <w:szCs w:val="18"/>
                <w:highlight w:val="yellow"/>
              </w:rPr>
              <w:t xml:space="preserve">[24 horas]</w:t>
            </w:r>
            <w:r>
              <w:rPr>
                <w:rFonts w:ascii="Nunito Sans" w:cs="Nunito Sans" w:eastAsia="Nunito Sans" w:hAnsi="Nunito Sans"/>
                <w:color w:val="102E3B"/>
                <w:sz w:val="18"/>
                <w:szCs w:val="18"/>
              </w:rPr>
              <w:t xml:space="preserve">. Se registra.</w:t>
            </w:r>
          </w:p>
        </w:tc>
      </w:tr>
      <w:tr>
        <w:trPr>
          <w:cantSplit/>
          <w:tblHeader w:val="off"/>
        </w:trPr>
        <w:tc>
          <w:tcPr>
            <w:tcW w:type="dxa" w:w="1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Medio</w:t>
            </w:r>
          </w:p>
        </w:tc>
        <w:tc>
          <w:tcPr>
            <w:tcW w:type="dxa" w:w="257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Algún daño o pérdida, o un riesgo claro de que haya más. Requiere una respuesta planificada.</w:t>
            </w:r>
          </w:p>
        </w:tc>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Una lesión que requiere tratamiento médico; el robo de equipos; un correo electrónico con datos personales enviado a la persona equivocada; una queja formal sobre un miembro del personal.</w:t>
            </w:r>
          </w:p>
        </w:tc>
        <w:tc>
          <w:tcPr>
            <w:tcW w:type="dxa" w:w="2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incidentes en un plazo de </w:t>
            </w:r>
            <w:r>
              <w:rPr>
                <w:rFonts w:ascii="Nunito Sans" w:cs="Nunito Sans" w:eastAsia="Nunito Sans" w:hAnsi="Nunito Sans"/>
                <w:color w:val="102E3B"/>
                <w:sz w:val="18"/>
                <w:szCs w:val="18"/>
                <w:highlight w:val="yellow"/>
              </w:rPr>
              <w:t xml:space="preserve">[24 horas]</w:t>
            </w:r>
            <w:r>
              <w:rPr>
                <w:rFonts w:ascii="Nunito Sans" w:cs="Nunito Sans" w:eastAsia="Nunito Sans" w:hAnsi="Nunito Sans"/>
                <w:color w:val="102E3B"/>
                <w:sz w:val="18"/>
                <w:szCs w:val="18"/>
              </w:rPr>
              <w:t xml:space="preserve">. Dirección en un plazo de </w:t>
            </w:r>
            <w:r>
              <w:rPr>
                <w:rFonts w:ascii="Nunito Sans" w:cs="Nunito Sans" w:eastAsia="Nunito Sans" w:hAnsi="Nunito Sans"/>
                <w:color w:val="102E3B"/>
                <w:sz w:val="18"/>
                <w:szCs w:val="18"/>
                <w:highlight w:val="yellow"/>
              </w:rPr>
              <w:t xml:space="preserve">[2 días hábiles]</w:t>
            </w:r>
            <w:r>
              <w:rPr>
                <w:rFonts w:ascii="Nunito Sans" w:cs="Nunito Sans" w:eastAsia="Nunito Sans" w:hAnsi="Nunito Sans"/>
                <w:color w:val="102E3B"/>
                <w:sz w:val="18"/>
                <w:szCs w:val="18"/>
              </w:rPr>
              <w:t xml:space="preserve">.</w:t>
            </w:r>
          </w:p>
        </w:tc>
      </w:tr>
      <w:tr>
        <w:trPr>
          <w:cantSplit/>
          <w:tblHeader w:val="off"/>
        </w:trPr>
        <w:tc>
          <w:tcPr>
            <w:tcW w:type="dxa" w:w="1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Alto</w:t>
            </w:r>
          </w:p>
        </w:tc>
        <w:tc>
          <w:tcPr>
            <w:tcW w:type="dxa" w:w="2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Daño o pérdida graves, o un riesgo grave para las personas, los fondos o nuestra reputación. Puede requerir una notificación externa.</w:t>
            </w:r>
          </w:p>
        </w:tc>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Cualquier preocupación de salvaguarda; una acusación de explotación, abuso o acoso sexuales; una sospecha de fraude superior a </w:t>
            </w:r>
            <w:r>
              <w:rPr>
                <w:rFonts w:ascii="Nunito Sans" w:cs="Nunito Sans" w:eastAsia="Nunito Sans" w:hAnsi="Nunito Sans"/>
                <w:color w:val="102E3B"/>
                <w:sz w:val="18"/>
                <w:szCs w:val="18"/>
                <w:highlight w:val="yellow"/>
              </w:rPr>
              <w:t xml:space="preserve">[importe]</w:t>
            </w:r>
            <w:r>
              <w:rPr>
                <w:rFonts w:ascii="Nunito Sans" w:cs="Nunito Sans" w:eastAsia="Nunito Sans" w:hAnsi="Nunito Sans"/>
                <w:color w:val="102E3B"/>
                <w:sz w:val="18"/>
                <w:szCs w:val="18"/>
              </w:rPr>
              <w:t xml:space="preserve">; una brecha de datos que afecta a las personas a las que servimos; una lesión grave; una amenaza contra el personal; una queja grave de una comunidad; una cobertura negativa en los medios.</w:t>
            </w:r>
          </w:p>
        </w:tc>
        <w:tc>
          <w:tcPr>
            <w:tcW w:type="dxa" w:w="2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incidentes (persona responsable de salvaguarda en los casos de salvaguarda) </w:t>
            </w:r>
            <w:r>
              <w:rPr>
                <w:rFonts w:ascii="Nunito Sans" w:cs="Nunito Sans" w:eastAsia="Nunito Sans" w:hAnsi="Nunito Sans"/>
                <w:b/>
                <w:bCs/>
                <w:color w:val="102E3B"/>
                <w:sz w:val="18"/>
                <w:szCs w:val="18"/>
              </w:rPr>
              <w:t xml:space="preserve">de inmediato</w:t>
            </w:r>
            <w:r>
              <w:rPr>
                <w:rFonts w:ascii="Nunito Sans" w:cs="Nunito Sans" w:eastAsia="Nunito Sans" w:hAnsi="Nunito Sans"/>
                <w:color w:val="102E3B"/>
                <w:sz w:val="18"/>
                <w:szCs w:val="18"/>
              </w:rPr>
              <w:t xml:space="preserve">. Dirección y presidencia del órgano de gobierno </w:t>
            </w:r>
            <w:r>
              <w:rPr>
                <w:rFonts w:ascii="Nunito Sans" w:cs="Nunito Sans" w:eastAsia="Nunito Sans" w:hAnsi="Nunito Sans"/>
                <w:b/>
                <w:bCs/>
                <w:color w:val="102E3B"/>
                <w:sz w:val="18"/>
                <w:szCs w:val="18"/>
              </w:rPr>
              <w:t xml:space="preserve">el mismo día</w:t>
            </w:r>
            <w:r>
              <w:rPr>
                <w:rFonts w:ascii="Nunito Sans" w:cs="Nunito Sans" w:eastAsia="Nunito Sans" w:hAnsi="Nunito Sans"/>
                <w:color w:val="102E3B"/>
                <w:sz w:val="18"/>
                <w:szCs w:val="18"/>
              </w:rPr>
              <w:t xml:space="preserve">, salvo que estén implicadas.</w:t>
            </w:r>
          </w:p>
        </w:tc>
      </w:tr>
      <w:tr>
        <w:trPr>
          <w:cantSplit/>
          <w:tblHeader w:val="off"/>
        </w:trPr>
        <w:tc>
          <w:tcPr>
            <w:tcW w:type="dxa" w:w="1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Crítico</w:t>
            </w:r>
          </w:p>
        </w:tc>
        <w:tc>
          <w:tcPr>
            <w:tcW w:type="dxa" w:w="257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Pone en peligro la vida o amenaza nuestra capacidad de funcionar.</w:t>
            </w:r>
          </w:p>
        </w:tc>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 fallecimiento; el secuestro, arresto o detención de cualquier persona que trabaje para nosotros; una agresión sexual; un fraude a gran escala; una brecha grave de datos sensibles; una prohibición de nuestro trabajo; una crisis en los medios nacionales.</w:t>
            </w:r>
          </w:p>
        </w:tc>
        <w:tc>
          <w:tcPr>
            <w:tcW w:type="dxa" w:w="2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incidentes </w:t>
            </w:r>
            <w:r>
              <w:rPr>
                <w:rFonts w:ascii="Nunito Sans" w:cs="Nunito Sans" w:eastAsia="Nunito Sans" w:hAnsi="Nunito Sans"/>
                <w:b/>
                <w:bCs/>
                <w:color w:val="102E3B"/>
                <w:sz w:val="18"/>
                <w:szCs w:val="18"/>
              </w:rPr>
              <w:t xml:space="preserve">de inmediato</w:t>
            </w:r>
            <w:r>
              <w:rPr>
                <w:rFonts w:ascii="Nunito Sans" w:cs="Nunito Sans" w:eastAsia="Nunito Sans" w:hAnsi="Nunito Sans"/>
                <w:color w:val="102E3B"/>
                <w:sz w:val="18"/>
                <w:szCs w:val="18"/>
              </w:rPr>
              <w:t xml:space="preserve"> por teléfono. Dirección y presidencia del órgano de gobierno </w:t>
            </w:r>
            <w:r>
              <w:rPr>
                <w:rFonts w:ascii="Nunito Sans" w:cs="Nunito Sans" w:eastAsia="Nunito Sans" w:hAnsi="Nunito Sans"/>
                <w:b/>
                <w:bCs/>
                <w:color w:val="102E3B"/>
                <w:sz w:val="18"/>
                <w:szCs w:val="18"/>
              </w:rPr>
              <w:t xml:space="preserve">en un plazo de </w:t>
            </w:r>
            <w:r>
              <w:rPr>
                <w:rFonts w:ascii="Nunito Sans" w:cs="Nunito Sans" w:eastAsia="Nunito Sans" w:hAnsi="Nunito Sans"/>
                <w:b/>
                <w:bCs/>
                <w:color w:val="102E3B"/>
                <w:sz w:val="18"/>
                <w:szCs w:val="18"/>
                <w:highlight w:val="yellow"/>
              </w:rPr>
              <w:t xml:space="preserve">[2 horas]</w:t>
            </w:r>
            <w:r>
              <w:rPr>
                <w:rFonts w:ascii="Nunito Sans" w:cs="Nunito Sans" w:eastAsia="Nunito Sans" w:hAnsi="Nunito Sans"/>
                <w:color w:val="102E3B"/>
                <w:sz w:val="18"/>
                <w:szCs w:val="18"/>
              </w:rPr>
              <w:t xml:space="preserv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NIVELES DE GRAVEDAD Y UMBRALES</w:t>
            </w:r>
          </w:p>
          <w:p>
            <w:pPr>
              <w:spacing w:after="120" w:before="0" w:line="300"/>
            </w:pPr>
            <w:r>
              <w:rPr>
                <w:rFonts w:ascii="Nunito Sans" w:cs="Nunito Sans" w:eastAsia="Nunito Sans" w:hAnsi="Nunito Sans"/>
                <w:color w:val="102E3B"/>
                <w:sz w:val="19"/>
                <w:szCs w:val="19"/>
              </w:rPr>
              <w:t xml:space="preserve">Fija un umbral económico para el nivel "alto" que se ajuste a tu presupuesto, por ejemplo cualquier pérdida superior a </w:t>
            </w:r>
            <w:r>
              <w:rPr>
                <w:rFonts w:ascii="Nunito Sans" w:cs="Nunito Sans" w:eastAsia="Nunito Sans" w:hAnsi="Nunito Sans"/>
                <w:color w:val="102E3B"/>
                <w:sz w:val="19"/>
                <w:szCs w:val="19"/>
                <w:highlight w:val="yellow"/>
              </w:rPr>
              <w:t xml:space="preserve">[importe y moneda]</w:t>
            </w:r>
            <w:r>
              <w:rPr>
                <w:rFonts w:ascii="Nunito Sans" w:cs="Nunito Sans" w:eastAsia="Nunito Sans" w:hAnsi="Nunito Sans"/>
                <w:color w:val="102E3B"/>
                <w:sz w:val="19"/>
                <w:szCs w:val="19"/>
              </w:rPr>
              <w:t xml:space="preserve">. Recomendamos tratar toda preocupación de salvaguarda como mínimo como alta, por el riesgo para la persona afectada y las obligaciones de notificación que pueden derivarse. Añade ejemplos de tu propio trabajo, como un niño o niña que desaparece durante una actividad, un accidente de vehículo sobre el terreno o un ciberataque. Si tus acuerdos de subvención definen un "incidente grave", copia aquí esa definición para que no se pase nada por alto.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Paso 1: Proteger a las personas</w:t>
      </w:r>
    </w:p>
    <w:p>
      <w:pPr>
        <w:pStyle w:val="ListParagraph"/>
        <w:numPr>
          <w:ilvl w:val="0"/>
          <w:numId w:val="4"/>
        </w:numPr>
        <w:spacing w:after="80" w:line="290"/>
      </w:pPr>
      <w:r>
        <w:rPr>
          <w:rFonts w:ascii="Nunito Sans" w:cs="Nunito Sans" w:eastAsia="Nunito Sans" w:hAnsi="Nunito Sans"/>
          <w:b/>
          <w:bCs/>
          <w:color w:val="102E3B"/>
          <w:sz w:val="20"/>
          <w:szCs w:val="20"/>
        </w:rPr>
        <w:t xml:space="preserve">Si alguien corre un peligro inmediato</w:t>
      </w:r>
      <w:r>
        <w:rPr>
          <w:rFonts w:ascii="Nunito Sans" w:cs="Nunito Sans" w:eastAsia="Nunito Sans" w:hAnsi="Nunito Sans"/>
          <w:color w:val="102E3B"/>
          <w:sz w:val="20"/>
          <w:szCs w:val="20"/>
        </w:rPr>
        <w:t xml:space="preserve">, llame a los servicios de emergencia al </w:t>
      </w:r>
      <w:r>
        <w:rPr>
          <w:rFonts w:ascii="Nunito Sans" w:cs="Nunito Sans" w:eastAsia="Nunito Sans" w:hAnsi="Nunito Sans"/>
          <w:color w:val="102E3B"/>
          <w:sz w:val="20"/>
          <w:szCs w:val="20"/>
          <w:highlight w:val="yellow"/>
        </w:rPr>
        <w:t xml:space="preserve">[número de emergencia]</w:t>
      </w:r>
      <w:r>
        <w:rPr>
          <w:rFonts w:ascii="Nunito Sans" w:cs="Nunito Sans" w:eastAsia="Nunito Sans" w:hAnsi="Nunito Sans"/>
          <w:color w:val="102E3B"/>
          <w:sz w:val="20"/>
          <w:szCs w:val="20"/>
        </w:rPr>
        <w:t xml:space="preserve"> o a la policía al </w:t>
      </w:r>
      <w:r>
        <w:rPr>
          <w:rFonts w:ascii="Nunito Sans" w:cs="Nunito Sans" w:eastAsia="Nunito Sans" w:hAnsi="Nunito Sans"/>
          <w:color w:val="102E3B"/>
          <w:sz w:val="20"/>
          <w:szCs w:val="20"/>
          <w:highlight w:val="yellow"/>
        </w:rPr>
        <w:t xml:space="preserve">[número de la policía]</w:t>
      </w:r>
      <w:r>
        <w:rPr>
          <w:rFonts w:ascii="Nunito Sans" w:cs="Nunito Sans" w:eastAsia="Nunito Sans" w:hAnsi="Nunito Sans"/>
          <w:color w:val="102E3B"/>
          <w:sz w:val="20"/>
          <w:szCs w:val="20"/>
        </w:rPr>
        <w:t xml:space="preserve">. Busque ayuda médica para cualquier persona herida.</w:t>
      </w:r>
    </w:p>
    <w:p>
      <w:pPr>
        <w:pStyle w:val="ListParagraph"/>
        <w:numPr>
          <w:ilvl w:val="0"/>
          <w:numId w:val="4"/>
        </w:numPr>
        <w:spacing w:after="80" w:line="290"/>
      </w:pPr>
      <w:r>
        <w:rPr>
          <w:rFonts w:ascii="Nunito Sans" w:cs="Nunito Sans" w:eastAsia="Nunito Sans" w:hAnsi="Nunito Sans"/>
          <w:b/>
          <w:bCs/>
          <w:color w:val="102E3B"/>
          <w:sz w:val="20"/>
          <w:szCs w:val="20"/>
        </w:rPr>
        <w:t xml:space="preserve">Protéjase.</w:t>
      </w:r>
      <w:r>
        <w:rPr>
          <w:rFonts w:ascii="Nunito Sans" w:cs="Nunito Sans" w:eastAsia="Nunito Sans" w:hAnsi="Nunito Sans"/>
          <w:color w:val="102E3B"/>
          <w:sz w:val="20"/>
          <w:szCs w:val="20"/>
        </w:rPr>
        <w:t xml:space="preserve"> No se ponga en riesgo para proteger bienes o pruebas.</w:t>
      </w:r>
    </w:p>
    <w:p>
      <w:pPr>
        <w:pStyle w:val="ListParagraph"/>
        <w:numPr>
          <w:ilvl w:val="0"/>
          <w:numId w:val="4"/>
        </w:numPr>
        <w:spacing w:after="80" w:line="290"/>
      </w:pPr>
      <w:r>
        <w:rPr>
          <w:rFonts w:ascii="Nunito Sans" w:cs="Nunito Sans" w:eastAsia="Nunito Sans" w:hAnsi="Nunito Sans"/>
          <w:b/>
          <w:bCs/>
          <w:color w:val="102E3B"/>
          <w:sz w:val="20"/>
          <w:szCs w:val="20"/>
        </w:rPr>
        <w:t xml:space="preserve">Detenga el daño si puede hacerlo de forma segura</w:t>
      </w:r>
      <w:r>
        <w:rPr>
          <w:rFonts w:ascii="Nunito Sans" w:cs="Nunito Sans" w:eastAsia="Nunito Sans" w:hAnsi="Nunito Sans"/>
          <w:color w:val="102E3B"/>
          <w:sz w:val="20"/>
          <w:szCs w:val="20"/>
        </w:rPr>
        <w:t xml:space="preserve">, por ejemplo alejando a las personas de un peligro o desconectando de la red un dispositivo comprometido.</w:t>
      </w:r>
    </w:p>
    <w:p>
      <w:pPr>
        <w:pStyle w:val="ListParagraph"/>
        <w:numPr>
          <w:ilvl w:val="0"/>
          <w:numId w:val="4"/>
        </w:numPr>
        <w:spacing w:after="80" w:line="290"/>
      </w:pPr>
      <w:r>
        <w:rPr>
          <w:rFonts w:ascii="Nunito Sans" w:cs="Nunito Sans" w:eastAsia="Nunito Sans" w:hAnsi="Nunito Sans"/>
          <w:b/>
          <w:bCs/>
          <w:color w:val="102E3B"/>
          <w:sz w:val="20"/>
          <w:szCs w:val="20"/>
        </w:rPr>
        <w:t xml:space="preserve">Cuide de la persona afectada.</w:t>
      </w:r>
      <w:r>
        <w:rPr>
          <w:rFonts w:ascii="Nunito Sans" w:cs="Nunito Sans" w:eastAsia="Nunito Sans" w:hAnsi="Nunito Sans"/>
          <w:color w:val="102E3B"/>
          <w:sz w:val="20"/>
          <w:szCs w:val="20"/>
        </w:rPr>
        <w:t xml:space="preserve"> Escuche, mantenga la calma y dígale que ha hecho bien en hablar. No haga preguntas que sugieran la respuesta ni prometa guardar secretos.</w:t>
      </w:r>
    </w:p>
    <w:p>
      <w:pPr>
        <w:pStyle w:val="ListParagraph"/>
        <w:numPr>
          <w:ilvl w:val="0"/>
          <w:numId w:val="4"/>
        </w:numPr>
        <w:spacing w:after="80" w:line="290"/>
      </w:pPr>
      <w:r>
        <w:rPr>
          <w:rFonts w:ascii="Nunito Sans" w:cs="Nunito Sans" w:eastAsia="Nunito Sans" w:hAnsi="Nunito Sans"/>
          <w:b/>
          <w:bCs/>
          <w:color w:val="102E3B"/>
          <w:sz w:val="20"/>
          <w:szCs w:val="20"/>
        </w:rPr>
        <w:t xml:space="preserve">Conserve las pruebas.</w:t>
      </w:r>
      <w:r>
        <w:rPr>
          <w:rFonts w:ascii="Nunito Sans" w:cs="Nunito Sans" w:eastAsia="Nunito Sans" w:hAnsi="Nunito Sans"/>
          <w:color w:val="102E3B"/>
          <w:sz w:val="20"/>
          <w:szCs w:val="20"/>
        </w:rPr>
        <w:t xml:space="preserve"> No borre mensajes, no limpie ni modifique registros. Nunca fotografíe a una persona que ha sufrido un daño.</w:t>
      </w:r>
    </w:p>
    <w:p>
      <w:pPr>
        <w:pStyle w:val="ListParagraph"/>
        <w:numPr>
          <w:ilvl w:val="0"/>
          <w:numId w:val="4"/>
        </w:numPr>
        <w:spacing w:after="80" w:line="290"/>
      </w:pPr>
      <w:r>
        <w:rPr>
          <w:rFonts w:ascii="Nunito Sans" w:cs="Nunito Sans" w:eastAsia="Nunito Sans" w:hAnsi="Nunito Sans"/>
          <w:b/>
          <w:bCs/>
          <w:color w:val="102E3B"/>
          <w:sz w:val="20"/>
          <w:szCs w:val="20"/>
        </w:rPr>
        <w:t xml:space="preserve">No investigue ni confronte a nadie</w:t>
      </w:r>
      <w:r>
        <w:rPr>
          <w:rFonts w:ascii="Nunito Sans" w:cs="Nunito Sans" w:eastAsia="Nunito Sans" w:hAnsi="Nunito Sans"/>
          <w:color w:val="102E3B"/>
          <w:sz w:val="20"/>
          <w:szCs w:val="20"/>
        </w:rPr>
        <w:t xml:space="preserve"> a quien considere responsable. Puede poner a personas en riesgo.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CONTACTOS DE EMERGENCIA LOCALES</w:t>
            </w:r>
          </w:p>
          <w:p>
            <w:pPr>
              <w:spacing w:after="120" w:before="0" w:line="300"/>
            </w:pPr>
            <w:r>
              <w:rPr>
                <w:rFonts w:ascii="Nunito Sans" w:cs="Nunito Sans" w:eastAsia="Nunito Sans" w:hAnsi="Nunito Sans"/>
                <w:color w:val="102E3B"/>
                <w:sz w:val="19"/>
                <w:szCs w:val="19"/>
              </w:rPr>
              <w:t xml:space="preserve">Anota los números reales de cada lugar donde trabajas: policía, ambulancia, bomberos, el hospital o la clínica más cercanos y los contactos de seguridad. Entre los números habituales están el 112 (UE y muchos otros países), el 999 (Reino Unido, Kenia y otros) y el 911 (Estados Unidos y varios países de América Latina), pero la cobertura y la respuesta varían: compruébalo localmente y prueba el número. Cuando llamar a la policía pueda poner en riesgo a personas sobrevivientes o al personal, deja por escrito quién decide y cómo. Guarda la lista en el teléfono de todas las personas.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Paso 2: Informar</w:t>
      </w:r>
    </w:p>
    <w:p>
      <w:pPr>
        <w:spacing w:after="120" w:before="0" w:line="300"/>
      </w:pPr>
      <w:r>
        <w:rPr>
          <w:rFonts w:ascii="Nunito Sans" w:cs="Nunito Sans" w:eastAsia="Nunito Sans" w:hAnsi="Nunito Sans"/>
          <w:color w:val="102E3B"/>
          <w:sz w:val="20"/>
          <w:szCs w:val="20"/>
        </w:rPr>
        <w:t xml:space="preserve">Informe de cada incidente a la persona responsable de incidentes, aunque parezca menor o aunque otra persona ya pueda haberlo comunicado.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74"/>
        <w:gridCol w:w="3174"/>
        <w:gridCol w:w="3176"/>
      </w:tblGrid>
      <w:tr>
        <w:trPr>
          <w:cantSplit/>
          <w:tblHeader/>
        </w:trPr>
        <w:tc>
          <w:tcPr>
            <w:tcW w:type="dxa" w:w="317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GRAVEDAD</w:t>
            </w:r>
          </w:p>
        </w:tc>
        <w:tc>
          <w:tcPr>
            <w:tcW w:type="dxa" w:w="317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CÓMO INFORMAR</w:t>
            </w:r>
          </w:p>
        </w:tc>
        <w:tc>
          <w:tcPr>
            <w:tcW w:type="dxa" w:w="31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w:t>
            </w:r>
          </w:p>
        </w:tc>
      </w:tr>
      <w:tr>
        <w:trPr>
          <w:cantSplit/>
          <w:tblHeader w:val="off"/>
        </w:trPr>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Crítico</w:t>
            </w:r>
          </w:p>
        </w:tc>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Llame a la persona responsable de incidentes al </w:t>
            </w:r>
            <w:r>
              <w:rPr>
                <w:rFonts w:ascii="Nunito Sans" w:cs="Nunito Sans" w:eastAsia="Nunito Sans" w:hAnsi="Nunito Sans"/>
                <w:color w:val="102E3B"/>
                <w:sz w:val="18"/>
                <w:szCs w:val="18"/>
                <w:highlight w:val="yellow"/>
              </w:rPr>
              <w:t xml:space="preserve">[número]</w:t>
            </w:r>
            <w:r>
              <w:rPr>
                <w:rFonts w:ascii="Nunito Sans" w:cs="Nunito Sans" w:eastAsia="Nunito Sans" w:hAnsi="Nunito Sans"/>
                <w:color w:val="102E3B"/>
                <w:sz w:val="18"/>
                <w:szCs w:val="18"/>
              </w:rPr>
              <w:t xml:space="preserve">. Si no responde en </w:t>
            </w:r>
            <w:r>
              <w:rPr>
                <w:rFonts w:ascii="Nunito Sans" w:cs="Nunito Sans" w:eastAsia="Nunito Sans" w:hAnsi="Nunito Sans"/>
                <w:color w:val="102E3B"/>
                <w:sz w:val="18"/>
                <w:szCs w:val="18"/>
                <w:highlight w:val="yellow"/>
              </w:rPr>
              <w:t xml:space="preserve">[30 minutos]</w:t>
            </w:r>
            <w:r>
              <w:rPr>
                <w:rFonts w:ascii="Nunito Sans" w:cs="Nunito Sans" w:eastAsia="Nunito Sans" w:hAnsi="Nunito Sans"/>
                <w:color w:val="102E3B"/>
                <w:sz w:val="18"/>
                <w:szCs w:val="18"/>
              </w:rPr>
              <w:t xml:space="preserve">, llame a la persona suplente al </w:t>
            </w:r>
            <w:r>
              <w:rPr>
                <w:rFonts w:ascii="Nunito Sans" w:cs="Nunito Sans" w:eastAsia="Nunito Sans" w:hAnsi="Nunito Sans"/>
                <w:color w:val="102E3B"/>
                <w:sz w:val="18"/>
                <w:szCs w:val="18"/>
                <w:highlight w:val="yellow"/>
              </w:rPr>
              <w:t xml:space="preserve">[número]</w:t>
            </w:r>
            <w:r>
              <w:rPr>
                <w:rFonts w:ascii="Nunito Sans" w:cs="Nunito Sans" w:eastAsia="Nunito Sans" w:hAnsi="Nunito Sans"/>
                <w:color w:val="102E3B"/>
                <w:sz w:val="18"/>
                <w:szCs w:val="18"/>
              </w:rPr>
              <w:t xml:space="preserve">. Confírmelo después por escrito.</w:t>
            </w:r>
          </w:p>
        </w:tc>
        <w:tc>
          <w:tcPr>
            <w:tcW w:type="dxa" w:w="31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 inmediato</w:t>
            </w:r>
          </w:p>
        </w:tc>
      </w:tr>
      <w:tr>
        <w:trPr>
          <w:cantSplit/>
          <w:tblHeader w:val="off"/>
        </w:trPr>
        <w:tc>
          <w:tcPr>
            <w:tcW w:type="dxa" w:w="31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Alto</w:t>
            </w:r>
          </w:p>
        </w:tc>
        <w:tc>
          <w:tcPr>
            <w:tcW w:type="dxa" w:w="31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Llame o envíe un mensaje a la persona responsable de incidentes y, después, envíe el formulario de reporte (Anexo A).</w:t>
            </w:r>
          </w:p>
        </w:tc>
        <w:tc>
          <w:tcPr>
            <w:tcW w:type="dxa" w:w="31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 inmediato; formulario en un plazo de </w:t>
            </w:r>
            <w:r>
              <w:rPr>
                <w:rFonts w:ascii="Nunito Sans" w:cs="Nunito Sans" w:eastAsia="Nunito Sans" w:hAnsi="Nunito Sans"/>
                <w:color w:val="102E3B"/>
                <w:sz w:val="18"/>
                <w:szCs w:val="18"/>
                <w:highlight w:val="yellow"/>
              </w:rPr>
              <w:t xml:space="preserve">[24 horas]</w:t>
            </w:r>
          </w:p>
        </w:tc>
      </w:tr>
      <w:tr>
        <w:trPr>
          <w:cantSplit/>
          <w:tblHeader w:val="off"/>
        </w:trPr>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Medio o bajo</w:t>
            </w:r>
          </w:p>
        </w:tc>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Envíe el formulario de reporte a </w:t>
            </w:r>
            <w:r>
              <w:rPr>
                <w:rFonts w:ascii="Nunito Sans" w:cs="Nunito Sans" w:eastAsia="Nunito Sans" w:hAnsi="Nunito Sans"/>
                <w:color w:val="102E3B"/>
                <w:sz w:val="18"/>
                <w:szCs w:val="18"/>
                <w:highlight w:val="yellow"/>
              </w:rPr>
              <w:t xml:space="preserve">[incidentes@tuorganizacion.org]</w:t>
            </w:r>
            <w:r>
              <w:rPr>
                <w:rFonts w:ascii="Nunito Sans" w:cs="Nunito Sans" w:eastAsia="Nunito Sans" w:hAnsi="Nunito Sans"/>
                <w:color w:val="102E3B"/>
                <w:sz w:val="18"/>
                <w:szCs w:val="18"/>
              </w:rPr>
              <w:t xml:space="preserve">.</w:t>
            </w:r>
          </w:p>
        </w:tc>
        <w:tc>
          <w:tcPr>
            <w:tcW w:type="dxa" w:w="31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[24 horas]</w:t>
            </w:r>
          </w:p>
        </w:tc>
      </w:tr>
      <w:tr>
        <w:trPr>
          <w:cantSplit/>
          <w:tblHeader w:val="off"/>
        </w:trPr>
        <w:tc>
          <w:tcPr>
            <w:tcW w:type="dxa" w:w="31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Cuasi incidente</w:t>
            </w:r>
          </w:p>
        </w:tc>
        <w:tc>
          <w:tcPr>
            <w:tcW w:type="dxa" w:w="31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Envíe el formulario o plantéelo en la siguiente reunión de equipo.</w:t>
            </w:r>
          </w:p>
        </w:tc>
        <w:tc>
          <w:tcPr>
            <w:tcW w:type="dxa" w:w="31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[5 días hábiles]</w:t>
            </w:r>
          </w:p>
        </w:tc>
      </w:tr>
    </w:tbl>
    <w:p>
      <w:pPr>
        <w:spacing w:after="120"/>
      </w:pPr>
    </w:p>
    <w:p>
      <w:pPr>
        <w:spacing w:after="120" w:before="0" w:line="300"/>
      </w:pPr>
      <w:r>
        <w:rPr>
          <w:rFonts w:ascii="Nunito Sans" w:cs="Nunito Sans" w:eastAsia="Nunito Sans" w:hAnsi="Nunito Sans"/>
          <w:color w:val="102E3B"/>
          <w:sz w:val="20"/>
          <w:szCs w:val="20"/>
        </w:rPr>
        <w:t xml:space="preserve">No necesita pruebas. Informe de lo que vio, oyó o le contaron, con palabras sencillas. Si no puede usar el formulario, informe por teléfono o en persona y la persona responsable de incidentes lo completará con usted. No incluya nombres ni detalles sensibles en chats de grupo.</w:t>
      </w:r>
    </w:p>
    <w:p>
      <w:pPr>
        <w:spacing w:after="120" w:before="0" w:line="300"/>
      </w:pPr>
      <w:r>
        <w:rPr>
          <w:rFonts w:ascii="Nunito Sans" w:cs="Nunito Sans" w:eastAsia="Nunito Sans" w:hAnsi="Nunito Sans"/>
          <w:b/>
          <w:bCs/>
          <w:color w:val="102E3B"/>
          <w:sz w:val="20"/>
          <w:szCs w:val="20"/>
        </w:rPr>
        <w:t xml:space="preserve">Si el incidente implica a la persona responsable de incidentes,</w:t>
      </w:r>
      <w:r>
        <w:rPr>
          <w:rFonts w:ascii="Nunito Sans" w:cs="Nunito Sans" w:eastAsia="Nunito Sans" w:hAnsi="Nunito Sans"/>
          <w:color w:val="102E3B"/>
          <w:sz w:val="20"/>
          <w:szCs w:val="20"/>
        </w:rPr>
        <w:t xml:space="preserve"> informe a la persona suplente,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[correo electrónico / teléfono]</w:t>
      </w:r>
      <w:r>
        <w:rPr>
          <w:rFonts w:ascii="Nunito Sans" w:cs="Nunito Sans" w:eastAsia="Nunito Sans" w:hAnsi="Nunito Sans"/>
          <w:color w:val="102E3B"/>
          <w:sz w:val="20"/>
          <w:szCs w:val="20"/>
        </w:rPr>
        <w:t xml:space="preserve">. Si implica a la dirección, informe a la presidencia del órgano de gobierno,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[correo electrónico / teléfono]</w:t>
      </w:r>
      <w:r>
        <w:rPr>
          <w:rFonts w:ascii="Nunito Sans" w:cs="Nunito Sans" w:eastAsia="Nunito Sans" w:hAnsi="Nunito Sans"/>
          <w:color w:val="102E3B"/>
          <w:sz w:val="20"/>
          <w:szCs w:val="20"/>
        </w:rPr>
        <w:t xml:space="preserve">. </w:t>
      </w:r>
      <w:r>
        <w:rPr>
          <w:rFonts w:ascii="Nunito Sans" w:cs="Nunito Sans" w:eastAsia="Nunito Sans" w:hAnsi="Nunito Sans"/>
          <w:b/>
          <w:bCs/>
          <w:color w:val="102E3B"/>
          <w:sz w:val="20"/>
          <w:szCs w:val="20"/>
        </w:rPr>
        <w:t xml:space="preserve">Las preocupaciones de salvaguarda</w:t>
      </w:r>
      <w:r>
        <w:rPr>
          <w:rFonts w:ascii="Nunito Sans" w:cs="Nunito Sans" w:eastAsia="Nunito Sans" w:hAnsi="Nunito Sans"/>
          <w:color w:val="102E3B"/>
          <w:sz w:val="20"/>
          <w:szCs w:val="20"/>
        </w:rPr>
        <w:t xml:space="preserve"> se dirigen a la persona responsable de salvaguarda, no a la responsable de incidentes, dentro de los plazos de la Política y Procedimiento de Salvaguarda: </w:t>
      </w:r>
      <w:r>
        <w:rPr>
          <w:rFonts w:ascii="Nunito Sans" w:cs="Nunito Sans" w:eastAsia="Nunito Sans" w:hAnsi="Nunito Sans"/>
          <w:color w:val="102E3B"/>
          <w:sz w:val="20"/>
          <w:szCs w:val="20"/>
          <w:highlight w:val="yellow"/>
        </w:rPr>
        <w:t xml:space="preserve">[2 horas]</w:t>
      </w:r>
      <w:r>
        <w:rPr>
          <w:rFonts w:ascii="Nunito Sans" w:cs="Nunito Sans" w:eastAsia="Nunito Sans" w:hAnsi="Nunito Sans"/>
          <w:color w:val="102E3B"/>
          <w:sz w:val="20"/>
          <w:szCs w:val="20"/>
        </w:rPr>
        <w:t xml:space="preserve"> si alguien está en peligro o el asunto es grave y, en otro caso,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 La persona responsable de salvaguarda registra aquí solo un número de referencia y el nivel, y comunica a la dirección y a la presidencia del órgano de gobierno solo lo que necesitan, sin nombres. </w:t>
      </w:r>
      <w:r>
        <w:rPr>
          <w:rFonts w:ascii="Nunito Sans" w:cs="Nunito Sans" w:eastAsia="Nunito Sans" w:hAnsi="Nunito Sans"/>
          <w:b/>
          <w:bCs/>
          <w:color w:val="102E3B"/>
          <w:sz w:val="20"/>
          <w:szCs w:val="20"/>
        </w:rPr>
        <w:t xml:space="preserve">Los socios y contratistas</w:t>
      </w:r>
      <w:r>
        <w:rPr>
          <w:rFonts w:ascii="Nunito Sans" w:cs="Nunito Sans" w:eastAsia="Nunito Sans" w:hAnsi="Nunito Sans"/>
          <w:color w:val="102E3B"/>
          <w:sz w:val="20"/>
          <w:szCs w:val="20"/>
        </w:rPr>
        <w:t xml:space="preserve"> informan a nuestra persona responsable de incidentes de los incidentes relacionados con nuestro trabajo en un plazo de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 según exige su acuerdo con nosotros.</w:t>
      </w:r>
    </w:p>
    <w:p>
      <w:pPr>
        <w:pStyle w:val="Heading1"/>
        <w:keepNext/>
        <w:spacing w:after="160" w:before="360"/>
      </w:pPr>
      <w:r>
        <w:rPr>
          <w:rFonts w:ascii="DM Serif Display" w:cs="DM Serif Display" w:eastAsia="DM Serif Display" w:hAnsi="DM Serif Display"/>
          <w:color w:val="123C48"/>
          <w:sz w:val="40"/>
          <w:szCs w:val="40"/>
        </w:rPr>
        <w:t xml:space="preserve">Paso 3: Evaluar y escalar</w:t>
      </w:r>
    </w:p>
    <w:p>
      <w:pPr>
        <w:spacing w:after="120" w:before="0" w:line="300"/>
      </w:pPr>
      <w:r>
        <w:rPr>
          <w:rFonts w:ascii="Nunito Sans" w:cs="Nunito Sans" w:eastAsia="Nunito Sans" w:hAnsi="Nunito Sans"/>
          <w:color w:val="102E3B"/>
          <w:sz w:val="20"/>
          <w:szCs w:val="20"/>
        </w:rPr>
        <w:t xml:space="preserve">Cuando la persona responsable de incidentes recibe un reporte:</w:t>
      </w:r>
    </w:p>
    <w:p>
      <w:pPr>
        <w:pStyle w:val="ListParagraph"/>
        <w:numPr>
          <w:ilvl w:val="0"/>
          <w:numId w:val="5"/>
        </w:numPr>
        <w:spacing w:after="80" w:line="290"/>
      </w:pPr>
      <w:r>
        <w:rPr>
          <w:rFonts w:ascii="Nunito Sans" w:cs="Nunito Sans" w:eastAsia="Nunito Sans" w:hAnsi="Nunito Sans"/>
          <w:b/>
          <w:bCs/>
          <w:color w:val="102E3B"/>
          <w:sz w:val="20"/>
          <w:szCs w:val="20"/>
        </w:rPr>
        <w:t xml:space="preserve">Acusa recibo</w:t>
      </w:r>
      <w:r>
        <w:rPr>
          <w:rFonts w:ascii="Nunito Sans" w:cs="Nunito Sans" w:eastAsia="Nunito Sans" w:hAnsi="Nunito Sans"/>
          <w:color w:val="102E3B"/>
          <w:sz w:val="20"/>
          <w:szCs w:val="20"/>
        </w:rPr>
        <w:t xml:space="preserve">: el mismo día en el caso de incidentes altos y críticos, y en un plazo de </w:t>
      </w:r>
      <w:r>
        <w:rPr>
          <w:rFonts w:ascii="Nunito Sans" w:cs="Nunito Sans" w:eastAsia="Nunito Sans" w:hAnsi="Nunito Sans"/>
          <w:color w:val="102E3B"/>
          <w:sz w:val="20"/>
          <w:szCs w:val="20"/>
          <w:highlight w:val="yellow"/>
        </w:rPr>
        <w:t xml:space="preserve">[2 días hábiles]</w:t>
      </w:r>
      <w:r>
        <w:rPr>
          <w:rFonts w:ascii="Nunito Sans" w:cs="Nunito Sans" w:eastAsia="Nunito Sans" w:hAnsi="Nunito Sans"/>
          <w:color w:val="102E3B"/>
          <w:sz w:val="20"/>
          <w:szCs w:val="20"/>
        </w:rPr>
        <w:t xml:space="preserve"> en los demás casos.</w:t>
      </w:r>
    </w:p>
    <w:p>
      <w:pPr>
        <w:pStyle w:val="ListParagraph"/>
        <w:numPr>
          <w:ilvl w:val="0"/>
          <w:numId w:val="5"/>
        </w:numPr>
        <w:spacing w:after="80" w:line="290"/>
      </w:pPr>
      <w:r>
        <w:rPr>
          <w:rFonts w:ascii="Nunito Sans" w:cs="Nunito Sans" w:eastAsia="Nunito Sans" w:hAnsi="Nunito Sans"/>
          <w:b/>
          <w:bCs/>
          <w:color w:val="102E3B"/>
          <w:sz w:val="20"/>
          <w:szCs w:val="20"/>
        </w:rPr>
        <w:t xml:space="preserve">Fija el nivel de gravedad</w:t>
      </w:r>
      <w:r>
        <w:rPr>
          <w:rFonts w:ascii="Nunito Sans" w:cs="Nunito Sans" w:eastAsia="Nunito Sans" w:hAnsi="Nunito Sans"/>
          <w:color w:val="102E3B"/>
          <w:sz w:val="20"/>
          <w:szCs w:val="20"/>
        </w:rPr>
        <w:t xml:space="preserve"> y abre una entrada en el registro de incidentes (Anexo B) con un número de referencia.</w:t>
      </w:r>
    </w:p>
    <w:p>
      <w:pPr>
        <w:pStyle w:val="ListParagraph"/>
        <w:numPr>
          <w:ilvl w:val="0"/>
          <w:numId w:val="5"/>
        </w:numPr>
        <w:spacing w:after="80" w:line="290"/>
      </w:pPr>
      <w:r>
        <w:rPr>
          <w:rFonts w:ascii="Nunito Sans" w:cs="Nunito Sans" w:eastAsia="Nunito Sans" w:hAnsi="Nunito Sans"/>
          <w:b/>
          <w:bCs/>
          <w:color w:val="102E3B"/>
          <w:sz w:val="20"/>
          <w:szCs w:val="20"/>
        </w:rPr>
        <w:t xml:space="preserve">Acuerda medidas de protección inmediatas</w:t>
      </w:r>
      <w:r>
        <w:rPr>
          <w:rFonts w:ascii="Nunito Sans" w:cs="Nunito Sans" w:eastAsia="Nunito Sans" w:hAnsi="Nunito Sans"/>
          <w:color w:val="102E3B"/>
          <w:sz w:val="20"/>
          <w:szCs w:val="20"/>
        </w:rPr>
        <w:t xml:space="preserve">, por ejemplo atención médica, trasladar al personal a un lugar seguro, bloquear el acceso a sistemas o cuentas bancarias, o suspender a una persona de su rol. Una suspensión es una precaución, no una conclusión de que haya actuado mal.</w:t>
      </w:r>
    </w:p>
    <w:p>
      <w:pPr>
        <w:pStyle w:val="ListParagraph"/>
        <w:numPr>
          <w:ilvl w:val="0"/>
          <w:numId w:val="5"/>
        </w:numPr>
        <w:spacing w:after="80" w:line="290"/>
      </w:pPr>
      <w:r>
        <w:rPr>
          <w:rFonts w:ascii="Nunito Sans" w:cs="Nunito Sans" w:eastAsia="Nunito Sans" w:hAnsi="Nunito Sans"/>
          <w:b/>
          <w:bCs/>
          <w:color w:val="102E3B"/>
          <w:sz w:val="20"/>
          <w:szCs w:val="20"/>
        </w:rPr>
        <w:t xml:space="preserve">Escala el asunto</w:t>
      </w:r>
      <w:r>
        <w:rPr>
          <w:rFonts w:ascii="Nunito Sans" w:cs="Nunito Sans" w:eastAsia="Nunito Sans" w:hAnsi="Nunito Sans"/>
          <w:color w:val="102E3B"/>
          <w:sz w:val="20"/>
          <w:szCs w:val="20"/>
        </w:rPr>
        <w:t xml:space="preserve">: los incidentes medios, a la dirección en un plazo de </w:t>
      </w:r>
      <w:r>
        <w:rPr>
          <w:rFonts w:ascii="Nunito Sans" w:cs="Nunito Sans" w:eastAsia="Nunito Sans" w:hAnsi="Nunito Sans"/>
          <w:color w:val="102E3B"/>
          <w:sz w:val="20"/>
          <w:szCs w:val="20"/>
          <w:highlight w:val="yellow"/>
        </w:rPr>
        <w:t xml:space="preserve">[2 días hábiles]</w:t>
      </w:r>
      <w:r>
        <w:rPr>
          <w:rFonts w:ascii="Nunito Sans" w:cs="Nunito Sans" w:eastAsia="Nunito Sans" w:hAnsi="Nunito Sans"/>
          <w:color w:val="102E3B"/>
          <w:sz w:val="20"/>
          <w:szCs w:val="20"/>
        </w:rPr>
        <w:t xml:space="preserve">; los incidentes altos, a la dirección y a la presidencia del órgano de gobierno el mismo día; los incidentes críticos, a ambas en un plazo de </w:t>
      </w:r>
      <w:r>
        <w:rPr>
          <w:rFonts w:ascii="Nunito Sans" w:cs="Nunito Sans" w:eastAsia="Nunito Sans" w:hAnsi="Nunito Sans"/>
          <w:color w:val="102E3B"/>
          <w:sz w:val="20"/>
          <w:szCs w:val="20"/>
          <w:highlight w:val="yellow"/>
        </w:rPr>
        <w:t xml:space="preserve">[2 horas]</w:t>
      </w:r>
      <w:r>
        <w:rPr>
          <w:rFonts w:ascii="Nunito Sans" w:cs="Nunito Sans" w:eastAsia="Nunito Sans" w:hAnsi="Nunito Sans"/>
          <w:color w:val="102E3B"/>
          <w:sz w:val="20"/>
          <w:szCs w:val="20"/>
        </w:rPr>
        <w:t xml:space="preserve">.</w:t>
      </w:r>
    </w:p>
    <w:p>
      <w:pPr>
        <w:pStyle w:val="ListParagraph"/>
        <w:numPr>
          <w:ilvl w:val="0"/>
          <w:numId w:val="5"/>
        </w:numPr>
        <w:spacing w:after="80" w:line="290"/>
      </w:pPr>
      <w:r>
        <w:rPr>
          <w:rFonts w:ascii="Nunito Sans" w:cs="Nunito Sans" w:eastAsia="Nunito Sans" w:hAnsi="Nunito Sans"/>
          <w:b/>
          <w:bCs/>
          <w:color w:val="102E3B"/>
          <w:sz w:val="20"/>
          <w:szCs w:val="20"/>
        </w:rPr>
        <w:t xml:space="preserve">Traslada el caso</w:t>
      </w:r>
      <w:r>
        <w:rPr>
          <w:rFonts w:ascii="Nunito Sans" w:cs="Nunito Sans" w:eastAsia="Nunito Sans" w:hAnsi="Nunito Sans"/>
          <w:color w:val="102E3B"/>
          <w:sz w:val="20"/>
          <w:szCs w:val="20"/>
        </w:rPr>
        <w:t xml:space="preserve"> a la persona responsable conforme a la política aplicable (salvaguarda, fraude, brecha de datos o quejas), si se trata de otra persona.</w:t>
      </w:r>
    </w:p>
    <w:p>
      <w:pPr>
        <w:pStyle w:val="ListParagraph"/>
        <w:numPr>
          <w:ilvl w:val="0"/>
          <w:numId w:val="5"/>
        </w:numPr>
        <w:spacing w:after="80" w:line="290"/>
      </w:pPr>
      <w:r>
        <w:rPr>
          <w:rFonts w:ascii="Nunito Sans" w:cs="Nunito Sans" w:eastAsia="Nunito Sans" w:hAnsi="Nunito Sans"/>
          <w:b/>
          <w:bCs/>
          <w:color w:val="102E3B"/>
          <w:sz w:val="20"/>
          <w:szCs w:val="20"/>
        </w:rPr>
        <w:t xml:space="preserve">Comprueba las obligaciones de notificación externa</w:t>
      </w:r>
      <w:r>
        <w:rPr>
          <w:rFonts w:ascii="Nunito Sans" w:cs="Nunito Sans" w:eastAsia="Nunito Sans" w:hAnsi="Nunito Sans"/>
          <w:color w:val="102E3B"/>
          <w:sz w:val="20"/>
          <w:szCs w:val="20"/>
        </w:rPr>
        <w:t xml:space="preserve"> (Paso 4) y registra cada decisión, incluida cualquier decisión de no notificar y su motivo.</w:t>
      </w:r>
    </w:p>
    <w:p>
      <w:pPr>
        <w:spacing w:after="120" w:before="0" w:line="300"/>
      </w:pPr>
      <w:r>
        <w:rPr>
          <w:rFonts w:ascii="Nunito Sans" w:cs="Nunito Sans" w:eastAsia="Nunito Sans" w:hAnsi="Nunito Sans"/>
          <w:color w:val="102E3B"/>
          <w:sz w:val="20"/>
          <w:szCs w:val="20"/>
        </w:rPr>
        <w:t xml:space="preserve">Ante un incidente crítico, la dirección, la persona responsable de incidentes y un miembro del órgano de gobierno forman un equipo de respuesta que se reúne al menos una vez al día hasta que la situación se estabiliza. La presidencia del órgano de gobierno decide cuándo se informa al órgano de gobierno en pleno; en los incidentes críticos, en un plazo de </w:t>
      </w:r>
      <w:r>
        <w:rPr>
          <w:rFonts w:ascii="Nunito Sans" w:cs="Nunito Sans" w:eastAsia="Nunito Sans" w:hAnsi="Nunito Sans"/>
          <w:color w:val="102E3B"/>
          <w:sz w:val="20"/>
          <w:szCs w:val="20"/>
          <w:highlight w:val="yellow"/>
        </w:rPr>
        <w:t xml:space="preserve">[48 horas]</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Paso 4: Notificaciones externas</w:t>
      </w:r>
    </w:p>
    <w:p>
      <w:pPr>
        <w:spacing w:after="120" w:before="0" w:line="300"/>
      </w:pPr>
      <w:r>
        <w:rPr>
          <w:rFonts w:ascii="Nunito Sans" w:cs="Nunito Sans" w:eastAsia="Nunito Sans" w:hAnsi="Nunito Sans"/>
          <w:color w:val="102E3B"/>
          <w:sz w:val="20"/>
          <w:szCs w:val="20"/>
        </w:rPr>
        <w:t xml:space="preserve">La persona responsable de incidentes realiza estas notificaciones, o acuerda quién las hará, y registra la fecha, la hora, la persona contactada y cualquier referencia. Es mejor notificar pronto y actualizar después que notificar tarde.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3047"/>
        <w:gridCol w:w="1904"/>
        <w:gridCol w:w="2669"/>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 QUIÉN</w:t>
            </w:r>
          </w:p>
        </w:tc>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CUÁNDO INFORMAR</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 HABITUAL</w:t>
            </w:r>
          </w:p>
        </w:tc>
        <w:tc>
          <w:tcPr>
            <w:tcW w:type="dxa" w:w="266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NOTAS</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Policía o servicios de emergencia</w:t>
            </w:r>
          </w:p>
        </w:tc>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 delito, un fallecimiento, una amenaza para la vida, o cuando la ley lo exija (por ejemplo, algunos casos de abuso infantil).</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 inmediato</w:t>
            </w:r>
          </w:p>
        </w:tc>
        <w:tc>
          <w:tcPr>
            <w:tcW w:type="dxa" w:w="266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los casos de salvaguarda, piense primero en la seguridad y los deseos de la persona afectada.</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Regulador de organizaciones benéficas u ONG</w:t>
            </w:r>
          </w:p>
        </w:tc>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Incidentes graves, como un fraude o una pérdida importantes, incidentes de salvaguarda o una investigación penal, cuando el regulador establezca una obligación de notificación.</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[Sin demora / en un plazo de X días]</w:t>
            </w:r>
          </w:p>
        </w:tc>
        <w:tc>
          <w:tcPr>
            <w:tcW w:type="dxa" w:w="266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Suele ser una obligación del órgano de gobierno; la persona responsable de incidentes prepara la notificación.</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Autoridad de protección de datos</w:t>
            </w:r>
          </w:p>
        </w:tc>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Una brecha de datos personales que probablemente ponga en riesgo los derechos y libertades de las personas.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menudo en un plazo de 72 horas desde que se tiene conocimiento</w:t>
            </w:r>
          </w:p>
        </w:tc>
        <w:tc>
          <w:tcPr>
            <w:tcW w:type="dxa" w:w="266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Siga el Procedimiento de Respuesta ante Brechas de Datos. Informe sin demora indebida a las personas afectadas si el riesgo es alto.</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Financiadores</w:t>
            </w:r>
          </w:p>
        </w:tc>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 que enumere cada acuerdo de subvención: normalmente preocupaciones de salvaguarda, fraude o sospecha de fraude, uso indebido de fondos, preocupaciones relacionadas con sanciones o con la financiación del terrorismo, y retrasos graves.</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menudo de 24 a 72 horas; compruebe cada subvención</w:t>
            </w:r>
          </w:p>
        </w:tc>
        <w:tc>
          <w:tcPr>
            <w:tcW w:type="dxa" w:w="266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Comparta solo los datos personales que necesite el financiador.</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Aseguradoras</w:t>
            </w:r>
          </w:p>
        </w:tc>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Cualquier hecho que pueda dar lugar a una reclamación: lesiones, robo, daños, acciones judiciales, incidentes cibernéticos.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indique la póliza, normalmente tan pronto como sea razonablemente posible</w:t>
            </w:r>
          </w:p>
        </w:tc>
        <w:tc>
          <w:tcPr>
            <w:tcW w:type="dxa" w:w="266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Una notificación tardía puede invalidar una reclamación. No admita responsabilidad de antemano.</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Otras instancias que exija la ley</w:t>
            </w:r>
          </w:p>
        </w:tc>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Por ejemplo, una autoridad laboral en caso de lesiones laborales graves, o una unidad de inteligencia financiera ante sospechas de financiación del terrorismo o coincidencias en listas de sanciones.</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exija la ley</w:t>
            </w:r>
          </w:p>
        </w:tc>
        <w:tc>
          <w:tcPr>
            <w:tcW w:type="dxa" w:w="266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Consulte la Política de Debida Diligencia de Socios y Control de Sanciones. Nunca alerte a la persona afectada por la sospecha.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NOTIFICACIÓN AL REGULADOR DE ORGANIZACIONES BENÉFICAS U ONG</w:t>
            </w:r>
          </w:p>
          <w:p>
            <w:pPr>
              <w:spacing w:after="120" w:before="0" w:line="300"/>
            </w:pPr>
            <w:r>
              <w:rPr>
                <w:rFonts w:ascii="Nunito Sans" w:cs="Nunito Sans" w:eastAsia="Nunito Sans" w:hAnsi="Nunito Sans"/>
                <w:color w:val="102E3B"/>
                <w:sz w:val="19"/>
                <w:szCs w:val="19"/>
              </w:rPr>
              <w:t xml:space="preserve">Comprueba si tu regulador establece una obligación formal de notificar "incidentes graves" o "hechos notificables", qué se considera como tal y el plazo. Por ejemplo, la Charity Commission for England and Wales espera que los miembros del patronato notifiquen sin demora los incidentes graves, y el Scottish Charity Regulator (OSCR) pide a las organizaciones benéficas que notifiquen los hechos notificables. En otros lugares, muchos reguladores no tienen una vía formal para los incidentes. Si estás registrada como ONG, fideicomiso, sociedad, empresa sin ánimo de lucro u organización de utilidad pública, revisa tu ley local sobre las obligaciones de notificación al organismo de registro. Las normas cambian: consulta las orientaciones vigentes.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PLAZOS DE PROTECCIÓN DE DATOS</w:t>
            </w:r>
          </w:p>
          <w:p>
            <w:pPr>
              <w:spacing w:after="120" w:before="0" w:line="300"/>
            </w:pPr>
            <w:r>
              <w:rPr>
                <w:rFonts w:ascii="Nunito Sans" w:cs="Nunito Sans" w:eastAsia="Nunito Sans" w:hAnsi="Nunito Sans"/>
                <w:color w:val="102E3B"/>
                <w:sz w:val="19"/>
                <w:szCs w:val="19"/>
              </w:rPr>
              <w:t xml:space="preserve">Según el Reglamento General de Protección de Datos (RGPD) de la UE y su equivalente del Reino Unido (UK GDPR), una brecha de datos personales debe notificarse a la autoridad de control en un plazo de 72 horas desde que se tiene conocimiento de ella, salvo que sea improbable que suponga un riesgo para las personas. La Kenya Data Protection Act 2019 y la Nigeria Data Protection Act 2023 también fijan 72 horas. La POPIA de Sudáfrica exige notificar al Information Regulator y a las personas afectadas tan pronto como sea razonablemente posible. La LGPD de Brasil, la DPDP Act 2023 de la India y la Ley 27 de 2022 de Indonesia fijan los plazos mediante sus normas y reglamentos: revisa tu ley local sobre la notificación de brechas, incluido lo que debe contener la notificación.</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CONDICIONES DE LOS FINANCIADORES Y LESIONES LABORALES</w:t>
            </w:r>
          </w:p>
          <w:p>
            <w:pPr>
              <w:spacing w:after="120" w:before="0" w:line="300"/>
            </w:pPr>
            <w:r>
              <w:rPr>
                <w:rFonts w:ascii="Nunito Sans" w:cs="Nunito Sans" w:eastAsia="Nunito Sans" w:hAnsi="Nunito Sans"/>
                <w:color w:val="102E3B"/>
                <w:sz w:val="19"/>
                <w:szCs w:val="19"/>
              </w:rPr>
              <w:t xml:space="preserve">Lleva una tabla con cada subvención activa: qué debe notificarse, el plazo y el contacto. Muchos financiadores institucionales exigen que las acusaciones de salvaguarda y las sospechas de fraude se notifiquen en un plazo de 24 a 72 horas, aunque no estén probadas. Añade a la tabla la cláusula de notificación de cada nuevo acuerdo el mismo día en que lo firmes. En cuanto a las lesiones laborales, muchos países exigen a los empleadores que notifiquen los accidentes graves a una autoridad laboral o a una aseguradora de accidentes de trabajo (en el Reino Unido, conforme a las RIDDOR Regulations 2013): revisa tu ley local sobre la notificación de accidentes de trabajo.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Paso 5: Responder e investigar</w:t>
      </w:r>
    </w:p>
    <w:p>
      <w:pPr>
        <w:spacing w:after="120" w:before="0" w:line="300"/>
      </w:pPr>
      <w:r>
        <w:rPr>
          <w:rFonts w:ascii="Nunito Sans" w:cs="Nunito Sans" w:eastAsia="Nunito Sans" w:hAnsi="Nunito Sans"/>
          <w:color w:val="102E3B"/>
          <w:sz w:val="20"/>
          <w:szCs w:val="20"/>
        </w:rPr>
        <w:t xml:space="preserve">En la mayoría de los incidentes bajos y medios, la respuesta consiste en corregir la causa, apoyar a las personas afectadas y registrar lo que se hizo. En los incidentes altos y críticos, la persona responsable de incidentes y la dirección deciden:</w:t>
      </w:r>
    </w:p>
    <w:p>
      <w:pPr>
        <w:pStyle w:val="ListParagraph"/>
        <w:numPr>
          <w:ilvl w:val="0"/>
          <w:numId w:val="3"/>
        </w:numPr>
        <w:spacing w:after="80" w:line="290"/>
      </w:pPr>
      <w:r>
        <w:rPr>
          <w:rFonts w:ascii="Nunito Sans" w:cs="Nunito Sans" w:eastAsia="Nunito Sans" w:hAnsi="Nunito Sans"/>
          <w:b/>
          <w:bCs/>
          <w:color w:val="102E3B"/>
          <w:sz w:val="20"/>
          <w:szCs w:val="20"/>
        </w:rPr>
        <w:t xml:space="preserve">quién investiga</w:t>
      </w:r>
      <w:r>
        <w:rPr>
          <w:rFonts w:ascii="Nunito Sans" w:cs="Nunito Sans" w:eastAsia="Nunito Sans" w:hAnsi="Nunito Sans"/>
          <w:color w:val="102E3B"/>
          <w:sz w:val="20"/>
          <w:szCs w:val="20"/>
        </w:rPr>
        <w:t xml:space="preserve">, conforme a la política aplicable. No investiga nadie que esté implicado ni nadie que dirija a una persona implicada. En los casos graves podemos recurrir a una persona investigadora externa;</w:t>
      </w:r>
    </w:p>
    <w:p>
      <w:pPr>
        <w:pStyle w:val="ListParagraph"/>
        <w:numPr>
          <w:ilvl w:val="0"/>
          <w:numId w:val="3"/>
        </w:numPr>
        <w:spacing w:after="80" w:line="290"/>
      </w:pPr>
      <w:r>
        <w:rPr>
          <w:rFonts w:ascii="Nunito Sans" w:cs="Nunito Sans" w:eastAsia="Nunito Sans" w:hAnsi="Nunito Sans"/>
          <w:b/>
          <w:bCs/>
          <w:color w:val="102E3B"/>
          <w:sz w:val="20"/>
          <w:szCs w:val="20"/>
        </w:rPr>
        <w:t xml:space="preserve">qué apoyo necesitan las personas</w:t>
      </w:r>
      <w:r>
        <w:rPr>
          <w:rFonts w:ascii="Nunito Sans" w:cs="Nunito Sans" w:eastAsia="Nunito Sans" w:hAnsi="Nunito Sans"/>
          <w:color w:val="102E3B"/>
          <w:sz w:val="20"/>
          <w:szCs w:val="20"/>
        </w:rPr>
        <w:t xml:space="preserve">, como apoyo médico o psicológico o tiempo libre. Al personal expuesto a hechos angustiosos se le ofrece </w:t>
      </w:r>
      <w:r>
        <w:rPr>
          <w:rFonts w:ascii="Nunito Sans" w:cs="Nunito Sans" w:eastAsia="Nunito Sans" w:hAnsi="Nunito Sans"/>
          <w:color w:val="102E3B"/>
          <w:sz w:val="20"/>
          <w:szCs w:val="20"/>
          <w:highlight w:val="yellow"/>
        </w:rPr>
        <w:t xml:space="preserve">[apoyo, p. ej., sesiones de apoyo psicológico]</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cómo comunicamos.</w:t>
      </w:r>
      <w:r>
        <w:rPr>
          <w:rFonts w:ascii="Nunito Sans" w:cs="Nunito Sans" w:eastAsia="Nunito Sans" w:hAnsi="Nunito Sans"/>
          <w:color w:val="102E3B"/>
          <w:sz w:val="20"/>
          <w:szCs w:val="20"/>
        </w:rPr>
        <w:t xml:space="preserve"> Solo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habla con los medios de comunicación, según lo establecido en la Política de Redes Sociales y Comunicaciones.</w:t>
      </w:r>
    </w:p>
    <w:p>
      <w:pPr>
        <w:spacing w:after="120" w:before="0" w:line="300"/>
      </w:pPr>
      <w:r>
        <w:rPr>
          <w:rFonts w:ascii="Nunito Sans" w:cs="Nunito Sans" w:eastAsia="Nunito Sans" w:hAnsi="Nunito Sans"/>
          <w:color w:val="102E3B"/>
          <w:sz w:val="20"/>
          <w:szCs w:val="20"/>
        </w:rPr>
        <w:t xml:space="preserve">Las personas mencionadas en un reporte reciben un trato justo y pueden responder. Las represalias contra cualquier persona que informe de una preocupación genuina constituyen un incumplimiento grave de nuestro Código de Conducta. Si las autoridades investigan, cooperamos y podemos pausar nuestro propio trabajo si nos lo piden.</w:t>
      </w:r>
    </w:p>
    <w:p>
      <w:pPr>
        <w:pStyle w:val="Heading1"/>
        <w:keepNext/>
        <w:spacing w:after="160" w:before="360"/>
      </w:pPr>
      <w:r>
        <w:rPr>
          <w:rFonts w:ascii="DM Serif Display" w:cs="DM Serif Display" w:eastAsia="DM Serif Display" w:hAnsi="DM Serif Display"/>
          <w:color w:val="123C48"/>
          <w:sz w:val="40"/>
          <w:szCs w:val="40"/>
        </w:rPr>
        <w:t xml:space="preserve">Paso 6: Cerrar y aprender</w:t>
      </w:r>
    </w:p>
    <w:p>
      <w:pPr>
        <w:spacing w:after="120" w:before="0" w:line="300"/>
      </w:pPr>
      <w:r>
        <w:rPr>
          <w:rFonts w:ascii="Nunito Sans" w:cs="Nunito Sans" w:eastAsia="Nunito Sans" w:hAnsi="Nunito Sans"/>
          <w:color w:val="102E3B"/>
          <w:sz w:val="20"/>
          <w:szCs w:val="20"/>
        </w:rPr>
        <w:t xml:space="preserve">La persona responsable de incidentes cierra un incidente cuando las personas están a salvo, se han abordado las causas, se han completado las notificaciones externas y ha terminado cualquier investigación. En los incidentes altos y críticos, y en los incidentes menores que se repiten, dirige una breve </w:t>
      </w:r>
      <w:r>
        <w:rPr>
          <w:rFonts w:ascii="Nunito Sans" w:cs="Nunito Sans" w:eastAsia="Nunito Sans" w:hAnsi="Nunito Sans"/>
          <w:b/>
          <w:bCs/>
          <w:color w:val="102E3B"/>
          <w:sz w:val="20"/>
          <w:szCs w:val="20"/>
        </w:rPr>
        <w:t xml:space="preserve">revisión de aprendizaje</w:t>
      </w:r>
      <w:r>
        <w:rPr>
          <w:rFonts w:ascii="Nunito Sans" w:cs="Nunito Sans" w:eastAsia="Nunito Sans" w:hAnsi="Nunito Sans"/>
          <w:color w:val="102E3B"/>
          <w:sz w:val="20"/>
          <w:szCs w:val="20"/>
        </w:rPr>
        <w:t xml:space="preserve"> en un plazo de </w:t>
      </w:r>
      <w:r>
        <w:rPr>
          <w:rFonts w:ascii="Nunito Sans" w:cs="Nunito Sans" w:eastAsia="Nunito Sans" w:hAnsi="Nunito Sans"/>
          <w:color w:val="102E3B"/>
          <w:sz w:val="20"/>
          <w:szCs w:val="20"/>
          <w:highlight w:val="yellow"/>
        </w:rPr>
        <w:t xml:space="preserve">[30 días]</w:t>
      </w:r>
      <w:r>
        <w:rPr>
          <w:rFonts w:ascii="Nunito Sans" w:cs="Nunito Sans" w:eastAsia="Nunito Sans" w:hAnsi="Nunito Sans"/>
          <w:color w:val="102E3B"/>
          <w:sz w:val="20"/>
          <w:szCs w:val="20"/>
        </w:rPr>
        <w:t xml:space="preserve">. En ella se pregunta:</w:t>
      </w:r>
    </w:p>
    <w:p>
      <w:pPr>
        <w:pStyle w:val="ListParagraph"/>
        <w:numPr>
          <w:ilvl w:val="0"/>
          <w:numId w:val="6"/>
        </w:numPr>
        <w:spacing w:after="80" w:line="290"/>
      </w:pPr>
      <w:r>
        <w:rPr>
          <w:rFonts w:ascii="Nunito Sans" w:cs="Nunito Sans" w:eastAsia="Nunito Sans" w:hAnsi="Nunito Sans"/>
          <w:color w:val="102E3B"/>
          <w:sz w:val="20"/>
          <w:szCs w:val="20"/>
        </w:rPr>
        <w:t xml:space="preserve">¿Qué ocurrió y cuáles fueron las causas, más allá de las personas implicadas?</w:t>
      </w:r>
    </w:p>
    <w:p>
      <w:pPr>
        <w:pStyle w:val="ListParagraph"/>
        <w:numPr>
          <w:ilvl w:val="0"/>
          <w:numId w:val="6"/>
        </w:numPr>
        <w:spacing w:after="80" w:line="290"/>
      </w:pPr>
      <w:r>
        <w:rPr>
          <w:rFonts w:ascii="Nunito Sans" w:cs="Nunito Sans" w:eastAsia="Nunito Sans" w:hAnsi="Nunito Sans"/>
          <w:color w:val="102E3B"/>
          <w:sz w:val="20"/>
          <w:szCs w:val="20"/>
        </w:rPr>
        <w:t xml:space="preserve">¿Qué funcionó bien en nuestra respuesta?</w:t>
      </w:r>
    </w:p>
    <w:p>
      <w:pPr>
        <w:pStyle w:val="ListParagraph"/>
        <w:numPr>
          <w:ilvl w:val="0"/>
          <w:numId w:val="6"/>
        </w:numPr>
        <w:spacing w:after="80" w:line="290"/>
      </w:pPr>
      <w:r>
        <w:rPr>
          <w:rFonts w:ascii="Nunito Sans" w:cs="Nunito Sans" w:eastAsia="Nunito Sans" w:hAnsi="Nunito Sans"/>
          <w:color w:val="102E3B"/>
          <w:sz w:val="20"/>
          <w:szCs w:val="20"/>
        </w:rPr>
        <w:t xml:space="preserve">¿Qué haríamos de otra manera, incluida la rapidez con la que informamos?</w:t>
      </w:r>
    </w:p>
    <w:p>
      <w:pPr>
        <w:pStyle w:val="ListParagraph"/>
        <w:numPr>
          <w:ilvl w:val="0"/>
          <w:numId w:val="6"/>
        </w:numPr>
        <w:spacing w:after="80" w:line="290"/>
      </w:pPr>
      <w:r>
        <w:rPr>
          <w:rFonts w:ascii="Nunito Sans" w:cs="Nunito Sans" w:eastAsia="Nunito Sans" w:hAnsi="Nunito Sans"/>
          <w:color w:val="102E3B"/>
          <w:sz w:val="20"/>
          <w:szCs w:val="20"/>
        </w:rPr>
        <w:t xml:space="preserve">¿Qué vamos a cambiar, quién lo hará y para cuándo?</w:t>
      </w:r>
    </w:p>
    <w:p>
      <w:pPr>
        <w:spacing w:after="120" w:before="0" w:line="300"/>
      </w:pPr>
      <w:r>
        <w:rPr>
          <w:rFonts w:ascii="Nunito Sans" w:cs="Nunito Sans" w:eastAsia="Nunito Sans" w:hAnsi="Nunito Sans"/>
          <w:color w:val="102E3B"/>
          <w:sz w:val="20"/>
          <w:szCs w:val="20"/>
        </w:rPr>
        <w:t xml:space="preserve">La persona responsable de incidentes actualiza el Registro de Riesgos y cualquier política que deba cambiar. La revisión busca aprender, no culpar; cualquier asunto disciplinario sigue su propio proceso.</w:t>
      </w:r>
    </w:p>
    <w:p>
      <w:pPr>
        <w:pStyle w:val="Heading1"/>
        <w:keepNext/>
        <w:spacing w:after="160" w:before="360"/>
      </w:pPr>
      <w:r>
        <w:rPr>
          <w:rFonts w:ascii="DM Serif Display" w:cs="DM Serif Display" w:eastAsia="DM Serif Display" w:hAnsi="DM Serif Display"/>
          <w:color w:val="123C48"/>
          <w:sz w:val="40"/>
          <w:szCs w:val="40"/>
        </w:rPr>
        <w:t xml:space="preserve">Roles y responsabilidades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2095"/>
        <w:gridCol w:w="5334"/>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w:t>
            </w:r>
          </w:p>
        </w:tc>
        <w:tc>
          <w:tcPr>
            <w:tcW w:type="dxa" w:w="533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RESPONSABILIDADES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Todas las personas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Todo el personal, las personas voluntarias, los miembros del órgano de gobierno y los contratistas</w:t>
            </w:r>
          </w:p>
        </w:tc>
        <w:tc>
          <w:tcPr>
            <w:tcW w:type="dxa" w:w="5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Proteger a las personas, informar a tiempo, conservar las pruebas, mantener la confidencialidad de la información.</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incidentes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c>
          <w:tcPr>
            <w:tcW w:type="dxa" w:w="5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Recibe los reportes, fija la gravedad, coordina la respuesta, realiza las notificaciones externas, lleva el registro y dirige las revisiones de aprendizaje.</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Suplente</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c>
          <w:tcPr>
            <w:tcW w:type="dxa" w:w="5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Actúa cuando la persona responsable de incidentes no está disponible o está implicada.</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salvaguarda</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c>
          <w:tcPr>
            <w:tcW w:type="dxa" w:w="5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Dirige cualquier incidente de salvaguarda conforme a la Política y Procedimiento de Salvaguarda.</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p>
        </w:tc>
        <w:tc>
          <w:tcPr>
            <w:tcW w:type="dxa" w:w="5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Decide las acciones principales, los recursos y la comunicación pública en los incidentes altos y críticos.</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Presidencia del órgano de gobierno</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p>
        </w:tc>
        <w:tc>
          <w:tcPr>
            <w:tcW w:type="dxa" w:w="5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Recibe los incidentes altos y críticos y los que implican a la dirección; se asegura de que se realicen las notificaciones al regulador.</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del órgano de gobierno]</w:t>
            </w:r>
          </w:p>
        </w:tc>
        <w:tc>
          <w:tcPr>
            <w:tcW w:type="dxa" w:w="5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Revisa un resumen anonimizado </w:t>
            </w:r>
            <w:r>
              <w:rPr>
                <w:rFonts w:ascii="Nunito Sans" w:cs="Nunito Sans" w:eastAsia="Nunito Sans" w:hAnsi="Nunito Sans"/>
                <w:color w:val="102E3B"/>
                <w:sz w:val="18"/>
                <w:szCs w:val="18"/>
                <w:highlight w:val="yellow"/>
              </w:rPr>
              <w:t xml:space="preserve">[cada trimestre]</w:t>
            </w:r>
            <w:r>
              <w:rPr>
                <w:rFonts w:ascii="Nunito Sans" w:cs="Nunito Sans" w:eastAsia="Nunito Sans" w:hAnsi="Nunito Sans"/>
                <w:color w:val="102E3B"/>
                <w:sz w:val="18"/>
                <w:szCs w:val="18"/>
              </w:rPr>
              <w:t xml:space="preserve"> y comprueba que se actúa conforme a las lecciones aprendidas.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Registros y confidencialidad</w:t>
      </w:r>
    </w:p>
    <w:p>
      <w:pPr>
        <w:spacing w:after="120" w:before="0" w:line="300"/>
      </w:pPr>
      <w:r>
        <w:rPr>
          <w:rFonts w:ascii="Nunito Sans" w:cs="Nunito Sans" w:eastAsia="Nunito Sans" w:hAnsi="Nunito Sans"/>
          <w:color w:val="102E3B"/>
          <w:sz w:val="20"/>
          <w:szCs w:val="20"/>
        </w:rPr>
        <w:t xml:space="preserve">La persona responsable de incidentes guarda el registro y todos los reportes en </w:t>
      </w:r>
      <w:r>
        <w:rPr>
          <w:rFonts w:ascii="Nunito Sans" w:cs="Nunito Sans" w:eastAsia="Nunito Sans" w:hAnsi="Nunito Sans"/>
          <w:color w:val="102E3B"/>
          <w:sz w:val="20"/>
          <w:szCs w:val="20"/>
          <w:highlight w:val="yellow"/>
        </w:rPr>
        <w:t xml:space="preserve">[lugar seguro, p. ej., una carpeta restringida que solo pueden abrir la persona responsable de incidentes y la dirección]</w:t>
      </w:r>
      <w:r>
        <w:rPr>
          <w:rFonts w:ascii="Nunito Sans" w:cs="Nunito Sans" w:eastAsia="Nunito Sans" w:hAnsi="Nunito Sans"/>
          <w:color w:val="102E3B"/>
          <w:sz w:val="20"/>
          <w:szCs w:val="20"/>
        </w:rPr>
        <w:t xml:space="preserve">. Los formularios en papel se escanean y después se guardan bajo llave o se destruyen de forma segura.</w:t>
      </w:r>
    </w:p>
    <w:p>
      <w:pPr>
        <w:pStyle w:val="ListParagraph"/>
        <w:numPr>
          <w:ilvl w:val="0"/>
          <w:numId w:val="3"/>
        </w:numPr>
        <w:spacing w:after="80" w:line="290"/>
      </w:pPr>
      <w:r>
        <w:rPr>
          <w:rFonts w:ascii="Nunito Sans" w:cs="Nunito Sans" w:eastAsia="Nunito Sans" w:hAnsi="Nunito Sans"/>
          <w:color w:val="102E3B"/>
          <w:sz w:val="20"/>
          <w:szCs w:val="20"/>
        </w:rPr>
        <w:t xml:space="preserve">La información se comparte solo con las personas que la necesitan para responder, investigar o cumplir una obligación legal o con un financiador.</w:t>
      </w:r>
    </w:p>
    <w:p>
      <w:pPr>
        <w:pStyle w:val="ListParagraph"/>
        <w:numPr>
          <w:ilvl w:val="0"/>
          <w:numId w:val="3"/>
        </w:numPr>
        <w:spacing w:after="80" w:line="290"/>
      </w:pPr>
      <w:r>
        <w:rPr>
          <w:rFonts w:ascii="Nunito Sans" w:cs="Nunito Sans" w:eastAsia="Nunito Sans" w:hAnsi="Nunito Sans"/>
          <w:color w:val="102E3B"/>
          <w:sz w:val="20"/>
          <w:szCs w:val="20"/>
        </w:rPr>
        <w:t xml:space="preserve">La persona responsable de salvaguarda guarda por separado los registros de los casos de salvaguarda. El registro de incidentes muestra solo un número de referencia y el nivel.</w:t>
      </w:r>
    </w:p>
    <w:p>
      <w:pPr>
        <w:pStyle w:val="ListParagraph"/>
        <w:numPr>
          <w:ilvl w:val="0"/>
          <w:numId w:val="3"/>
        </w:numPr>
        <w:spacing w:after="80" w:line="290"/>
      </w:pPr>
      <w:r>
        <w:rPr>
          <w:rFonts w:ascii="Nunito Sans" w:cs="Nunito Sans" w:eastAsia="Nunito Sans" w:hAnsi="Nunito Sans"/>
          <w:color w:val="102E3B"/>
          <w:sz w:val="20"/>
          <w:szCs w:val="20"/>
        </w:rPr>
        <w:t xml:space="preserve">Los informes al órgano de gobierno usan números de referencia, no nombres, salvo que el órgano de gobierno necesite los nombres para decidir.</w:t>
      </w:r>
    </w:p>
    <w:p>
      <w:pPr>
        <w:pStyle w:val="ListParagraph"/>
        <w:numPr>
          <w:ilvl w:val="0"/>
          <w:numId w:val="3"/>
        </w:numPr>
        <w:spacing w:after="80" w:line="290"/>
      </w:pPr>
      <w:r>
        <w:rPr>
          <w:rFonts w:ascii="Nunito Sans" w:cs="Nunito Sans" w:eastAsia="Nunito Sans" w:hAnsi="Nunito Sans"/>
          <w:color w:val="102E3B"/>
          <w:sz w:val="20"/>
          <w:szCs w:val="20"/>
        </w:rPr>
        <w:t xml:space="preserve">Los datos personales se tratan conforme a nuestra Política de Protección de Datos.</w:t>
      </w:r>
    </w:p>
    <w:p>
      <w:pPr>
        <w:pStyle w:val="ListParagraph"/>
        <w:numPr>
          <w:ilvl w:val="0"/>
          <w:numId w:val="3"/>
        </w:numPr>
        <w:spacing w:after="80" w:line="290"/>
      </w:pPr>
      <w:r>
        <w:rPr>
          <w:rFonts w:ascii="Nunito Sans" w:cs="Nunito Sans" w:eastAsia="Nunito Sans" w:hAnsi="Nunito Sans"/>
          <w:color w:val="102E3B"/>
          <w:sz w:val="20"/>
          <w:szCs w:val="20"/>
        </w:rPr>
        <w:t xml:space="preserve">Conservamos los registros durante </w:t>
      </w:r>
      <w:r>
        <w:rPr>
          <w:rFonts w:ascii="Nunito Sans" w:cs="Nunito Sans" w:eastAsia="Nunito Sans" w:hAnsi="Nunito Sans"/>
          <w:color w:val="102E3B"/>
          <w:sz w:val="20"/>
          <w:szCs w:val="20"/>
          <w:highlight w:val="yellow"/>
        </w:rPr>
        <w:t xml:space="preserve">[6 años]</w:t>
      </w:r>
      <w:r>
        <w:rPr>
          <w:rFonts w:ascii="Nunito Sans" w:cs="Nunito Sans" w:eastAsia="Nunito Sans" w:hAnsi="Nunito Sans"/>
          <w:color w:val="102E3B"/>
          <w:sz w:val="20"/>
          <w:szCs w:val="20"/>
        </w:rPr>
        <w:t xml:space="preserve"> después del cierre, o más tiempo si hay procedimientos judiciales o una reclamación al seguro abiertos o previstos. Los registros en los que hay un niño, niña o adolescente implicado se conservan hasta que cumpla </w:t>
      </w:r>
      <w:r>
        <w:rPr>
          <w:rFonts w:ascii="Nunito Sans" w:cs="Nunito Sans" w:eastAsia="Nunito Sans" w:hAnsi="Nunito Sans"/>
          <w:color w:val="102E3B"/>
          <w:sz w:val="20"/>
          <w:szCs w:val="20"/>
          <w:highlight w:val="yellow"/>
        </w:rPr>
        <w:t xml:space="preserve">[25]</w:t>
      </w:r>
      <w:r>
        <w:rPr>
          <w:rFonts w:ascii="Nunito Sans" w:cs="Nunito Sans" w:eastAsia="Nunito Sans" w:hAnsi="Nunito Sans"/>
          <w:color w:val="102E3B"/>
          <w:sz w:val="20"/>
          <w:szCs w:val="20"/>
        </w:rPr>
        <w:t xml:space="preserve"> años, o durante </w:t>
      </w:r>
      <w:r>
        <w:rPr>
          <w:rFonts w:ascii="Nunito Sans" w:cs="Nunito Sans" w:eastAsia="Nunito Sans" w:hAnsi="Nunito Sans"/>
          <w:color w:val="102E3B"/>
          <w:sz w:val="20"/>
          <w:szCs w:val="20"/>
          <w:highlight w:val="yellow"/>
        </w:rPr>
        <w:t xml:space="preserve">[6 años]</w:t>
      </w:r>
      <w:r>
        <w:rPr>
          <w:rFonts w:ascii="Nunito Sans" w:cs="Nunito Sans" w:eastAsia="Nunito Sans" w:hAnsi="Nunito Sans"/>
          <w:color w:val="102E3B"/>
          <w:sz w:val="20"/>
          <w:szCs w:val="20"/>
        </w:rPr>
        <w:t xml:space="preserve"> tras el cierre si esta fecha es posterior. Después se eliminan de forma segura, conforme a nuestro Calendario de Conservación de Registros.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PLAZOS DE CONSERVACIÓN</w:t>
            </w:r>
          </w:p>
          <w:p>
            <w:pPr>
              <w:spacing w:after="120" w:before="0" w:line="300"/>
            </w:pPr>
            <w:r>
              <w:rPr>
                <w:rFonts w:ascii="Nunito Sans" w:cs="Nunito Sans" w:eastAsia="Nunito Sans" w:hAnsi="Nunito Sans"/>
                <w:color w:val="102E3B"/>
                <w:sz w:val="19"/>
                <w:szCs w:val="19"/>
              </w:rPr>
              <w:t xml:space="preserve">La conservación depende de los plazos de prescripción locales para las reclamaciones judiciales, de las condiciones de las aseguradoras y los financiadores, y de la ley de protección de datos. Seis años es un plazo habitual en muchos países de common law; en otros es distinto. Revisa tu ley local y armoniza estos plazos con tu Calendario de Conservación de Registros.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Seguimiento y revisión</w:t>
      </w:r>
    </w:p>
    <w:p>
      <w:pPr>
        <w:spacing w:after="120" w:before="0" w:line="300"/>
      </w:pPr>
      <w:r>
        <w:rPr>
          <w:rFonts w:ascii="Nunito Sans" w:cs="Nunito Sans" w:eastAsia="Nunito Sans" w:hAnsi="Nunito Sans"/>
          <w:color w:val="102E3B"/>
          <w:sz w:val="20"/>
          <w:szCs w:val="20"/>
        </w:rPr>
        <w:t xml:space="preserve">La persona responsable de incidentes revisa los incidentes abiertos </w:t>
      </w:r>
      <w:r>
        <w:rPr>
          <w:rFonts w:ascii="Nunito Sans" w:cs="Nunito Sans" w:eastAsia="Nunito Sans" w:hAnsi="Nunito Sans"/>
          <w:color w:val="102E3B"/>
          <w:sz w:val="20"/>
          <w:szCs w:val="20"/>
          <w:highlight w:val="yellow"/>
        </w:rPr>
        <w:t xml:space="preserve">[cada semana]</w:t>
      </w:r>
      <w:r>
        <w:rPr>
          <w:rFonts w:ascii="Nunito Sans" w:cs="Nunito Sans" w:eastAsia="Nunito Sans" w:hAnsi="Nunito Sans"/>
          <w:color w:val="102E3B"/>
          <w:sz w:val="20"/>
          <w:szCs w:val="20"/>
        </w:rPr>
        <w:t xml:space="preserve"> y entrega al órgano de gobierno un resumen anonimizado </w:t>
      </w:r>
      <w:r>
        <w:rPr>
          <w:rFonts w:ascii="Nunito Sans" w:cs="Nunito Sans" w:eastAsia="Nunito Sans" w:hAnsi="Nunito Sans"/>
          <w:color w:val="102E3B"/>
          <w:sz w:val="20"/>
          <w:szCs w:val="20"/>
          <w:highlight w:val="yellow"/>
        </w:rPr>
        <w:t xml:space="preserve">[cada trimestre]</w:t>
      </w:r>
      <w:r>
        <w:rPr>
          <w:rFonts w:ascii="Nunito Sans" w:cs="Nunito Sans" w:eastAsia="Nunito Sans" w:hAnsi="Nunito Sans"/>
          <w:color w:val="102E3B"/>
          <w:sz w:val="20"/>
          <w:szCs w:val="20"/>
        </w:rPr>
        <w:t xml:space="preserve">: número, tipo y nivel de los incidentes, tiempo hasta la notificación y el cierre, y lecciones aprendidas. Una vez al año probamos este procedimiento con un caso práctico, como la pérdida de un ordenador portátil.</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A: Formulario de reporte de incidentes</w:t>
      </w:r>
    </w:p>
    <w:p>
      <w:pPr>
        <w:spacing w:after="120" w:before="0" w:line="300"/>
      </w:pPr>
      <w:r>
        <w:rPr>
          <w:rFonts w:ascii="Nunito Sans" w:cs="Nunito Sans" w:eastAsia="Nunito Sans" w:hAnsi="Nunito Sans"/>
          <w:color w:val="102E3B"/>
          <w:sz w:val="20"/>
          <w:szCs w:val="20"/>
        </w:rPr>
        <w:t xml:space="preserve">Complete este formulario lo antes posible. Escriba "no se sabe" si desconoce una respuesta: no retrase el reporte para averiguar más. Envíelo a </w:t>
      </w:r>
      <w:r>
        <w:rPr>
          <w:rFonts w:ascii="Nunito Sans" w:cs="Nunito Sans" w:eastAsia="Nunito Sans" w:hAnsi="Nunito Sans"/>
          <w:color w:val="102E3B"/>
          <w:sz w:val="20"/>
          <w:szCs w:val="20"/>
          <w:highlight w:val="yellow"/>
        </w:rPr>
        <w:t xml:space="preserve">[incidentes@tuorganizacion.org]</w:t>
      </w:r>
      <w:r>
        <w:rPr>
          <w:rFonts w:ascii="Nunito Sans" w:cs="Nunito Sans" w:eastAsia="Nunito Sans" w:hAnsi="Nunito Sans"/>
          <w:color w:val="102E3B"/>
          <w:sz w:val="20"/>
          <w:szCs w:val="20"/>
        </w:rPr>
        <w:t xml:space="preserve"> o entréguelo a la persona responsable de incidentes. En las preocupaciones de salvaguarda, use solo las iniciales de la persona afectada.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9"/>
        <w:gridCol w:w="5905"/>
      </w:tblGrid>
      <w:tr>
        <w:trPr>
          <w:cantSplit/>
          <w:tblHeader/>
        </w:trPr>
        <w:tc>
          <w:tcPr>
            <w:tcW w:type="dxa" w:w="3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CAMPO</w:t>
            </w:r>
          </w:p>
        </w:tc>
        <w:tc>
          <w:tcPr>
            <w:tcW w:type="dxa" w:w="590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Referencia (la completa la persona responsable de incidentes)</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[IR-AAAA-001]</w:t>
            </w: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 nombre, cargo y datos de contacto</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y hora del incidente</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y hora en que tuvo conocimiento de él</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Dónde ocurrió (lugar, actividad, plataforma en línea)</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Tipo de incidente</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Salvaguarda / lesión o enfermedad / seguridad / fraude o robo / brecha de datos / queja / reputación / bienes / otro:</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¿Qué ocurrió? Los hechos, con sus propias palabras, y las palabras exactas de cualquier persona que le haya hablado de un daño.</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¿Quién estuvo implicado o resultó afectado? (iniciales, rol, grupo de edad si es un niño, niña o adolescente)</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¿Resultó herida alguna persona? ¿Qué ayuda se prestó?</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¿Qué medidas inmediatas se tomaron y quién las tomó?</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contactó con los servicios de emergencia o la policía? Hora y cualquier referencia.</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Testigos y pruebas conservadas (y dónde)</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¿Sigue alguien en riesgo?</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Sí / No / No estoy seguro. Si la respuesta es sí, explíquelo:</w:t>
            </w: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quién más se lo ha contado?</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Firma y fecha</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PARA LA PERSONA RESPONSABLE DE INCIDENTES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9"/>
        <w:gridCol w:w="5905"/>
      </w:tblGrid>
      <w:tr>
        <w:trPr>
          <w:cantSplit/>
          <w:tblHeader/>
        </w:trPr>
        <w:tc>
          <w:tcPr>
            <w:tcW w:type="dxa" w:w="3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CAMPO</w:t>
            </w:r>
          </w:p>
        </w:tc>
        <w:tc>
          <w:tcPr>
            <w:tcW w:type="dxa" w:w="590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Recibido (fecha, hora) y nivel de gravedad</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Política aplicable; información a la dirección y a la presidencia (cuándo)</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Notificaciones externas (a quién, cuándo, referencia) o motivo para no realizarlas</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de cierre, resultado y acciones de aprendizaje</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B: Registro de incidentes</w:t>
      </w:r>
    </w:p>
    <w:p>
      <w:pPr>
        <w:spacing w:after="120" w:before="0" w:line="300"/>
      </w:pPr>
      <w:r>
        <w:rPr>
          <w:rFonts w:ascii="Nunito Sans" w:cs="Nunito Sans" w:eastAsia="Nunito Sans" w:hAnsi="Nunito Sans"/>
          <w:color w:val="102E3B"/>
          <w:sz w:val="20"/>
          <w:szCs w:val="20"/>
        </w:rPr>
        <w:t xml:space="preserve">Un único registro para todos los incidentes. Los incidentes de salvaguarda muestran solo la referencia y el nivel; los detalles se quedan en el expediente del caso de salvaguarda. Las filas siguientes son ejemplos: elimínelas antes de usarlo.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3"/>
        <w:gridCol w:w="1333"/>
        <w:gridCol w:w="2857"/>
        <w:gridCol w:w="1904"/>
        <w:gridCol w:w="1907"/>
      </w:tblGrid>
      <w:tr>
        <w:trPr>
          <w:cantSplit/>
          <w:tblHeader/>
        </w:trPr>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REFERENCIA Y FECHA</w:t>
            </w:r>
          </w:p>
        </w:tc>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TIPO Y NIVEL</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RESUMEN (SIN NOMBRES)</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NOTIFICACIONES EXTERNAS</w:t>
            </w:r>
          </w:p>
        </w:tc>
        <w:tc>
          <w:tcPr>
            <w:tcW w:type="dxa" w:w="190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ESTADO Y APRENDIZAJE</w:t>
            </w: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[IR-2026-001]</w:t>
            </w:r>
          </w:p>
          <w:p>
            <w:pPr>
              <w:spacing w:after="40" w:line="260"/>
            </w:pPr>
            <w:r>
              <w:rPr>
                <w:rFonts w:ascii="Nunito Sans" w:cs="Nunito Sans" w:eastAsia="Nunito Sans" w:hAnsi="Nunito Sans"/>
                <w:color w:val="102E3B"/>
                <w:sz w:val="18"/>
                <w:szCs w:val="18"/>
                <w:highlight w:val="yellow"/>
              </w:rPr>
              <w:t xml:space="preserve">[12 de marzo de 2026]</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Lesión</w:t>
            </w:r>
          </w:p>
          <w:p>
            <w:pPr>
              <w:spacing w:after="40" w:line="260"/>
            </w:pPr>
            <w:r>
              <w:rPr>
                <w:rFonts w:ascii="Nunito Sans" w:cs="Nunito Sans" w:eastAsia="Nunito Sans" w:hAnsi="Nunito Sans"/>
                <w:color w:val="102E3B"/>
                <w:sz w:val="18"/>
                <w:szCs w:val="18"/>
              </w:rPr>
              <w:t xml:space="preserve">Medio</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una persona voluntaria resbaló en un suelo mojado durante una sesión de formación; fue atendida en una clínica.</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Aseguradora informada el </w:t>
            </w:r>
            <w:r>
              <w:rPr>
                <w:rFonts w:ascii="Nunito Sans" w:cs="Nunito Sans" w:eastAsia="Nunito Sans" w:hAnsi="Nunito Sans"/>
                <w:color w:val="102E3B"/>
                <w:sz w:val="18"/>
                <w:szCs w:val="18"/>
                <w:highlight w:val="yellow"/>
              </w:rPr>
              <w:t xml:space="preserve">[13 de marzo]</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Cerrado. Se añadieron señales de advertencia y un turno de limpieza.</w:t>
            </w:r>
          </w:p>
        </w:tc>
      </w:tr>
      <w:tr>
        <w:trPr>
          <w:cantSplit/>
          <w:tblHeader w:val="off"/>
        </w:trPr>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[IR-2026-002]</w:t>
            </w:r>
          </w:p>
          <w:p>
            <w:pPr>
              <w:spacing w:after="40" w:line="260"/>
            </w:pPr>
            <w:r>
              <w:rPr>
                <w:rFonts w:ascii="Nunito Sans" w:cs="Nunito Sans" w:eastAsia="Nunito Sans" w:hAnsi="Nunito Sans"/>
                <w:color w:val="102E3B"/>
                <w:sz w:val="18"/>
                <w:szCs w:val="18"/>
                <w:highlight w:val="yellow"/>
              </w:rPr>
              <w:t xml:space="preserve">[2 de abril de 2026]</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Brecha de datos</w:t>
            </w:r>
          </w:p>
          <w:p>
            <w:pPr>
              <w:spacing w:after="40" w:line="260"/>
            </w:pPr>
            <w:r>
              <w:rPr>
                <w:rFonts w:ascii="Nunito Sans" w:cs="Nunito Sans" w:eastAsia="Nunito Sans" w:hAnsi="Nunito Sans"/>
                <w:color w:val="102E3B"/>
                <w:sz w:val="18"/>
                <w:szCs w:val="18"/>
              </w:rPr>
              <w:t xml:space="preserve">Alto</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una hoja de cálculo con los números de teléfono de participantes se envió por correo electrónico al socio equivocado; el destinatario la eliminó.</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Autoridad: no se notificó, riesgo bajo, motivo registrado. Financiador informado el </w:t>
            </w:r>
            <w:r>
              <w:rPr>
                <w:rFonts w:ascii="Nunito Sans" w:cs="Nunito Sans" w:eastAsia="Nunito Sans" w:hAnsi="Nunito Sans"/>
                <w:color w:val="102E3B"/>
                <w:sz w:val="18"/>
                <w:szCs w:val="18"/>
                <w:highlight w:val="yellow"/>
              </w:rPr>
              <w:t xml:space="preserve">[3 de abril]</w:t>
            </w:r>
            <w:r>
              <w:rPr>
                <w:rFonts w:ascii="Nunito Sans" w:cs="Nunito Sans" w:eastAsia="Nunito Sans" w:hAnsi="Nunito Sans"/>
                <w:color w:val="102E3B"/>
                <w:sz w:val="18"/>
                <w:szCs w:val="18"/>
              </w:rPr>
              <w:t xml:space="preserve">.</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Cerrado. Los archivos ahora están protegidos con contraseña.</w:t>
            </w: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[IR-2026-003]</w:t>
            </w:r>
          </w:p>
          <w:p>
            <w:pPr>
              <w:spacing w:after="40" w:line="260"/>
            </w:pPr>
            <w:r>
              <w:rPr>
                <w:rFonts w:ascii="Nunito Sans" w:cs="Nunito Sans" w:eastAsia="Nunito Sans" w:hAnsi="Nunito Sans"/>
                <w:color w:val="102E3B"/>
                <w:sz w:val="18"/>
                <w:szCs w:val="18"/>
                <w:highlight w:val="yellow"/>
              </w:rPr>
              <w:t xml:space="preserve">[20 de mayo de 2026]</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Salvaguarda</w:t>
            </w:r>
          </w:p>
          <w:p>
            <w:pPr>
              <w:spacing w:after="40" w:line="260"/>
            </w:pPr>
            <w:r>
              <w:rPr>
                <w:rFonts w:ascii="Nunito Sans" w:cs="Nunito Sans" w:eastAsia="Nunito Sans" w:hAnsi="Nunito Sans"/>
                <w:color w:val="102E3B"/>
                <w:sz w:val="18"/>
                <w:szCs w:val="18"/>
              </w:rPr>
              <w:t xml:space="preserve">Alto</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Véase el expediente del caso de salvaguarda </w:t>
            </w:r>
            <w:r>
              <w:rPr>
                <w:rFonts w:ascii="Nunito Sans" w:cs="Nunito Sans" w:eastAsia="Nunito Sans" w:hAnsi="Nunito Sans"/>
                <w:color w:val="102E3B"/>
                <w:sz w:val="18"/>
                <w:szCs w:val="18"/>
                <w:highlight w:val="yellow"/>
              </w:rPr>
              <w:t xml:space="preserve">[SG-2026-004]</w:t>
            </w:r>
            <w:r>
              <w:rPr>
                <w:rFonts w:ascii="Nunito Sans" w:cs="Nunito Sans" w:eastAsia="Nunito Sans" w:hAnsi="Nunito Sans"/>
                <w:color w:val="102E3B"/>
                <w:sz w:val="18"/>
                <w:szCs w:val="18"/>
              </w:rPr>
              <w:t xml:space="preserve">.</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consta en el expediente del caso</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Abierto</w:t>
            </w:r>
          </w:p>
        </w:tc>
      </w:tr>
      <w:tr>
        <w:trPr>
          <w:cantSplit/>
          <w:tblHeader w:val="off"/>
        </w:trPr>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Procedimiento de Notificación de Incidentes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90E2E12E-1AB3-2233-6883-BBFE3A13499B}"/>
  </w:font>
  <w:font w:name="DM Serif Display">
    <w:family w:val="auto"/>
    <w:pitch w:val="variable"/>
    <w:sig w:usb0="E0002AFF" w:usb1="C000247B" w:usb2="00000009" w:usb3="00000000" w:csb0="000001FF" w:csb1="00000000"/>
    <w:embedRegular r:id="rId2" w:fontKey="{4C5A049C-6746-924C-F9DC-3DE63A7D4B8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Procedimiento de Notificación de Incidentes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PROCEDIMIENTO DE NOTIFICACIÓN DE INCIDENTES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de Notificación de Incidentes</dc:title>
  <dc:creator>Method into Impact</dc:creator>
  <dc:description>Lo que hacen todas las personas de [[Nombre de la organización]] cuando algo sale mal: proteger a las personas, informar rápidamente a la persona adecuada, notificar a tiempo a las autoridades y a los financiadores, y aprender de lo ocurrido.</dc:description>
  <cp:lastModifiedBy>Un-named</cp:lastModifiedBy>
  <cp:revision>1</cp:revision>
  <dcterms:created xsi:type="dcterms:W3CDTF">2026-10-29T06:04:48.278Z</dcterms:created>
  <dcterms:modified xsi:type="dcterms:W3CDTF">2026-10-29T06:04:48.278Z</dcterms:modified>
</cp:coreProperties>
</file>

<file path=docProps/custom.xml><?xml version="1.0" encoding="utf-8"?>
<Properties xmlns="http://schemas.openxmlformats.org/officeDocument/2006/custom-properties" xmlns:vt="http://schemas.openxmlformats.org/officeDocument/2006/docPropsVTypes"/>
</file>