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ACUERDO · ALIANZAS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Memorando de Entendimiento de Alianza</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 memorando de entendimiento (MdE) para dos o más organizaciones que trabajan juntas. Recoge un propósito común, quién hace qué y cómo se toman las decisiones, e indica con claridad cuáles son los pocos compromisos jurídicamente vinculantes.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Las buenas alianzas fracasan por supuestos que nadie expresa: quién dirige, quién paga, quién habla, qué pasa cuando un socio quiere salir. Un MdE pone todo esto por escrito antes de que estén en juego el dinero y la reputación. Esta plantilla sigue principios reconocidos de alianza equitativa, para que un socio más pequeño o local no acabe cargando con riesgos que no tiene recursos para gestionar.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que piden pruebas de la alianza en una propuesta; gobiernos locales y ministerios; ONG internacionales y agencias de la ONU; miembros de consorcios; tu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horas para adaptarlo, más una reunión conjunta con los socios para acordar los Anexos 1 y 2</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5 · Sustain &amp; Run, Módulo 12 (Alianzas)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Acuerdo de Subvención a Socios · Acuerdo de Intercambio de Datos · Acuerdo de Confidencialidad Mutua · Política de Debida Diligencia de Socios y Control de Sanciones · Política y Procedimiento de Salvaguarda · Política y Procedimiento contra el Fraude, el Soborno y la Corrupción · Política de Redes Sociales y Comunicaciones · Procedimiento de Quejas y Retroalimentación</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MEMORANDO</w:t>
            </w:r>
          </w:p>
          <w:p>
            <w:pPr>
              <w:spacing w:after="120" w:before="0" w:line="300"/>
            </w:pPr>
            <w:r>
              <w:rPr>
                <w:rFonts w:ascii="Nunito Sans" w:cs="Nunito Sans" w:eastAsia="Nunito Sans" w:hAnsi="Nunito Sans"/>
                <w:b/>
                <w:bCs/>
                <w:color w:val="102E3B"/>
                <w:sz w:val="19"/>
                <w:szCs w:val="19"/>
              </w:rPr>
              <w:t xml:space="preserve">Úsalo</w:t>
            </w:r>
            <w:r>
              <w:rPr>
                <w:rFonts w:ascii="Nunito Sans" w:cs="Nunito Sans" w:eastAsia="Nunito Sans" w:hAnsi="Nunito Sans"/>
                <w:color w:val="102E3B"/>
                <w:sz w:val="19"/>
                <w:szCs w:val="19"/>
              </w:rPr>
              <w:t xml:space="preserve"> cuando varias organizaciones acuerden trabajar juntas hacia un objetivo común, aportando cada una sus propias capacidades, personal o recursos: un programa conjunto, una red o coalición, una alianza de derivación o un consorcio que prepara propuestas conjuntas.</w:t>
            </w:r>
          </w:p>
          <w:p>
            <w:pPr>
              <w:spacing w:after="120" w:before="0" w:line="300"/>
            </w:pPr>
            <w:r>
              <w:rPr>
                <w:rFonts w:ascii="Nunito Sans" w:cs="Nunito Sans" w:eastAsia="Nunito Sans" w:hAnsi="Nunito Sans"/>
                <w:b/>
                <w:bCs/>
                <w:color w:val="102E3B"/>
                <w:sz w:val="19"/>
                <w:szCs w:val="19"/>
              </w:rPr>
              <w:t xml:space="preserve">No lo uses por sí solo</w:t>
            </w:r>
            <w:r>
              <w:rPr>
                <w:rFonts w:ascii="Nunito Sans" w:cs="Nunito Sans" w:eastAsia="Nunito Sans" w:hAnsi="Nunito Sans"/>
                <w:color w:val="102E3B"/>
                <w:sz w:val="19"/>
                <w:szCs w:val="19"/>
              </w:rPr>
              <w:t xml:space="preserve"> cuando un socio transfiera dinero a otro para ejecutar actividades. En ese caso, firma además un Acuerdo de Subvención a Socios (para fondos de subvención) o un Contrato de Servicios (para servicios remunerados), y menciónalo en la cláusula 5. Si los socios van a compartir datos personales de las personas a las que atienden, firma un Acuerdo de Intercambio de Datos.</w:t>
            </w:r>
          </w:p>
          <w:p>
            <w:pPr>
              <w:spacing w:after="120" w:before="0" w:line="300"/>
            </w:pPr>
            <w:r>
              <w:rPr>
                <w:rFonts w:ascii="Nunito Sans" w:cs="Nunito Sans" w:eastAsia="Nunito Sans" w:hAnsi="Nunito Sans"/>
                <w:b/>
                <w:bCs/>
                <w:color w:val="102E3B"/>
                <w:sz w:val="19"/>
                <w:szCs w:val="19"/>
              </w:rPr>
              <w:t xml:space="preserve">¿Vinculante o no?</w:t>
            </w:r>
            <w:r>
              <w:rPr>
                <w:rFonts w:ascii="Nunito Sans" w:cs="Nunito Sans" w:eastAsia="Nunito Sans" w:hAnsi="Nunito Sans"/>
                <w:color w:val="102E3B"/>
                <w:sz w:val="19"/>
                <w:szCs w:val="19"/>
              </w:rPr>
              <w:t xml:space="preserve"> Un MdE es sobre todo una declaración de intenciones. Esta plantilla hace vinculantes un pequeño número de cláusulas, enumeradas en la tabla siguiente, y el resto no vinculantes. Llamar MdE a un documento no lo convierte por sí solo en no vinculante: en algunos sistemas jurídicos, incluidos muchos países de derecho civil, un documento puede obligar a las partes si muestra acuerdo sobre los elementos esenciales, y las partes tienen deberes de buena fe mientras negocian. Mantén la tabla de carácter de las cláusulas y consulta tu legislación local.</w:t>
            </w:r>
          </w:p>
          <w:p>
            <w:pPr>
              <w:spacing w:after="120" w:before="0" w:line="300"/>
            </w:pPr>
            <w:r>
              <w:rPr>
                <w:rFonts w:ascii="Nunito Sans" w:cs="Nunito Sans" w:eastAsia="Nunito Sans" w:hAnsi="Nunito Sans"/>
                <w:b/>
                <w:bCs/>
                <w:color w:val="102E3B"/>
                <w:sz w:val="19"/>
                <w:szCs w:val="19"/>
              </w:rPr>
              <w:t xml:space="preserve">Equidad:</w:t>
            </w:r>
            <w:r>
              <w:rPr>
                <w:rFonts w:ascii="Nunito Sans" w:cs="Nunito Sans" w:eastAsia="Nunito Sans" w:hAnsi="Nunito Sans"/>
                <w:color w:val="102E3B"/>
                <w:sz w:val="19"/>
                <w:szCs w:val="19"/>
              </w:rPr>
              <w:t xml:space="preserve"> léelo desde el punto de vista del socio más pequeño. Si le impone obligaciones sin el tiempo, el dinero o el apoyo necesarios para cumplirlas, cámbialo.</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CÓMO FUNCIONA ESTE MEMORANDO</w:t>
            </w:r>
          </w:p>
          <w:p>
            <w:pPr>
              <w:spacing w:after="120" w:before="0" w:line="300"/>
            </w:pPr>
            <w:r>
              <w:rPr>
                <w:rFonts w:ascii="Nunito Sans" w:cs="Nunito Sans" w:eastAsia="Nunito Sans" w:hAnsi="Nunito Sans"/>
                <w:color w:val="102E3B"/>
                <w:sz w:val="19"/>
                <w:szCs w:val="19"/>
              </w:rPr>
              <w:t xml:space="preserve">Este memorando recoge cómo tienen intención de trabajar juntos los Socios. </w:t>
            </w:r>
            <w:r>
              <w:rPr>
                <w:rFonts w:ascii="Nunito Sans" w:cs="Nunito Sans" w:eastAsia="Nunito Sans" w:hAnsi="Nunito Sans"/>
                <w:b/>
                <w:bCs/>
                <w:color w:val="102E3B"/>
                <w:sz w:val="19"/>
                <w:szCs w:val="19"/>
              </w:rPr>
              <w:t xml:space="preserve">Solo las cláusulas marcadas como "Vinculante" en la tabla siguiente crean obligaciones jurídicas.</w:t>
            </w:r>
            <w:r>
              <w:rPr>
                <w:rFonts w:ascii="Nunito Sans" w:cs="Nunito Sans" w:eastAsia="Nunito Sans" w:hAnsi="Nunito Sans"/>
                <w:color w:val="102E3B"/>
                <w:sz w:val="19"/>
                <w:szCs w:val="19"/>
              </w:rPr>
              <w:t xml:space="preserve"> Todas las demás cláusulas son una declaración sincera de intenciones: los Socios intentarán seguirlas de buena fe, pero no son jurídicamente exigibles, y ningún Socio puede reclamar una indemnización por no haberlas seguido.</w:t>
            </w:r>
          </w:p>
          <w:tbl>
            <w:tblPr>
              <w:tblW w:type="dxa" w:w="89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2"/>
              <w:gridCol w:w="3562"/>
            </w:tblGrid>
            <w:tr>
              <w:trPr>
                <w:cantSplit/>
                <w:tblHeader/>
              </w:trPr>
              <w:tc>
                <w:tcPr>
                  <w:tcW w:type="dxa" w:w="53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CLÁUSULA</w:t>
                  </w:r>
                </w:p>
              </w:tc>
              <w:tc>
                <w:tcPr>
                  <w:tcW w:type="dxa" w:w="35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CARÁCTER</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 Definiciones y carácter de este memorando</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 Propósito y objetivos comunes</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 Actividades y responsabilidades</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 Gobernanza y toma de decisiones</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 Recursos y financiación</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 Nombres, logotipos y visibilidad</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7. Confidencialidad, datos y propiedad intelectual</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8. Salvaguarda, fraude y financiación del terrorismo</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9. Informes y aprendizaje</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 Comunicación entre los socios</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11. Resolución de desacuerdos</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12. Costos, independencia y responsabilidad</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13. Duración, revisión y salida</w:t>
                  </w:r>
                </w:p>
              </w:tc>
              <w:tc>
                <w:tcPr>
                  <w:tcW w:type="dxa" w:w="35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Vinculante</w:t>
                  </w:r>
                </w:p>
              </w:tc>
            </w:tr>
            <w:tr>
              <w:trPr>
                <w:cantSplit/>
                <w:tblHeader w:val="off"/>
              </w:trPr>
              <w:tc>
                <w:tcPr>
                  <w:tcW w:type="dxa" w:w="53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14. Ley aplicable y firma</w:t>
                  </w:r>
                </w:p>
              </w:tc>
              <w:tc>
                <w:tcPr>
                  <w:tcW w:type="dxa" w:w="35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Vinculante</w:t>
                  </w:r>
                </w:p>
              </w:tc>
            </w:tr>
          </w:tbl>
          <w:p>
            <w:pPr>
              <w:spacing w:after="12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ELEGIR QUÉ ES VINCULANTE</w:t>
            </w:r>
          </w:p>
          <w:p>
            <w:pPr>
              <w:spacing w:after="120" w:before="0" w:line="300"/>
            </w:pPr>
            <w:r>
              <w:rPr>
                <w:rFonts w:ascii="Nunito Sans" w:cs="Nunito Sans" w:eastAsia="Nunito Sans" w:hAnsi="Nunito Sans"/>
                <w:color w:val="102E3B"/>
                <w:sz w:val="19"/>
                <w:szCs w:val="19"/>
              </w:rPr>
              <w:t xml:space="preserve">Las cláusulas vinculantes son las que protegen a las personas y la reputación pase lo que pase con la alianza: confidencialidad, datos, logotipos, salvaguarda, cómo resolver controversias y cómo salir. Los socios pueden pasar otras cláusulas a la lista de vinculantes, por ejemplo un compromiso firme de aportar tiempo de personal, pero cada obligación vinculante debe contar con los recursos para cumplirla. Si necesitas que toda la relación sea exigible, usa en su lugar un acuerdo de alianza o de consorcio completo.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SOCIO 1</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SOCIO 2</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[Denominación legal completa]</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[Denominación legal completa]</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Forma jurídica y registro: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 ej. organización comunitaria registrada ante el gobierno del condado]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número </w:t>
            </w:r>
            <w:r>
              <w:rPr>
                <w:rFonts w:ascii="Nunito Sans" w:cs="Nunito Sans" w:eastAsia="Nunito Sans" w:hAnsi="Nunito Sans"/>
                <w:color w:val="102E3B"/>
                <w:sz w:val="18"/>
                <w:szCs w:val="18"/>
                <w:highlight w:val="yellow"/>
              </w:rPr>
              <w:t xml:space="preserve">[número]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Forma jurídica y registro: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 ej. ONG registrada / cooperativa / empresa social]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número </w:t>
            </w:r>
            <w:r>
              <w:rPr>
                <w:rFonts w:ascii="Nunito Sans" w:cs="Nunito Sans" w:eastAsia="Nunito Sans" w:hAnsi="Nunito Sans"/>
                <w:color w:val="102E3B"/>
                <w:sz w:val="18"/>
                <w:szCs w:val="18"/>
                <w:highlight w:val="yellow"/>
              </w:rPr>
              <w:t xml:space="preserve">[número]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Domicilio: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[Domicilio social]</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Domicilio: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[Domicilio social]</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Punto focal: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 correo electrónico, teléfono]</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Punto focal:</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 correo electrónico, teléfono]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Firma en su 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Firma en su 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[Nombre, cargo]</w:t>
            </w:r>
          </w:p>
        </w:tc>
      </w:tr>
    </w:tbl>
    <w:p>
      <w:pPr>
        <w:spacing w:after="120"/>
      </w:pPr>
    </w:p>
    <w:p>
      <w:pPr>
        <w:spacing w:after="120" w:before="0" w:line="300"/>
      </w:pPr>
      <w:r>
        <w:rPr>
          <w:rFonts w:ascii="Nunito Sans" w:cs="Nunito Sans" w:eastAsia="Nunito Sans" w:hAnsi="Nunito Sans"/>
          <w:color w:val="102E3B"/>
          <w:sz w:val="20"/>
          <w:szCs w:val="20"/>
        </w:rPr>
        <w:t xml:space="preserve">Cada organización es un "Socio" y, en conjunto, "los Socios". </w:t>
      </w:r>
      <w:r>
        <w:rPr>
          <w:rFonts w:ascii="Nunito Sans" w:cs="Nunito Sans" w:eastAsia="Nunito Sans" w:hAnsi="Nunito Sans"/>
          <w:color w:val="102E3B"/>
          <w:sz w:val="20"/>
          <w:szCs w:val="20"/>
          <w:highlight w:val="yellow"/>
        </w:rPr>
        <w:t xml:space="preserve">[Nombre del Socio]</w:t>
      </w:r>
      <w:r>
        <w:rPr>
          <w:rFonts w:ascii="Nunito Sans" w:cs="Nunito Sans" w:eastAsia="Nunito Sans" w:hAnsi="Nunito Sans"/>
          <w:color w:val="102E3B"/>
          <w:sz w:val="20"/>
          <w:szCs w:val="20"/>
        </w:rPr>
        <w:t xml:space="preserve"> actúa como </w:t>
      </w:r>
      <w:r>
        <w:rPr>
          <w:rFonts w:ascii="Nunito Sans" w:cs="Nunito Sans" w:eastAsia="Nunito Sans" w:hAnsi="Nunito Sans"/>
          <w:b/>
          <w:bCs/>
          <w:color w:val="102E3B"/>
          <w:sz w:val="20"/>
          <w:szCs w:val="20"/>
        </w:rPr>
        <w:t xml:space="preserve">Socio convocante</w:t>
      </w:r>
      <w:r>
        <w:rPr>
          <w:rFonts w:ascii="Nunito Sans" w:cs="Nunito Sans" w:eastAsia="Nunito Sans" w:hAnsi="Nunito Sans"/>
          <w:color w:val="102E3B"/>
          <w:sz w:val="20"/>
          <w:szCs w:val="20"/>
        </w:rPr>
        <w:t xml:space="preserve">, responsable de organizar las reuniones y llevar los registros. Esta función </w:t>
      </w:r>
      <w:r>
        <w:rPr>
          <w:rFonts w:ascii="Nunito Sans" w:cs="Nunito Sans" w:eastAsia="Nunito Sans" w:hAnsi="Nunito Sans"/>
          <w:color w:val="102E3B"/>
          <w:sz w:val="20"/>
          <w:szCs w:val="20"/>
          <w:highlight w:val="yellow"/>
        </w:rPr>
        <w:t xml:space="preserve">[rota cada 12 meses / recae siempre en el nombre del Socio]</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MÁS DE DOS SOCIOS</w:t>
            </w:r>
          </w:p>
          <w:p>
            <w:pPr>
              <w:spacing w:after="120" w:before="0" w:line="300"/>
            </w:pPr>
            <w:r>
              <w:rPr>
                <w:rFonts w:ascii="Nunito Sans" w:cs="Nunito Sans" w:eastAsia="Nunito Sans" w:hAnsi="Nunito Sans"/>
                <w:color w:val="102E3B"/>
                <w:sz w:val="19"/>
                <w:szCs w:val="19"/>
              </w:rPr>
              <w:t xml:space="preserve">Añade una columna por cada socio adicional, hasta cuatro en esta tabla, o enumera los demás socios en un anexo con el mismo formato. La función de convocar es administrativa: no convierte a ese socio en el líder. En coaliciones en las que normalmente convocaría una organización más grande, plantéate asignar la función a un socio local, con el presupuesto necesario para ejercerla.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Antecedentes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[Socio 1]</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 ej. trabaja con pequeños agricultores y agricultoras del distrito X en agricultura resiliente al clima]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[Socio 2]</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 ej. imparte formación en educación financiera y vincula cooperativas con grupos de ahorro]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Los Socios creen que, trabajando juntos, pueden </w:t>
      </w:r>
      <w:r>
        <w:rPr>
          <w:rFonts w:ascii="Nunito Sans" w:cs="Nunito Sans" w:eastAsia="Nunito Sans" w:hAnsi="Nunito Sans"/>
          <w:color w:val="102E3B"/>
          <w:sz w:val="20"/>
          <w:szCs w:val="20"/>
          <w:highlight w:val="yellow"/>
        </w:rPr>
        <w:t xml:space="preserve">[p. ej. ayudar a 1.500 hogares agrícolas a aumentar y estabilizar sus ingresos para 2028]</w:t>
      </w:r>
      <w:r>
        <w:rPr>
          <w:rFonts w:ascii="Nunito Sans" w:cs="Nunito Sans" w:eastAsia="Nunito Sans" w:hAnsi="Nunito Sans"/>
          <w:color w:val="102E3B"/>
          <w:sz w:val="20"/>
          <w:szCs w:val="20"/>
        </w:rPr>
        <w:t xml:space="preserve"> con más eficacia que cualquiera de ellos por separado.</w:t>
      </w:r>
    </w:p>
    <w:p>
      <w:pPr>
        <w:pStyle w:val="Heading1"/>
        <w:keepNext/>
        <w:spacing w:after="160" w:before="360"/>
      </w:pPr>
      <w:r>
        <w:rPr>
          <w:rFonts w:ascii="DM Serif Display" w:cs="DM Serif Display" w:eastAsia="DM Serif Display" w:hAnsi="DM Serif Display"/>
          <w:color w:val="123C48"/>
          <w:sz w:val="40"/>
          <w:szCs w:val="40"/>
        </w:rPr>
        <w:t xml:space="preserve">Nuestros principios de alianza</w:t>
      </w:r>
    </w:p>
    <w:p>
      <w:pPr>
        <w:spacing w:after="120" w:before="0" w:line="300"/>
      </w:pPr>
      <w:r>
        <w:rPr>
          <w:rFonts w:ascii="Nunito Sans" w:cs="Nunito Sans" w:eastAsia="Nunito Sans" w:hAnsi="Nunito Sans"/>
          <w:color w:val="102E3B"/>
          <w:sz w:val="20"/>
          <w:szCs w:val="20"/>
        </w:rPr>
        <w:t xml:space="preserve">Los Socios trabajarán conforme a estos principios, tomados de los Principios de Asociación (Principles of Partnership) respaldados por la Global Humanitarian Platform en 2007 (igualdad, transparencia, enfoque orientado a resultados, responsabilidad y complementariedad):</w:t>
      </w:r>
    </w:p>
    <w:p>
      <w:pPr>
        <w:pStyle w:val="ListParagraph"/>
        <w:numPr>
          <w:ilvl w:val="0"/>
          <w:numId w:val="4"/>
        </w:numPr>
        <w:spacing w:after="80" w:line="290"/>
      </w:pPr>
      <w:r>
        <w:rPr>
          <w:rFonts w:ascii="Nunito Sans" w:cs="Nunito Sans" w:eastAsia="Nunito Sans" w:hAnsi="Nunito Sans"/>
          <w:b/>
          <w:bCs/>
          <w:color w:val="102E3B"/>
          <w:sz w:val="20"/>
          <w:szCs w:val="20"/>
        </w:rPr>
        <w:t xml:space="preserve">Igualdad y respeto.</w:t>
      </w:r>
      <w:r>
        <w:rPr>
          <w:rFonts w:ascii="Nunito Sans" w:cs="Nunito Sans" w:eastAsia="Nunito Sans" w:hAnsi="Nunito Sans"/>
          <w:color w:val="102E3B"/>
          <w:sz w:val="20"/>
          <w:szCs w:val="20"/>
        </w:rPr>
        <w:t xml:space="preserve"> Cada Socio tiene la misma voz, sea cual sea su tamaño o su presupuesto. Respetamos el mandato, la independencia y las formas de trabajar de cada uno.</w:t>
      </w:r>
    </w:p>
    <w:p>
      <w:pPr>
        <w:pStyle w:val="ListParagraph"/>
        <w:numPr>
          <w:ilvl w:val="0"/>
          <w:numId w:val="4"/>
        </w:numPr>
        <w:spacing w:after="80" w:line="290"/>
      </w:pPr>
      <w:r>
        <w:rPr>
          <w:rFonts w:ascii="Nunito Sans" w:cs="Nunito Sans" w:eastAsia="Nunito Sans" w:hAnsi="Nunito Sans"/>
          <w:b/>
          <w:bCs/>
          <w:color w:val="102E3B"/>
          <w:sz w:val="20"/>
          <w:szCs w:val="20"/>
        </w:rPr>
        <w:t xml:space="preserve">Liderazgo local.</w:t>
      </w:r>
      <w:r>
        <w:rPr>
          <w:rFonts w:ascii="Nunito Sans" w:cs="Nunito Sans" w:eastAsia="Nunito Sans" w:hAnsi="Nunito Sans"/>
          <w:color w:val="102E3B"/>
          <w:sz w:val="20"/>
          <w:szCs w:val="20"/>
        </w:rPr>
        <w:t xml:space="preserve"> Los Socios más cercanos a las comunidades dirigen las decisiones sobre cómo se ejecutan allí las actividades. Las comunidades participan en las decisiones que les afectan.</w:t>
      </w:r>
    </w:p>
    <w:p>
      <w:pPr>
        <w:pStyle w:val="ListParagraph"/>
        <w:numPr>
          <w:ilvl w:val="0"/>
          <w:numId w:val="4"/>
        </w:numPr>
        <w:spacing w:after="80" w:line="290"/>
      </w:pPr>
      <w:r>
        <w:rPr>
          <w:rFonts w:ascii="Nunito Sans" w:cs="Nunito Sans" w:eastAsia="Nunito Sans" w:hAnsi="Nunito Sans"/>
          <w:b/>
          <w:bCs/>
          <w:color w:val="102E3B"/>
          <w:sz w:val="20"/>
          <w:szCs w:val="20"/>
        </w:rPr>
        <w:t xml:space="preserve">Transparencia.</w:t>
      </w:r>
      <w:r>
        <w:rPr>
          <w:rFonts w:ascii="Nunito Sans" w:cs="Nunito Sans" w:eastAsia="Nunito Sans" w:hAnsi="Nunito Sans"/>
          <w:color w:val="102E3B"/>
          <w:sz w:val="20"/>
          <w:szCs w:val="20"/>
        </w:rPr>
        <w:t xml:space="preserve"> Compartimos información sobre planes, presupuestos, riesgos y problemas de forma abierta y temprana, incluidos los costos que asume cada Socio.</w:t>
      </w:r>
    </w:p>
    <w:p>
      <w:pPr>
        <w:pStyle w:val="ListParagraph"/>
        <w:numPr>
          <w:ilvl w:val="0"/>
          <w:numId w:val="4"/>
        </w:numPr>
        <w:spacing w:after="80" w:line="290"/>
      </w:pPr>
      <w:r>
        <w:rPr>
          <w:rFonts w:ascii="Nunito Sans" w:cs="Nunito Sans" w:eastAsia="Nunito Sans" w:hAnsi="Nunito Sans"/>
          <w:b/>
          <w:bCs/>
          <w:color w:val="102E3B"/>
          <w:sz w:val="20"/>
          <w:szCs w:val="20"/>
        </w:rPr>
        <w:t xml:space="preserve">Financiación justa.</w:t>
      </w:r>
      <w:r>
        <w:rPr>
          <w:rFonts w:ascii="Nunito Sans" w:cs="Nunito Sans" w:eastAsia="Nunito Sans" w:hAnsi="Nunito Sans"/>
          <w:color w:val="102E3B"/>
          <w:sz w:val="20"/>
          <w:szCs w:val="20"/>
        </w:rPr>
        <w:t xml:space="preserve"> Los presupuestos elaborados en conjunto incluyen una parte justa de los costos de funcionamiento de cada Socio (costos indirectos), no solo los costos de las actividades. No se espera que ningún Socio financie la alianza con sus propias reservas sin haberlo aceptado.</w:t>
      </w:r>
    </w:p>
    <w:p>
      <w:pPr>
        <w:pStyle w:val="ListParagraph"/>
        <w:numPr>
          <w:ilvl w:val="0"/>
          <w:numId w:val="4"/>
        </w:numPr>
        <w:spacing w:after="80" w:line="290"/>
      </w:pPr>
      <w:r>
        <w:rPr>
          <w:rFonts w:ascii="Nunito Sans" w:cs="Nunito Sans" w:eastAsia="Nunito Sans" w:hAnsi="Nunito Sans"/>
          <w:b/>
          <w:bCs/>
          <w:color w:val="102E3B"/>
          <w:sz w:val="20"/>
          <w:szCs w:val="20"/>
        </w:rPr>
        <w:t xml:space="preserve">Riesgo compartido.</w:t>
      </w:r>
      <w:r>
        <w:rPr>
          <w:rFonts w:ascii="Nunito Sans" w:cs="Nunito Sans" w:eastAsia="Nunito Sans" w:hAnsi="Nunito Sans"/>
          <w:color w:val="102E3B"/>
          <w:sz w:val="20"/>
          <w:szCs w:val="20"/>
        </w:rPr>
        <w:t xml:space="preserve"> No trasladamos riesgos a otro Socio sin trasladar también los recursos, el apoyo y la autoridad para gestionarlos.</w:t>
      </w:r>
    </w:p>
    <w:p>
      <w:pPr>
        <w:pStyle w:val="ListParagraph"/>
        <w:numPr>
          <w:ilvl w:val="0"/>
          <w:numId w:val="4"/>
        </w:numPr>
        <w:spacing w:after="80" w:line="290"/>
      </w:pPr>
      <w:r>
        <w:rPr>
          <w:rFonts w:ascii="Nunito Sans" w:cs="Nunito Sans" w:eastAsia="Nunito Sans" w:hAnsi="Nunito Sans"/>
          <w:b/>
          <w:bCs/>
          <w:color w:val="102E3B"/>
          <w:sz w:val="20"/>
          <w:szCs w:val="20"/>
        </w:rPr>
        <w:t xml:space="preserve">Complementariedad y aprendizaje.</w:t>
      </w:r>
      <w:r>
        <w:rPr>
          <w:rFonts w:ascii="Nunito Sans" w:cs="Nunito Sans" w:eastAsia="Nunito Sans" w:hAnsi="Nunito Sans"/>
          <w:color w:val="102E3B"/>
          <w:sz w:val="20"/>
          <w:szCs w:val="20"/>
        </w:rPr>
        <w:t xml:space="preserve"> Nos apoyamos en las fortalezas de cada uno y aprendemos unos de otros. El fortalecimiento de capacidades funciona en ambas direcciones.</w:t>
      </w:r>
    </w:p>
    <w:p>
      <w:pPr>
        <w:pStyle w:val="ListParagraph"/>
        <w:numPr>
          <w:ilvl w:val="0"/>
          <w:numId w:val="4"/>
        </w:numPr>
        <w:spacing w:after="80" w:line="290"/>
      </w:pPr>
      <w:r>
        <w:rPr>
          <w:rFonts w:ascii="Nunito Sans" w:cs="Nunito Sans" w:eastAsia="Nunito Sans" w:hAnsi="Nunito Sans"/>
          <w:b/>
          <w:bCs/>
          <w:color w:val="102E3B"/>
          <w:sz w:val="20"/>
          <w:szCs w:val="20"/>
        </w:rPr>
        <w:t xml:space="preserve">Rendición de cuentas.</w:t>
      </w:r>
      <w:r>
        <w:rPr>
          <w:rFonts w:ascii="Nunito Sans" w:cs="Nunito Sans" w:eastAsia="Nunito Sans" w:hAnsi="Nunito Sans"/>
          <w:color w:val="102E3B"/>
          <w:sz w:val="20"/>
          <w:szCs w:val="20"/>
        </w:rPr>
        <w:t xml:space="preserve"> Rendimos cuentas ante las comunidades a las que atendemos, entre nosotros y ante nuestros financiadores, por ese orden de prioridad cuando entran en conflicto.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TUS PRINCIPIOS</w:t>
            </w:r>
          </w:p>
          <w:p>
            <w:pPr>
              <w:spacing w:after="120" w:before="0" w:line="300"/>
            </w:pPr>
            <w:r>
              <w:rPr>
                <w:rFonts w:ascii="Nunito Sans" w:cs="Nunito Sans" w:eastAsia="Nunito Sans" w:hAnsi="Nunito Sans"/>
                <w:color w:val="102E3B"/>
                <w:sz w:val="19"/>
                <w:szCs w:val="19"/>
              </w:rPr>
              <w:t xml:space="preserve">Mantén los principios breves y reales. Los socios que trabajan en el ámbito humanitario también pueden remitirse a la Norma Humanitaria Esencial (CHS), a los compromisos de localización del Gran Pacto (Grand Bargain) o a la Charter for Change, cuyos firmantes se comprometen a apoyar de forma más justa a las organizaciones locales y nacionales, incluidos sus costos estructurales. Antes de firmar, debatid una prueba práctica: "Si un financiador recorta el presupuesto un 30 %, ¿cómo nos repartiremos el recorte?". Escribe la respuesta en la cláusula 5.</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Términos acordados</w:t>
      </w:r>
    </w:p>
    <w:p>
      <w:pPr>
        <w:pStyle w:val="Heading2"/>
        <w:keepNext/>
        <w:spacing w:after="120" w:before="280"/>
      </w:pPr>
      <w:r>
        <w:rPr>
          <w:rFonts w:ascii="DM Serif Display" w:cs="DM Serif Display" w:eastAsia="DM Serif Display" w:hAnsi="DM Serif Display"/>
          <w:color w:val="123C48"/>
          <w:sz w:val="28"/>
          <w:szCs w:val="28"/>
        </w:rPr>
        <w:t xml:space="preserve">1. Definiciones y carácter de este memorando (vinculante)</w:t>
      </w:r>
    </w:p>
    <w:p>
      <w:pPr>
        <w:pStyle w:val="ListParagraph"/>
        <w:numPr>
          <w:ilvl w:val="0"/>
          <w:numId w:val="5"/>
        </w:numPr>
        <w:spacing w:after="80" w:line="290"/>
      </w:pPr>
      <w:r>
        <w:rPr>
          <w:rFonts w:ascii="Nunito Sans" w:cs="Nunito Sans" w:eastAsia="Nunito Sans" w:hAnsi="Nunito Sans"/>
          <w:color w:val="102E3B"/>
          <w:sz w:val="20"/>
          <w:szCs w:val="20"/>
        </w:rPr>
        <w:t xml:space="preserve">En este memorando, </w:t>
      </w:r>
      <w:r>
        <w:rPr>
          <w:rFonts w:ascii="Nunito Sans" w:cs="Nunito Sans" w:eastAsia="Nunito Sans" w:hAnsi="Nunito Sans"/>
          <w:b/>
          <w:bCs/>
          <w:color w:val="102E3B"/>
          <w:sz w:val="20"/>
          <w:szCs w:val="20"/>
        </w:rPr>
        <w:t xml:space="preserve">Actividades de la Alianza</w:t>
      </w:r>
      <w:r>
        <w:rPr>
          <w:rFonts w:ascii="Nunito Sans" w:cs="Nunito Sans" w:eastAsia="Nunito Sans" w:hAnsi="Nunito Sans"/>
          <w:color w:val="102E3B"/>
          <w:sz w:val="20"/>
          <w:szCs w:val="20"/>
        </w:rPr>
        <w:t xml:space="preserve"> significa las actividades descritas en el Anexo 1. </w:t>
      </w:r>
      <w:r>
        <w:rPr>
          <w:rFonts w:ascii="Nunito Sans" w:cs="Nunito Sans" w:eastAsia="Nunito Sans" w:hAnsi="Nunito Sans"/>
          <w:b/>
          <w:bCs/>
          <w:color w:val="102E3B"/>
          <w:sz w:val="20"/>
          <w:szCs w:val="20"/>
        </w:rPr>
        <w:t xml:space="preserve">Información Confidencial</w:t>
      </w:r>
      <w:r>
        <w:rPr>
          <w:rFonts w:ascii="Nunito Sans" w:cs="Nunito Sans" w:eastAsia="Nunito Sans" w:hAnsi="Nunito Sans"/>
          <w:color w:val="102E3B"/>
          <w:sz w:val="20"/>
          <w:szCs w:val="20"/>
        </w:rPr>
        <w:t xml:space="preserve"> significa la información que un Socio comparte para la alianza y que está marcada como confidencial o que una persona razonable entendería que es confidencial. </w:t>
      </w:r>
      <w:r>
        <w:rPr>
          <w:rFonts w:ascii="Nunito Sans" w:cs="Nunito Sans" w:eastAsia="Nunito Sans" w:hAnsi="Nunito Sans"/>
          <w:b/>
          <w:bCs/>
          <w:color w:val="102E3B"/>
          <w:sz w:val="20"/>
          <w:szCs w:val="20"/>
        </w:rPr>
        <w:t xml:space="preserve">Datos Personales</w:t>
      </w:r>
      <w:r>
        <w:rPr>
          <w:rFonts w:ascii="Nunito Sans" w:cs="Nunito Sans" w:eastAsia="Nunito Sans" w:hAnsi="Nunito Sans"/>
          <w:color w:val="102E3B"/>
          <w:sz w:val="20"/>
          <w:szCs w:val="20"/>
        </w:rPr>
        <w:t xml:space="preserve"> significa la información sobre una persona viva identificada o identificable.</w:t>
      </w:r>
    </w:p>
    <w:p>
      <w:pPr>
        <w:pStyle w:val="ListParagraph"/>
        <w:numPr>
          <w:ilvl w:val="0"/>
          <w:numId w:val="5"/>
        </w:numPr>
        <w:spacing w:after="80" w:line="290"/>
      </w:pPr>
      <w:r>
        <w:rPr>
          <w:rFonts w:ascii="Nunito Sans" w:cs="Nunito Sans" w:eastAsia="Nunito Sans" w:hAnsi="Nunito Sans"/>
          <w:color w:val="102E3B"/>
          <w:sz w:val="20"/>
          <w:szCs w:val="20"/>
        </w:rPr>
        <w:t xml:space="preserve">Las cláusulas 1, 6, 7, 8, 11, 12, 13 y 14 son jurídicamente vinculantes. Todas las demás cláusulas, los principios y los anexos recogen únicamente intenciones y no son jurídicamente vinculantes, salvo que las normas mínimas del Anexo 3 se aplican como parte de la cláusula 8.</w:t>
      </w:r>
    </w:p>
    <w:p>
      <w:pPr>
        <w:pStyle w:val="ListParagraph"/>
        <w:numPr>
          <w:ilvl w:val="0"/>
          <w:numId w:val="5"/>
        </w:numPr>
        <w:spacing w:after="80" w:line="290"/>
      </w:pPr>
      <w:r>
        <w:rPr>
          <w:rFonts w:ascii="Nunito Sans" w:cs="Nunito Sans" w:eastAsia="Nunito Sans" w:hAnsi="Nunito Sans"/>
          <w:color w:val="102E3B"/>
          <w:sz w:val="20"/>
          <w:szCs w:val="20"/>
        </w:rPr>
        <w:t xml:space="preserve">Este memorando no obliga a ningún Socio a celebrar ningún otro acuerdo, a comprometer fondos ni a solicitar financiación.</w:t>
      </w:r>
    </w:p>
    <w:p>
      <w:pPr>
        <w:pStyle w:val="Heading2"/>
        <w:keepNext/>
        <w:spacing w:after="120" w:before="280"/>
      </w:pPr>
      <w:r>
        <w:rPr>
          <w:rFonts w:ascii="DM Serif Display" w:cs="DM Serif Display" w:eastAsia="DM Serif Display" w:hAnsi="DM Serif Display"/>
          <w:color w:val="123C48"/>
          <w:sz w:val="28"/>
          <w:szCs w:val="28"/>
        </w:rPr>
        <w:t xml:space="preserve">2. Propósito y objetivos comunes (no vinculante)</w:t>
      </w:r>
    </w:p>
    <w:p>
      <w:pPr>
        <w:pStyle w:val="ListParagraph"/>
        <w:numPr>
          <w:ilvl w:val="0"/>
          <w:numId w:val="6"/>
        </w:numPr>
        <w:spacing w:after="80" w:line="290"/>
      </w:pPr>
      <w:r>
        <w:rPr>
          <w:rFonts w:ascii="Nunito Sans" w:cs="Nunito Sans" w:eastAsia="Nunito Sans" w:hAnsi="Nunito Sans"/>
          <w:color w:val="102E3B"/>
          <w:sz w:val="20"/>
          <w:szCs w:val="20"/>
        </w:rPr>
        <w:t xml:space="preserve">El propósito de la alianza es </w:t>
      </w:r>
      <w:r>
        <w:rPr>
          <w:rFonts w:ascii="Nunito Sans" w:cs="Nunito Sans" w:eastAsia="Nunito Sans" w:hAnsi="Nunito Sans"/>
          <w:color w:val="102E3B"/>
          <w:sz w:val="20"/>
          <w:szCs w:val="20"/>
          <w:highlight w:val="yellow"/>
        </w:rPr>
        <w:t xml:space="preserve">[p. ej. mejorar los ingresos y la resiliencia de los hogares agrícolas del distrito X]</w:t>
      </w:r>
      <w:r>
        <w:rPr>
          <w:rFonts w:ascii="Nunito Sans" w:cs="Nunito Sans" w:eastAsia="Nunito Sans" w:hAnsi="Nunito Sans"/>
          <w:color w:val="102E3B"/>
          <w:sz w:val="20"/>
          <w:szCs w:val="20"/>
        </w:rPr>
        <w:t xml:space="preserve">.</w:t>
      </w:r>
    </w:p>
    <w:p>
      <w:pPr>
        <w:pStyle w:val="ListParagraph"/>
        <w:numPr>
          <w:ilvl w:val="0"/>
          <w:numId w:val="6"/>
        </w:numPr>
        <w:spacing w:after="80" w:line="290"/>
      </w:pPr>
      <w:r>
        <w:rPr>
          <w:rFonts w:ascii="Nunito Sans" w:cs="Nunito Sans" w:eastAsia="Nunito Sans" w:hAnsi="Nunito Sans"/>
          <w:color w:val="102E3B"/>
          <w:sz w:val="20"/>
          <w:szCs w:val="20"/>
        </w:rPr>
        <w:t xml:space="preserve">Los Socios aspiran a alcanzar estos objetivos a más tardar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w:t>
      </w:r>
    </w:p>
    <w:p>
      <w:pPr>
        <w:pStyle w:val="ListParagraph"/>
        <w:numPr>
          <w:ilvl w:val="1"/>
          <w:numId w:val="6"/>
        </w:numPr>
        <w:spacing w:after="80" w:line="290"/>
      </w:pPr>
      <w:r>
        <w:rPr>
          <w:rFonts w:ascii="Nunito Sans" w:cs="Nunito Sans" w:eastAsia="Nunito Sans" w:hAnsi="Nunito Sans"/>
          <w:color w:val="102E3B"/>
          <w:sz w:val="20"/>
          <w:szCs w:val="20"/>
          <w:highlight w:val="yellow"/>
        </w:rPr>
        <w:t xml:space="preserve">[Objetivo 1, p. ej. 1.500 hogares adoptan al menos tres prácticas resilientes al clima]</w:t>
      </w:r>
      <w:r>
        <w:rPr>
          <w:rFonts w:ascii="Nunito Sans" w:cs="Nunito Sans" w:eastAsia="Nunito Sans" w:hAnsi="Nunito Sans"/>
          <w:color w:val="102E3B"/>
          <w:sz w:val="20"/>
          <w:szCs w:val="20"/>
        </w:rPr>
        <w:t xml:space="preserve">;</w:t>
      </w:r>
    </w:p>
    <w:p>
      <w:pPr>
        <w:pStyle w:val="ListParagraph"/>
        <w:numPr>
          <w:ilvl w:val="1"/>
          <w:numId w:val="6"/>
        </w:numPr>
        <w:spacing w:after="80" w:line="290"/>
      </w:pPr>
      <w:r>
        <w:rPr>
          <w:rFonts w:ascii="Nunito Sans" w:cs="Nunito Sans" w:eastAsia="Nunito Sans" w:hAnsi="Nunito Sans"/>
          <w:color w:val="102E3B"/>
          <w:sz w:val="20"/>
          <w:szCs w:val="20"/>
          <w:highlight w:val="yellow"/>
        </w:rPr>
        <w:t xml:space="preserve">[Objetivo 2, p. ej. 60 grupos de agricultores y agricultoras tienen planes de ahorro activos]</w:t>
      </w:r>
      <w:r>
        <w:rPr>
          <w:rFonts w:ascii="Nunito Sans" w:cs="Nunito Sans" w:eastAsia="Nunito Sans" w:hAnsi="Nunito Sans"/>
          <w:color w:val="102E3B"/>
          <w:sz w:val="20"/>
          <w:szCs w:val="20"/>
        </w:rPr>
        <w:t xml:space="preserve">; y</w:t>
      </w:r>
    </w:p>
    <w:p>
      <w:pPr>
        <w:pStyle w:val="ListParagraph"/>
        <w:numPr>
          <w:ilvl w:val="1"/>
          <w:numId w:val="6"/>
        </w:numPr>
        <w:spacing w:after="80" w:line="290"/>
      </w:pPr>
      <w:r>
        <w:rPr>
          <w:rFonts w:ascii="Nunito Sans" w:cs="Nunito Sans" w:eastAsia="Nunito Sans" w:hAnsi="Nunito Sans"/>
          <w:color w:val="102E3B"/>
          <w:sz w:val="20"/>
          <w:szCs w:val="20"/>
          <w:highlight w:val="yellow"/>
        </w:rPr>
        <w:t xml:space="preserve">[Objetivo 3, p. ej. se documenta un modelo conjunto y se comparte con el gobierno del condado]</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3. Actividades y responsabilidades (no vinculante)</w:t>
      </w:r>
    </w:p>
    <w:p>
      <w:pPr>
        <w:pStyle w:val="ListParagraph"/>
        <w:numPr>
          <w:ilvl w:val="0"/>
          <w:numId w:val="7"/>
        </w:numPr>
        <w:spacing w:after="80" w:line="290"/>
      </w:pPr>
      <w:r>
        <w:rPr>
          <w:rFonts w:ascii="Nunito Sans" w:cs="Nunito Sans" w:eastAsia="Nunito Sans" w:hAnsi="Nunito Sans"/>
          <w:color w:val="102E3B"/>
          <w:sz w:val="20"/>
          <w:szCs w:val="20"/>
        </w:rPr>
        <w:t xml:space="preserve">Cada Socio tiene la intención de llevar a cabo las actividades que se le asignan en el Anexo 1, con el personal y los recursos indicados en el Anexo 2.</w:t>
      </w:r>
    </w:p>
    <w:p>
      <w:pPr>
        <w:pStyle w:val="ListParagraph"/>
        <w:numPr>
          <w:ilvl w:val="0"/>
          <w:numId w:val="7"/>
        </w:numPr>
        <w:spacing w:after="80" w:line="290"/>
      </w:pPr>
      <w:r>
        <w:rPr>
          <w:rFonts w:ascii="Nunito Sans" w:cs="Nunito Sans" w:eastAsia="Nunito Sans" w:hAnsi="Nunito Sans"/>
          <w:color w:val="102E3B"/>
          <w:sz w:val="20"/>
          <w:szCs w:val="20"/>
        </w:rPr>
        <w:t xml:space="preserve">Cada Socio sigue siendo responsable de cómo ejecuta sus propias actividades, de acuerdo con sus propias políticas y con la ley.</w:t>
      </w:r>
    </w:p>
    <w:p>
      <w:pPr>
        <w:pStyle w:val="ListParagraph"/>
        <w:numPr>
          <w:ilvl w:val="0"/>
          <w:numId w:val="7"/>
        </w:numPr>
        <w:spacing w:after="80" w:line="290"/>
      </w:pPr>
      <w:r>
        <w:rPr>
          <w:rFonts w:ascii="Nunito Sans" w:cs="Nunito Sans" w:eastAsia="Nunito Sans" w:hAnsi="Nunito Sans"/>
          <w:color w:val="102E3B"/>
          <w:sz w:val="20"/>
          <w:szCs w:val="20"/>
        </w:rPr>
        <w:t xml:space="preserve">Un Socio que no pueda ejecutar una actividad según lo previsto informará a los demás lo antes posible, para que el grupo directivo pueda acordar una solución.</w:t>
      </w:r>
    </w:p>
    <w:p>
      <w:pPr>
        <w:pStyle w:val="Heading2"/>
        <w:keepNext/>
        <w:spacing w:after="120" w:before="280"/>
      </w:pPr>
      <w:r>
        <w:rPr>
          <w:rFonts w:ascii="DM Serif Display" w:cs="DM Serif Display" w:eastAsia="DM Serif Display" w:hAnsi="DM Serif Display"/>
          <w:color w:val="123C48"/>
          <w:sz w:val="28"/>
          <w:szCs w:val="28"/>
        </w:rPr>
        <w:t xml:space="preserve">4. Gobernanza y toma de decisiones (no vinculante)</w:t>
      </w:r>
    </w:p>
    <w:p>
      <w:pPr>
        <w:pStyle w:val="ListParagraph"/>
        <w:numPr>
          <w:ilvl w:val="0"/>
          <w:numId w:val="8"/>
        </w:numPr>
        <w:spacing w:after="80" w:line="290"/>
      </w:pPr>
      <w:r>
        <w:rPr>
          <w:rFonts w:ascii="Nunito Sans" w:cs="Nunito Sans" w:eastAsia="Nunito Sans" w:hAnsi="Nunito Sans"/>
          <w:color w:val="102E3B"/>
          <w:sz w:val="20"/>
          <w:szCs w:val="20"/>
        </w:rPr>
        <w:t xml:space="preserve">Los Socios formarán un </w:t>
      </w:r>
      <w:r>
        <w:rPr>
          <w:rFonts w:ascii="Nunito Sans" w:cs="Nunito Sans" w:eastAsia="Nunito Sans" w:hAnsi="Nunito Sans"/>
          <w:b/>
          <w:bCs/>
          <w:color w:val="102E3B"/>
          <w:sz w:val="20"/>
          <w:szCs w:val="20"/>
        </w:rPr>
        <w:t xml:space="preserve">grupo directivo</w:t>
      </w:r>
      <w:r>
        <w:rPr>
          <w:rFonts w:ascii="Nunito Sans" w:cs="Nunito Sans" w:eastAsia="Nunito Sans" w:hAnsi="Nunito Sans"/>
          <w:color w:val="102E3B"/>
          <w:sz w:val="20"/>
          <w:szCs w:val="20"/>
        </w:rPr>
        <w:t xml:space="preserve"> con </w:t>
      </w:r>
      <w:r>
        <w:rPr>
          <w:rFonts w:ascii="Nunito Sans" w:cs="Nunito Sans" w:eastAsia="Nunito Sans" w:hAnsi="Nunito Sans"/>
          <w:color w:val="102E3B"/>
          <w:sz w:val="20"/>
          <w:szCs w:val="20"/>
          <w:highlight w:val="yellow"/>
        </w:rPr>
        <w:t xml:space="preserve">[una / dos]</w:t>
      </w:r>
      <w:r>
        <w:rPr>
          <w:rFonts w:ascii="Nunito Sans" w:cs="Nunito Sans" w:eastAsia="Nunito Sans" w:hAnsi="Nunito Sans"/>
          <w:color w:val="102E3B"/>
          <w:sz w:val="20"/>
          <w:szCs w:val="20"/>
        </w:rPr>
        <w:t xml:space="preserve"> personas representantes de cada Socio, con autoridad para tomar decisiones en nombre de su organización.</w:t>
      </w:r>
    </w:p>
    <w:p>
      <w:pPr>
        <w:pStyle w:val="ListParagraph"/>
        <w:numPr>
          <w:ilvl w:val="0"/>
          <w:numId w:val="8"/>
        </w:numPr>
        <w:spacing w:after="80" w:line="290"/>
      </w:pPr>
      <w:r>
        <w:rPr>
          <w:rFonts w:ascii="Nunito Sans" w:cs="Nunito Sans" w:eastAsia="Nunito Sans" w:hAnsi="Nunito Sans"/>
          <w:color w:val="102E3B"/>
          <w:sz w:val="20"/>
          <w:szCs w:val="20"/>
        </w:rPr>
        <w:t xml:space="preserve">El grupo directivo:</w:t>
      </w:r>
    </w:p>
    <w:p>
      <w:pPr>
        <w:pStyle w:val="ListParagraph"/>
        <w:numPr>
          <w:ilvl w:val="1"/>
          <w:numId w:val="8"/>
        </w:numPr>
        <w:spacing w:after="80" w:line="290"/>
      </w:pPr>
      <w:r>
        <w:rPr>
          <w:rFonts w:ascii="Nunito Sans" w:cs="Nunito Sans" w:eastAsia="Nunito Sans" w:hAnsi="Nunito Sans"/>
          <w:color w:val="102E3B"/>
          <w:sz w:val="20"/>
          <w:szCs w:val="20"/>
        </w:rPr>
        <w:t xml:space="preserve">acordará el plan de trabajo anual y el presupuesto conjunto;</w:t>
      </w:r>
    </w:p>
    <w:p>
      <w:pPr>
        <w:pStyle w:val="ListParagraph"/>
        <w:numPr>
          <w:ilvl w:val="1"/>
          <w:numId w:val="8"/>
        </w:numPr>
        <w:spacing w:after="80" w:line="290"/>
      </w:pPr>
      <w:r>
        <w:rPr>
          <w:rFonts w:ascii="Nunito Sans" w:cs="Nunito Sans" w:eastAsia="Nunito Sans" w:hAnsi="Nunito Sans"/>
          <w:color w:val="102E3B"/>
          <w:sz w:val="20"/>
          <w:szCs w:val="20"/>
        </w:rPr>
        <w:t xml:space="preserve">revisará los avances, los riesgos y el aprendizaje;</w:t>
      </w:r>
    </w:p>
    <w:p>
      <w:pPr>
        <w:pStyle w:val="ListParagraph"/>
        <w:numPr>
          <w:ilvl w:val="1"/>
          <w:numId w:val="8"/>
        </w:numPr>
        <w:spacing w:after="80" w:line="290"/>
      </w:pPr>
      <w:r>
        <w:rPr>
          <w:rFonts w:ascii="Nunito Sans" w:cs="Nunito Sans" w:eastAsia="Nunito Sans" w:hAnsi="Nunito Sans"/>
          <w:color w:val="102E3B"/>
          <w:sz w:val="20"/>
          <w:szCs w:val="20"/>
        </w:rPr>
        <w:t xml:space="preserve">decidirá sobre las solicitudes de financiación conjuntas y las comunicaciones conjuntas; y</w:t>
      </w:r>
    </w:p>
    <w:p>
      <w:pPr>
        <w:pStyle w:val="ListParagraph"/>
        <w:numPr>
          <w:ilvl w:val="1"/>
          <w:numId w:val="8"/>
        </w:numPr>
        <w:spacing w:after="80" w:line="290"/>
      </w:pPr>
      <w:r>
        <w:rPr>
          <w:rFonts w:ascii="Nunito Sans" w:cs="Nunito Sans" w:eastAsia="Nunito Sans" w:hAnsi="Nunito Sans"/>
          <w:color w:val="102E3B"/>
          <w:sz w:val="20"/>
          <w:szCs w:val="20"/>
        </w:rPr>
        <w:t xml:space="preserve">revisará este memorando cada año.</w:t>
      </w:r>
    </w:p>
    <w:p>
      <w:pPr>
        <w:pStyle w:val="ListParagraph"/>
        <w:numPr>
          <w:ilvl w:val="0"/>
          <w:numId w:val="8"/>
        </w:numPr>
        <w:spacing w:after="80" w:line="290"/>
      </w:pPr>
      <w:r>
        <w:rPr>
          <w:rFonts w:ascii="Nunito Sans" w:cs="Nunito Sans" w:eastAsia="Nunito Sans" w:hAnsi="Nunito Sans"/>
          <w:color w:val="102E3B"/>
          <w:sz w:val="20"/>
          <w:szCs w:val="20"/>
        </w:rPr>
        <w:t xml:space="preserve">El grupo directivo se reúne </w:t>
      </w:r>
      <w:r>
        <w:rPr>
          <w:rFonts w:ascii="Nunito Sans" w:cs="Nunito Sans" w:eastAsia="Nunito Sans" w:hAnsi="Nunito Sans"/>
          <w:color w:val="102E3B"/>
          <w:sz w:val="20"/>
          <w:szCs w:val="20"/>
          <w:highlight w:val="yellow"/>
        </w:rPr>
        <w:t xml:space="preserve">[cada tres meses]</w:t>
      </w:r>
      <w:r>
        <w:rPr>
          <w:rFonts w:ascii="Nunito Sans" w:cs="Nunito Sans" w:eastAsia="Nunito Sans" w:hAnsi="Nunito Sans"/>
          <w:color w:val="102E3B"/>
          <w:sz w:val="20"/>
          <w:szCs w:val="20"/>
        </w:rPr>
        <w:t xml:space="preserve">, de forma presencial o en línea, y cuando lo solicite cualquier Socio. El Socio convocante envía el orden del día al menos </w:t>
      </w:r>
      <w:r>
        <w:rPr>
          <w:rFonts w:ascii="Nunito Sans" w:cs="Nunito Sans" w:eastAsia="Nunito Sans" w:hAnsi="Nunito Sans"/>
          <w:color w:val="102E3B"/>
          <w:sz w:val="20"/>
          <w:szCs w:val="20"/>
          <w:highlight w:val="yellow"/>
        </w:rPr>
        <w:t xml:space="preserve">[7]</w:t>
      </w:r>
      <w:r>
        <w:rPr>
          <w:rFonts w:ascii="Nunito Sans" w:cs="Nunito Sans" w:eastAsia="Nunito Sans" w:hAnsi="Nunito Sans"/>
          <w:color w:val="102E3B"/>
          <w:sz w:val="20"/>
          <w:szCs w:val="20"/>
        </w:rPr>
        <w:t xml:space="preserve"> días antes, y el acta, con las acciones acordadas,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después.</w:t>
      </w:r>
    </w:p>
    <w:p>
      <w:pPr>
        <w:pStyle w:val="ListParagraph"/>
        <w:numPr>
          <w:ilvl w:val="0"/>
          <w:numId w:val="8"/>
        </w:numPr>
        <w:spacing w:after="80" w:line="290"/>
      </w:pPr>
      <w:r>
        <w:rPr>
          <w:rFonts w:ascii="Nunito Sans" w:cs="Nunito Sans" w:eastAsia="Nunito Sans" w:hAnsi="Nunito Sans"/>
          <w:color w:val="102E3B"/>
          <w:sz w:val="20"/>
          <w:szCs w:val="20"/>
        </w:rPr>
        <w:t xml:space="preserve">Las decisiones se toman por consenso. Si no se alcanza el consenso después de dos reuniones, el asunto se trata conforme a la cláusula 11. Una decisión que añada trabajo o costos a un Socio requiere el acuerdo de ese Socio.</w:t>
      </w:r>
    </w:p>
    <w:p>
      <w:pPr>
        <w:pStyle w:val="ListParagraph"/>
        <w:numPr>
          <w:ilvl w:val="0"/>
          <w:numId w:val="8"/>
        </w:numPr>
        <w:spacing w:after="80" w:line="290"/>
      </w:pPr>
      <w:r>
        <w:rPr>
          <w:rFonts w:ascii="Nunito Sans" w:cs="Nunito Sans" w:eastAsia="Nunito Sans" w:hAnsi="Nunito Sans"/>
          <w:color w:val="102E3B"/>
          <w:sz w:val="20"/>
          <w:szCs w:val="20"/>
        </w:rPr>
        <w:t xml:space="preserve">Las reuniones se celebran en </w:t>
      </w:r>
      <w:r>
        <w:rPr>
          <w:rFonts w:ascii="Nunito Sans" w:cs="Nunito Sans" w:eastAsia="Nunito Sans" w:hAnsi="Nunito Sans"/>
          <w:color w:val="102E3B"/>
          <w:sz w:val="20"/>
          <w:szCs w:val="20"/>
          <w:highlight w:val="yellow"/>
        </w:rPr>
        <w:t xml:space="preserve">[idioma(s)]</w:t>
      </w:r>
      <w:r>
        <w:rPr>
          <w:rFonts w:ascii="Nunito Sans" w:cs="Nunito Sans" w:eastAsia="Nunito Sans" w:hAnsi="Nunito Sans"/>
          <w:color w:val="102E3B"/>
          <w:sz w:val="20"/>
          <w:szCs w:val="20"/>
        </w:rPr>
        <w:t xml:space="preserve">. Cuando sea necesario, los Socios organizarán servicios de interpretación y compartirán los documentos con tiempo suficiente, para que todas las personas puedan participar plenamente. El costo de asistir </w:t>
      </w:r>
      <w:r>
        <w:rPr>
          <w:rFonts w:ascii="Nunito Sans" w:cs="Nunito Sans" w:eastAsia="Nunito Sans" w:hAnsi="Nunito Sans"/>
          <w:color w:val="102E3B"/>
          <w:sz w:val="20"/>
          <w:szCs w:val="20"/>
          <w:highlight w:val="yellow"/>
        </w:rPr>
        <w:t xml:space="preserve">[se cubre con el presupuesto conjunto / lo asume cada Socio]</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UNA GOBERNANZA QUE FUNCIONE PARA LOS SOCIOS PEQUEÑOS</w:t>
            </w:r>
          </w:p>
          <w:p>
            <w:pPr>
              <w:spacing w:after="120" w:before="0" w:line="300"/>
            </w:pPr>
            <w:r>
              <w:rPr>
                <w:rFonts w:ascii="Nunito Sans" w:cs="Nunito Sans" w:eastAsia="Nunito Sans" w:hAnsi="Nunito Sans"/>
                <w:color w:val="102E3B"/>
                <w:sz w:val="19"/>
                <w:szCs w:val="19"/>
              </w:rPr>
              <w:t xml:space="preserve">Mantén una gobernanza ligera: de dos a cuatro reuniones al año suelen bastar. Rota la presidencia y celebra algunas reuniones donde trabaja el socio local. Presupuesta viajes, paquetes de datos o interpretación para que los socios más pequeños puedan asistir. Si un financiador exige una organización líder, indica que las facultades adicionales de esa organización se limitan a lo que exige el financiador y que las demás decisiones siguen correspondiendo al grupo directivo.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Recursos y financiación (no vinculante)</w:t>
      </w:r>
    </w:p>
    <w:p>
      <w:pPr>
        <w:pStyle w:val="ListParagraph"/>
        <w:numPr>
          <w:ilvl w:val="0"/>
          <w:numId w:val="9"/>
        </w:numPr>
        <w:spacing w:after="80" w:line="290"/>
      </w:pPr>
      <w:r>
        <w:rPr>
          <w:rFonts w:ascii="Nunito Sans" w:cs="Nunito Sans" w:eastAsia="Nunito Sans" w:hAnsi="Nunito Sans"/>
          <w:color w:val="102E3B"/>
          <w:sz w:val="20"/>
          <w:szCs w:val="20"/>
        </w:rPr>
        <w:t xml:space="preserve">Cada Socio tiene la intención de aportar el tiempo de personal, los conocimientos, las instalaciones y los fondos indicados en el Anexo 2.</w:t>
      </w:r>
    </w:p>
    <w:p>
      <w:pPr>
        <w:pStyle w:val="ListParagraph"/>
        <w:numPr>
          <w:ilvl w:val="0"/>
          <w:numId w:val="9"/>
        </w:numPr>
        <w:spacing w:after="80" w:line="290"/>
      </w:pPr>
      <w:r>
        <w:rPr>
          <w:rFonts w:ascii="Nunito Sans" w:cs="Nunito Sans" w:eastAsia="Nunito Sans" w:hAnsi="Nunito Sans"/>
          <w:color w:val="102E3B"/>
          <w:sz w:val="20"/>
          <w:szCs w:val="20"/>
        </w:rPr>
        <w:t xml:space="preserve">Los Socios acordarán en conjunto qué Socio lidera cada solicitud de financiación conjunta, en función de la idoneidad y la capacidad, no del tamaño. Cada Socio mencionado en una propuesta verá y aprobará su presupuesto y la descripción de su rol antes de que se presente.</w:t>
      </w:r>
    </w:p>
    <w:p>
      <w:pPr>
        <w:pStyle w:val="ListParagraph"/>
        <w:numPr>
          <w:ilvl w:val="0"/>
          <w:numId w:val="9"/>
        </w:numPr>
        <w:spacing w:after="80" w:line="290"/>
      </w:pPr>
      <w:r>
        <w:rPr>
          <w:rFonts w:ascii="Nunito Sans" w:cs="Nunito Sans" w:eastAsia="Nunito Sans" w:hAnsi="Nunito Sans"/>
          <w:color w:val="102E3B"/>
          <w:sz w:val="20"/>
          <w:szCs w:val="20"/>
        </w:rPr>
        <w:t xml:space="preserve">Los presupuestos conjuntos incluirán una parte justa de los costos de funcionamiento de cada Socio, a </w:t>
      </w:r>
      <w:r>
        <w:rPr>
          <w:rFonts w:ascii="Nunito Sans" w:cs="Nunito Sans" w:eastAsia="Nunito Sans" w:hAnsi="Nunito Sans"/>
          <w:color w:val="102E3B"/>
          <w:sz w:val="20"/>
          <w:szCs w:val="20"/>
          <w:highlight w:val="yellow"/>
        </w:rPr>
        <w:t xml:space="preserve">[la misma tasa de costos indirectos para todos los Socios / al menos un X % de los costos directos]</w:t>
      </w:r>
      <w:r>
        <w:rPr>
          <w:rFonts w:ascii="Nunito Sans" w:cs="Nunito Sans" w:eastAsia="Nunito Sans" w:hAnsi="Nunito Sans"/>
          <w:color w:val="102E3B"/>
          <w:sz w:val="20"/>
          <w:szCs w:val="20"/>
        </w:rPr>
        <w:t xml:space="preserve">, cuando el financiador lo permita.</w:t>
      </w:r>
    </w:p>
    <w:p>
      <w:pPr>
        <w:pStyle w:val="ListParagraph"/>
        <w:numPr>
          <w:ilvl w:val="0"/>
          <w:numId w:val="9"/>
        </w:numPr>
        <w:spacing w:after="80" w:line="290"/>
      </w:pPr>
      <w:r>
        <w:rPr>
          <w:rFonts w:ascii="Nunito Sans" w:cs="Nunito Sans" w:eastAsia="Nunito Sans" w:hAnsi="Nunito Sans"/>
          <w:color w:val="102E3B"/>
          <w:sz w:val="20"/>
          <w:szCs w:val="20"/>
        </w:rPr>
        <w:t xml:space="preserve">Cuando un Socio transfiera fondos a otro, firmarán un Acuerdo de Subvención a Socios o un Contrato de Servicios por separado antes de que se mueva ningún fondo. Si ese acuerdo contradice este memorando, prevalece ese acuerdo.</w:t>
      </w:r>
    </w:p>
    <w:p>
      <w:pPr>
        <w:pStyle w:val="ListParagraph"/>
        <w:numPr>
          <w:ilvl w:val="0"/>
          <w:numId w:val="9"/>
        </w:numPr>
        <w:spacing w:after="80" w:line="290"/>
      </w:pPr>
      <w:r>
        <w:rPr>
          <w:rFonts w:ascii="Nunito Sans" w:cs="Nunito Sans" w:eastAsia="Nunito Sans" w:hAnsi="Nunito Sans"/>
          <w:color w:val="102E3B"/>
          <w:sz w:val="20"/>
          <w:szCs w:val="20"/>
        </w:rPr>
        <w:t xml:space="preserve">Si la financiación se reduce o termina, el grupo directivo acordará cómo ajustar las actividades, repartiendo la reducción de forma justa y protegiendo en primer lugar los compromisos con las comunidades.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DINERO Y COSTOS INDIRECTOS JUSTOS</w:t>
            </w:r>
          </w:p>
          <w:p>
            <w:pPr>
              <w:spacing w:after="120" w:before="0" w:line="300"/>
            </w:pPr>
            <w:r>
              <w:rPr>
                <w:rFonts w:ascii="Nunito Sans" w:cs="Nunito Sans" w:eastAsia="Nunito Sans" w:hAnsi="Nunito Sans"/>
                <w:color w:val="102E3B"/>
                <w:sz w:val="19"/>
                <w:szCs w:val="19"/>
              </w:rPr>
              <w:t xml:space="preserve">Sé concreto en el Anexo 2: horas al mes, personas con nombre, importes en efectivo, aportaciones en especie. El tiempo no remunerado es un costo real, sobre todo para las organizaciones pequeñas. Las normas de los financiadores sobre los costos indirectos varían mucho, y algunos los limitan o los excluyen para los subreceptores: revisa las normas de cada financiador y negocia la misma tasa para todos los Socios cuando sea posible. Si el socio líder se queda con una comisión de gestión, indícalo aquí.</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Nombres, logotipos y visibilidad (vinculante)</w:t>
      </w:r>
    </w:p>
    <w:p>
      <w:pPr>
        <w:pStyle w:val="ListParagraph"/>
        <w:numPr>
          <w:ilvl w:val="0"/>
          <w:numId w:val="10"/>
        </w:numPr>
        <w:spacing w:after="80" w:line="290"/>
      </w:pPr>
      <w:r>
        <w:rPr>
          <w:rFonts w:ascii="Nunito Sans" w:cs="Nunito Sans" w:eastAsia="Nunito Sans" w:hAnsi="Nunito Sans"/>
          <w:color w:val="102E3B"/>
          <w:sz w:val="20"/>
          <w:szCs w:val="20"/>
        </w:rPr>
        <w:t xml:space="preserve">Ningún Socio usará el nombre, el logotipo o las marcas de otro Socio sin su aprobación previa por escrito, que puede darse por correo electrónico para cada uso o para un tipo de uso acordado.</w:t>
      </w:r>
    </w:p>
    <w:p>
      <w:pPr>
        <w:pStyle w:val="ListParagraph"/>
        <w:numPr>
          <w:ilvl w:val="0"/>
          <w:numId w:val="10"/>
        </w:numPr>
        <w:spacing w:after="80" w:line="290"/>
      </w:pPr>
      <w:r>
        <w:rPr>
          <w:rFonts w:ascii="Nunito Sans" w:cs="Nunito Sans" w:eastAsia="Nunito Sans" w:hAnsi="Nunito Sans"/>
          <w:color w:val="102E3B"/>
          <w:sz w:val="20"/>
          <w:szCs w:val="20"/>
        </w:rPr>
        <w:t xml:space="preserve">Las publicaciones y comunicaciones conjuntas sobre la alianza reconocerán a todos los Socios de forma justa y visible, con logotipos del mismo tamaño salvo que los Socios acuerden otra cosa, y de acuerdo con las normas de visibilidad de cualquier financiador.</w:t>
      </w:r>
    </w:p>
    <w:p>
      <w:pPr>
        <w:pStyle w:val="ListParagraph"/>
        <w:numPr>
          <w:ilvl w:val="0"/>
          <w:numId w:val="10"/>
        </w:numPr>
        <w:spacing w:after="80" w:line="290"/>
      </w:pPr>
      <w:r>
        <w:rPr>
          <w:rFonts w:ascii="Nunito Sans" w:cs="Nunito Sans" w:eastAsia="Nunito Sans" w:hAnsi="Nunito Sans"/>
          <w:color w:val="102E3B"/>
          <w:sz w:val="20"/>
          <w:szCs w:val="20"/>
        </w:rPr>
        <w:t xml:space="preserve">Cada Socio puede describir la alianza de forma objetiva en sus propios informes y materiales.</w:t>
      </w:r>
    </w:p>
    <w:p>
      <w:pPr>
        <w:pStyle w:val="ListParagraph"/>
        <w:numPr>
          <w:ilvl w:val="0"/>
          <w:numId w:val="10"/>
        </w:numPr>
        <w:spacing w:after="80" w:line="290"/>
      </w:pPr>
      <w:r>
        <w:rPr>
          <w:rFonts w:ascii="Nunito Sans" w:cs="Nunito Sans" w:eastAsia="Nunito Sans" w:hAnsi="Nunito Sans"/>
          <w:color w:val="102E3B"/>
          <w:sz w:val="20"/>
          <w:szCs w:val="20"/>
        </w:rPr>
        <w:t xml:space="preserve">Un Socio cuya participación termine, o cuya aprobación se retire, dejará de hacer nuevos usos del nombre y el logotipo de otro Socio 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w:t>
      </w:r>
    </w:p>
    <w:p>
      <w:pPr>
        <w:pStyle w:val="Heading2"/>
        <w:keepNext/>
        <w:spacing w:after="120" w:before="280"/>
      </w:pPr>
      <w:r>
        <w:rPr>
          <w:rFonts w:ascii="DM Serif Display" w:cs="DM Serif Display" w:eastAsia="DM Serif Display" w:hAnsi="DM Serif Display"/>
          <w:color w:val="123C48"/>
          <w:sz w:val="28"/>
          <w:szCs w:val="28"/>
        </w:rPr>
        <w:t xml:space="preserve">7. Confidencialidad, datos y propiedad intelectual (vinculante)</w:t>
      </w:r>
    </w:p>
    <w:p>
      <w:pPr>
        <w:pStyle w:val="ListParagraph"/>
        <w:numPr>
          <w:ilvl w:val="0"/>
          <w:numId w:val="11"/>
        </w:numPr>
        <w:spacing w:after="80" w:line="290"/>
      </w:pPr>
      <w:r>
        <w:rPr>
          <w:rFonts w:ascii="Nunito Sans" w:cs="Nunito Sans" w:eastAsia="Nunito Sans" w:hAnsi="Nunito Sans"/>
          <w:color w:val="102E3B"/>
          <w:sz w:val="20"/>
          <w:szCs w:val="20"/>
        </w:rPr>
        <w:t xml:space="preserve">Cada Socio mantendrá la confidencialidad de la Información Confidencial de los demás Socios, la usará solo para la alianza y la compartirá solo con las personas que la necesiten y estén obligadas a mantener su confidencialidad. Estos deberes duran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años después de que termine este memorando, y sin límite de tiempo en el caso de los Datos Personales y de la información de salvaguarda.</w:t>
      </w:r>
    </w:p>
    <w:p>
      <w:pPr>
        <w:pStyle w:val="ListParagraph"/>
        <w:numPr>
          <w:ilvl w:val="0"/>
          <w:numId w:val="11"/>
        </w:numPr>
        <w:spacing w:after="80" w:line="290"/>
      </w:pPr>
      <w:r>
        <w:rPr>
          <w:rFonts w:ascii="Nunito Sans" w:cs="Nunito Sans" w:eastAsia="Nunito Sans" w:hAnsi="Nunito Sans"/>
          <w:color w:val="102E3B"/>
          <w:sz w:val="20"/>
          <w:szCs w:val="20"/>
        </w:rPr>
        <w:t xml:space="preserve">Los Socios compartirán Datos Personales de las personas a las que atienden solo en virtud de un Acuerdo de Intercambio de Datos firmado, y solo lo necesario. Cada Socio cumplirá la legislación de protección de datos que le sea aplicable, incluida </w:t>
      </w:r>
      <w:r>
        <w:rPr>
          <w:rFonts w:ascii="Nunito Sans" w:cs="Nunito Sans" w:eastAsia="Nunito Sans" w:hAnsi="Nunito Sans"/>
          <w:color w:val="102E3B"/>
          <w:sz w:val="20"/>
          <w:szCs w:val="20"/>
          <w:highlight w:val="yellow"/>
        </w:rPr>
        <w:t xml:space="preserve">[p. ej. la Kenya Data Protection Act 2019]</w:t>
      </w:r>
      <w:r>
        <w:rPr>
          <w:rFonts w:ascii="Nunito Sans" w:cs="Nunito Sans" w:eastAsia="Nunito Sans" w:hAnsi="Nunito Sans"/>
          <w:color w:val="102E3B"/>
          <w:sz w:val="20"/>
          <w:szCs w:val="20"/>
        </w:rPr>
        <w:t xml:space="preserve">.</w:t>
      </w:r>
    </w:p>
    <w:p>
      <w:pPr>
        <w:pStyle w:val="ListParagraph"/>
        <w:numPr>
          <w:ilvl w:val="0"/>
          <w:numId w:val="11"/>
        </w:numPr>
        <w:spacing w:after="80" w:line="290"/>
      </w:pPr>
      <w:r>
        <w:rPr>
          <w:rFonts w:ascii="Nunito Sans" w:cs="Nunito Sans" w:eastAsia="Nunito Sans" w:hAnsi="Nunito Sans"/>
          <w:color w:val="102E3B"/>
          <w:sz w:val="20"/>
          <w:szCs w:val="20"/>
        </w:rPr>
        <w:t xml:space="preserve">Cada Socio conserva la titularidad de la propiedad intelectual (como los derechos de autor sobre materiales, métodos y herramientas) que aporta a la alianza o que crea por su cuenta.</w:t>
      </w:r>
    </w:p>
    <w:p>
      <w:pPr>
        <w:pStyle w:val="ListParagraph"/>
        <w:numPr>
          <w:ilvl w:val="0"/>
          <w:numId w:val="11"/>
        </w:numPr>
        <w:spacing w:after="80" w:line="290"/>
      </w:pPr>
      <w:r>
        <w:rPr>
          <w:rFonts w:ascii="Nunito Sans" w:cs="Nunito Sans" w:eastAsia="Nunito Sans" w:hAnsi="Nunito Sans"/>
          <w:color w:val="102E3B"/>
          <w:sz w:val="20"/>
          <w:szCs w:val="20"/>
        </w:rPr>
        <w:t xml:space="preserve">Los materiales que los Socios crean en conjunto ("Materiales Conjuntos") son propiedad </w:t>
      </w:r>
      <w:r>
        <w:rPr>
          <w:rFonts w:ascii="Nunito Sans" w:cs="Nunito Sans" w:eastAsia="Nunito Sans" w:hAnsi="Nunito Sans"/>
          <w:color w:val="102E3B"/>
          <w:sz w:val="20"/>
          <w:szCs w:val="20"/>
          <w:highlight w:val="yellow"/>
        </w:rPr>
        <w:t xml:space="preserve">[conjunta a partes iguales / del Socio que dirige su creación]</w:t>
      </w:r>
      <w:r>
        <w:rPr>
          <w:rFonts w:ascii="Nunito Sans" w:cs="Nunito Sans" w:eastAsia="Nunito Sans" w:hAnsi="Nunito Sans"/>
          <w:color w:val="102E3B"/>
          <w:sz w:val="20"/>
          <w:szCs w:val="20"/>
        </w:rPr>
        <w:t xml:space="preserve">. Cada Socio puede usar, adaptar y compartir los Materiales Conjuntos de forma gratuita con fines no comerciales, reconociendo a todos los Socios. El uso comercial requiere el consentimiento de todos los Socios.</w:t>
      </w:r>
    </w:p>
    <w:p>
      <w:pPr>
        <w:pStyle w:val="ListParagraph"/>
        <w:numPr>
          <w:ilvl w:val="0"/>
          <w:numId w:val="11"/>
        </w:numPr>
        <w:spacing w:after="80" w:line="290"/>
      </w:pPr>
      <w:r>
        <w:rPr>
          <w:rFonts w:ascii="Nunito Sans" w:cs="Nunito Sans" w:eastAsia="Nunito Sans" w:hAnsi="Nunito Sans"/>
          <w:color w:val="102E3B"/>
          <w:sz w:val="20"/>
          <w:szCs w:val="20"/>
        </w:rPr>
        <w:t xml:space="preserve">Los conocimientos, las historias y las imágenes de las comunidades se usan solo con su consentimiento informado, y se reconoce a los miembros de la comunidad como ellos deseen.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DATOS Y PROPIEDAD INTELECTUAL</w:t>
            </w:r>
          </w:p>
          <w:p>
            <w:pPr>
              <w:spacing w:after="120" w:before="0" w:line="300"/>
            </w:pPr>
            <w:r>
              <w:rPr>
                <w:rFonts w:ascii="Nunito Sans" w:cs="Nunito Sans" w:eastAsia="Nunito Sans" w:hAnsi="Nunito Sans"/>
                <w:color w:val="102E3B"/>
                <w:sz w:val="19"/>
                <w:szCs w:val="19"/>
              </w:rPr>
              <w:t xml:space="preserve">Decide pronto quién es titular de las herramientas, los programas formativos o las investigaciones conjuntos. La titularidad conjunta puede ralentizar las decisiones posteriores, porque puede necesitarse el acuerdo de cada titular. Una alternativa habitual es que la autora o el autor principal sea titular del material y conceda a todos los Socios una licencia gratuita y permanente, o que los Materiales Conjuntos se publiquen con una licencia abierta, como Creative Commons Atribución 4.0 (CC BY 4.0). Revisa las normas de tus financiadores, que pueden exigir la publicación en abierto. Los conocimientos indígenas y tradicionales requieren un cuidado especial: acuerda con la comunidad cómo pueden registrarse y usarse.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Salvaguarda, fraude y financiación del terrorismo (vinculante)</w:t>
      </w:r>
    </w:p>
    <w:p>
      <w:pPr>
        <w:pStyle w:val="ListParagraph"/>
        <w:numPr>
          <w:ilvl w:val="0"/>
          <w:numId w:val="12"/>
        </w:numPr>
        <w:spacing w:after="80" w:line="290"/>
      </w:pPr>
      <w:r>
        <w:rPr>
          <w:rFonts w:ascii="Nunito Sans" w:cs="Nunito Sans" w:eastAsia="Nunito Sans" w:hAnsi="Nunito Sans"/>
          <w:color w:val="102E3B"/>
          <w:sz w:val="20"/>
          <w:szCs w:val="20"/>
        </w:rPr>
        <w:t xml:space="preserve">Cada Socio tendrá, o adoptará en un plazo de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 desde la firma, políticas al menos tan protectoras como las normas mínimas del Anexo 3 en materia de salvaguarda (incluida la protección contra la explotación, el abuso y el acoso sexuales, conocida como PSEAH por sus siglas en inglés), fraude y corrupción, y denuncia de irregularidades. Un Socio puede adoptar la política de otro Socio para la alianza.</w:t>
      </w:r>
    </w:p>
    <w:p>
      <w:pPr>
        <w:pStyle w:val="ListParagraph"/>
        <w:numPr>
          <w:ilvl w:val="0"/>
          <w:numId w:val="12"/>
        </w:numPr>
        <w:spacing w:after="80" w:line="290"/>
      </w:pPr>
      <w:r>
        <w:rPr>
          <w:rFonts w:ascii="Nunito Sans" w:cs="Nunito Sans" w:eastAsia="Nunito Sans" w:hAnsi="Nunito Sans"/>
          <w:color w:val="102E3B"/>
          <w:sz w:val="20"/>
          <w:szCs w:val="20"/>
        </w:rPr>
        <w:t xml:space="preserve">Cada Socio aplicará los seis principios fundamentales del Comité Permanente entre Organismos (IASC) sobre explotación y abuso sexuales a todo su personal y a todas sus personas voluntarias que trabajen en la alianza.</w:t>
      </w:r>
    </w:p>
    <w:p>
      <w:pPr>
        <w:pStyle w:val="ListParagraph"/>
        <w:numPr>
          <w:ilvl w:val="0"/>
          <w:numId w:val="12"/>
        </w:numPr>
        <w:spacing w:after="80" w:line="290"/>
      </w:pPr>
      <w:r>
        <w:rPr>
          <w:rFonts w:ascii="Nunito Sans" w:cs="Nunito Sans" w:eastAsia="Nunito Sans" w:hAnsi="Nunito Sans"/>
          <w:color w:val="102E3B"/>
          <w:sz w:val="20"/>
          <w:szCs w:val="20"/>
        </w:rPr>
        <w:t xml:space="preserve">Cada Socio informará a los puntos focales de los demás Socios,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en el caso de inquietudes de salvaguarda y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 en el caso de sospecha de fraude, de cualquier incidente o denuncia relacionados con la alianza, compartiendo solo la información necesaria y protegiendo la identidad de las personas sobrevivientes y de los denunciantes. Cada Socio cooperará con cualquier investigación.</w:t>
      </w:r>
    </w:p>
    <w:p>
      <w:pPr>
        <w:pStyle w:val="ListParagraph"/>
        <w:numPr>
          <w:ilvl w:val="0"/>
          <w:numId w:val="12"/>
        </w:numPr>
        <w:spacing w:after="80" w:line="290"/>
      </w:pPr>
      <w:r>
        <w:rPr>
          <w:rFonts w:ascii="Nunito Sans" w:cs="Nunito Sans" w:eastAsia="Nunito Sans" w:hAnsi="Nunito Sans"/>
          <w:color w:val="102E3B"/>
          <w:sz w:val="20"/>
          <w:szCs w:val="20"/>
        </w:rPr>
        <w:t xml:space="preserve">Cada Socio confirma que ni él ni los miembros de su órgano de gobierno ni su personal directivo figuran en la Lista Consolidada del Consejo de Seguridad de las Naciones Unidas ni en </w:t>
      </w:r>
      <w:r>
        <w:rPr>
          <w:rFonts w:ascii="Nunito Sans" w:cs="Nunito Sans" w:eastAsia="Nunito Sans" w:hAnsi="Nunito Sans"/>
          <w:color w:val="102E3B"/>
          <w:sz w:val="20"/>
          <w:szCs w:val="20"/>
          <w:highlight w:val="yellow"/>
        </w:rPr>
        <w:t xml:space="preserve">[las demás listas de sanciones que usan los financiadores de los Socios]</w:t>
      </w:r>
      <w:r>
        <w:rPr>
          <w:rFonts w:ascii="Nunito Sans" w:cs="Nunito Sans" w:eastAsia="Nunito Sans" w:hAnsi="Nunito Sans"/>
          <w:color w:val="102E3B"/>
          <w:sz w:val="20"/>
          <w:szCs w:val="20"/>
        </w:rPr>
        <w:t xml:space="preserve">, e informará a los demás de inmediato si esto cambia. Ningún Socio proporcionará a sabiendas fondos o apoyo a ninguna persona o grupo que figure en esas listas.</w:t>
      </w:r>
    </w:p>
    <w:p>
      <w:pPr>
        <w:pStyle w:val="ListParagraph"/>
        <w:numPr>
          <w:ilvl w:val="0"/>
          <w:numId w:val="12"/>
        </w:numPr>
        <w:spacing w:after="80" w:line="290"/>
      </w:pPr>
      <w:r>
        <w:rPr>
          <w:rFonts w:ascii="Nunito Sans" w:cs="Nunito Sans" w:eastAsia="Nunito Sans" w:hAnsi="Nunito Sans"/>
          <w:color w:val="102E3B"/>
          <w:sz w:val="20"/>
          <w:szCs w:val="20"/>
        </w:rPr>
        <w:t xml:space="preserve">Cuando las condiciones de un financiador se apliquen a las Actividades de la Alianza, el Socio que reciba los fondos compartirá esas condiciones con los demás Socios afectados, y cualquier obligación adicional se establecerá en un Acuerdo de Subvención a Socios.</w:t>
      </w:r>
    </w:p>
    <w:p>
      <w:pPr>
        <w:pStyle w:val="ListParagraph"/>
        <w:numPr>
          <w:ilvl w:val="0"/>
          <w:numId w:val="12"/>
        </w:numPr>
        <w:spacing w:after="80" w:line="290"/>
      </w:pPr>
      <w:r>
        <w:rPr>
          <w:rFonts w:ascii="Nunito Sans" w:cs="Nunito Sans" w:eastAsia="Nunito Sans" w:hAnsi="Nunito Sans"/>
          <w:color w:val="102E3B"/>
          <w:sz w:val="20"/>
          <w:szCs w:val="20"/>
        </w:rPr>
        <w:t xml:space="preserve">Un Socio que necesite apoyo para cumplir estas normas lo comunicará al grupo directivo, que acordará un plan y, cuando sea posible, lo presupuestará. Ningún Socio será excluido por una carencia que esté trabajando activamente para subsanar, salvo que esa carencia ponga a personas en riesgo grave.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SALVAGUARDA Y TRASLADO DE OBLIGACIONES DE CUMPLIMIENTO</w:t>
            </w:r>
          </w:p>
          <w:p>
            <w:pPr>
              <w:spacing w:after="120" w:before="0" w:line="300"/>
            </w:pPr>
            <w:r>
              <w:rPr>
                <w:rFonts w:ascii="Nunito Sans" w:cs="Nunito Sans" w:eastAsia="Nunito Sans" w:hAnsi="Nunito Sans"/>
                <w:color w:val="102E3B"/>
                <w:sz w:val="19"/>
                <w:szCs w:val="19"/>
              </w:rPr>
              <w:t xml:space="preserve">Estas son las obligaciones que la mayoría de los financiadores esperan que cumpla cada socio, por eso son vinculantes. Mantenlas proporcionadas: un socio pequeño puede compartir durante un tiempo la persona responsable de salvaguarda con otra organización, o adoptar las políticas del Socio convocante mientras elabora las suyas. El control de sanciones sigue un enfoque basado en el riesgo, como promueve la Recomendación 8 del GAFI sobre organizaciones sin fines de lucro: no excluyas a socios ni comunidades por suposiciones sobre religión o región. Comprueba si la ley de tu país sobre financiación del terrorismo impone obligaciones adicionales a las organizaciones sin fines de lucro, y usa la Política de Debida Diligencia de Socios y Control de Sanciones.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9. Informes y aprendizaje (no vinculante)</w:t>
      </w:r>
    </w:p>
    <w:p>
      <w:pPr>
        <w:pStyle w:val="ListParagraph"/>
        <w:numPr>
          <w:ilvl w:val="0"/>
          <w:numId w:val="13"/>
        </w:numPr>
        <w:spacing w:after="80" w:line="290"/>
      </w:pPr>
      <w:r>
        <w:rPr>
          <w:rFonts w:ascii="Nunito Sans" w:cs="Nunito Sans" w:eastAsia="Nunito Sans" w:hAnsi="Nunito Sans"/>
          <w:color w:val="102E3B"/>
          <w:sz w:val="20"/>
          <w:szCs w:val="20"/>
        </w:rPr>
        <w:t xml:space="preserve">Antes de cada reunión, cada Socio compartirá con el grupo directivo una breve actualización sobre el avance de sus actividades, en un formato acordado por los Socios.</w:t>
      </w:r>
    </w:p>
    <w:p>
      <w:pPr>
        <w:pStyle w:val="ListParagraph"/>
        <w:numPr>
          <w:ilvl w:val="0"/>
          <w:numId w:val="13"/>
        </w:numPr>
        <w:spacing w:after="80" w:line="290"/>
      </w:pPr>
      <w:r>
        <w:rPr>
          <w:rFonts w:ascii="Nunito Sans" w:cs="Nunito Sans" w:eastAsia="Nunito Sans" w:hAnsi="Nunito Sans"/>
          <w:color w:val="102E3B"/>
          <w:sz w:val="20"/>
          <w:szCs w:val="20"/>
        </w:rPr>
        <w:t xml:space="preserve">Los Socios acordarán en conjunto cómo dar seguimiento a los resultados, y compartirán los datos necesarios para los informes conjuntos a tiempo para cumplir los plazos de los financiadores, avisando de lo que se necesita con al menos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días de antelación.</w:t>
      </w:r>
    </w:p>
    <w:p>
      <w:pPr>
        <w:pStyle w:val="ListParagraph"/>
        <w:numPr>
          <w:ilvl w:val="0"/>
          <w:numId w:val="13"/>
        </w:numPr>
        <w:spacing w:after="80" w:line="290"/>
      </w:pPr>
      <w:r>
        <w:rPr>
          <w:rFonts w:ascii="Nunito Sans" w:cs="Nunito Sans" w:eastAsia="Nunito Sans" w:hAnsi="Nunito Sans"/>
          <w:color w:val="102E3B"/>
          <w:sz w:val="20"/>
          <w:szCs w:val="20"/>
        </w:rPr>
        <w:t xml:space="preserve">Al menos una vez al año, los Socios revisarán qué funciona, qué no y qué han aprendido, incluida la retroalimentación de las comunidades a las que atienden.</w:t>
      </w:r>
    </w:p>
    <w:p>
      <w:pPr>
        <w:pStyle w:val="Heading2"/>
        <w:keepNext/>
        <w:spacing w:after="120" w:before="280"/>
      </w:pPr>
      <w:r>
        <w:rPr>
          <w:rFonts w:ascii="DM Serif Display" w:cs="DM Serif Display" w:eastAsia="DM Serif Display" w:hAnsi="DM Serif Display"/>
          <w:color w:val="123C48"/>
          <w:sz w:val="28"/>
          <w:szCs w:val="28"/>
        </w:rPr>
        <w:t xml:space="preserve">10. Comunicación entre los socios (no vinculante)</w:t>
      </w:r>
    </w:p>
    <w:p>
      <w:pPr>
        <w:pStyle w:val="ListParagraph"/>
        <w:numPr>
          <w:ilvl w:val="0"/>
          <w:numId w:val="14"/>
        </w:numPr>
        <w:spacing w:after="80" w:line="290"/>
      </w:pPr>
      <w:r>
        <w:rPr>
          <w:rFonts w:ascii="Nunito Sans" w:cs="Nunito Sans" w:eastAsia="Nunito Sans" w:hAnsi="Nunito Sans"/>
          <w:color w:val="102E3B"/>
          <w:sz w:val="20"/>
          <w:szCs w:val="20"/>
        </w:rPr>
        <w:t xml:space="preserve">Cada Socio designa en el Anexo 3 un punto focal como contacto principal, y una persona suplente.</w:t>
      </w:r>
    </w:p>
    <w:p>
      <w:pPr>
        <w:pStyle w:val="ListParagraph"/>
        <w:numPr>
          <w:ilvl w:val="0"/>
          <w:numId w:val="14"/>
        </w:numPr>
        <w:spacing w:after="80" w:line="290"/>
      </w:pPr>
      <w:r>
        <w:rPr>
          <w:rFonts w:ascii="Nunito Sans" w:cs="Nunito Sans" w:eastAsia="Nunito Sans" w:hAnsi="Nunito Sans"/>
          <w:color w:val="102E3B"/>
          <w:sz w:val="20"/>
          <w:szCs w:val="20"/>
        </w:rPr>
        <w:t xml:space="preserve">Los Socios se responderán entre sí en un plazo de </w:t>
      </w:r>
      <w:r>
        <w:rPr>
          <w:rFonts w:ascii="Nunito Sans" w:cs="Nunito Sans" w:eastAsia="Nunito Sans" w:hAnsi="Nunito Sans"/>
          <w:color w:val="102E3B"/>
          <w:sz w:val="20"/>
          <w:szCs w:val="20"/>
          <w:highlight w:val="yellow"/>
        </w:rPr>
        <w:t xml:space="preserve">[5]</w:t>
      </w:r>
      <w:r>
        <w:rPr>
          <w:rFonts w:ascii="Nunito Sans" w:cs="Nunito Sans" w:eastAsia="Nunito Sans" w:hAnsi="Nunito Sans"/>
          <w:color w:val="102E3B"/>
          <w:sz w:val="20"/>
          <w:szCs w:val="20"/>
        </w:rPr>
        <w:t xml:space="preserve"> días hábiles, y el mismo día en asuntos de salvaguarda o seguridad.</w:t>
      </w:r>
    </w:p>
    <w:p>
      <w:pPr>
        <w:pStyle w:val="ListParagraph"/>
        <w:numPr>
          <w:ilvl w:val="0"/>
          <w:numId w:val="14"/>
        </w:numPr>
        <w:spacing w:after="80" w:line="290"/>
      </w:pPr>
      <w:r>
        <w:rPr>
          <w:rFonts w:ascii="Nunito Sans" w:cs="Nunito Sans" w:eastAsia="Nunito Sans" w:hAnsi="Nunito Sans"/>
          <w:color w:val="102E3B"/>
          <w:sz w:val="20"/>
          <w:szCs w:val="20"/>
        </w:rPr>
        <w:t xml:space="preserve">Los Socios acordarán en conjunto cualquier declaración pública sobre la alianza, y se avisarán con antelación de cualquier contacto con los medios de comunicación al respecto. En una emergencia, un Socio puede hablar de su propio trabajo e informará a los demás lo antes posible.</w:t>
      </w:r>
    </w:p>
    <w:p>
      <w:pPr>
        <w:pStyle w:val="ListParagraph"/>
        <w:numPr>
          <w:ilvl w:val="0"/>
          <w:numId w:val="14"/>
        </w:numPr>
        <w:spacing w:after="80" w:line="290"/>
      </w:pPr>
      <w:r>
        <w:rPr>
          <w:rFonts w:ascii="Nunito Sans" w:cs="Nunito Sans" w:eastAsia="Nunito Sans" w:hAnsi="Nunito Sans"/>
          <w:color w:val="102E3B"/>
          <w:sz w:val="20"/>
          <w:szCs w:val="20"/>
        </w:rPr>
        <w:t xml:space="preserve">Cada Socio informará con prontitud a los demás de los cambios que puedan afectar a la alianza, como un cambio de dirección, de financiación o de situación jurídica, o una queja grave.</w:t>
      </w:r>
    </w:p>
    <w:p>
      <w:pPr>
        <w:pStyle w:val="Heading2"/>
        <w:keepNext/>
        <w:spacing w:after="120" w:before="280"/>
      </w:pPr>
      <w:r>
        <w:rPr>
          <w:rFonts w:ascii="DM Serif Display" w:cs="DM Serif Display" w:eastAsia="DM Serif Display" w:hAnsi="DM Serif Display"/>
          <w:color w:val="123C48"/>
          <w:sz w:val="28"/>
          <w:szCs w:val="28"/>
        </w:rPr>
        <w:t xml:space="preserve">11. Resolución de desacuerdos (vinculante)</w:t>
      </w:r>
    </w:p>
    <w:p>
      <w:pPr>
        <w:pStyle w:val="ListParagraph"/>
        <w:numPr>
          <w:ilvl w:val="0"/>
          <w:numId w:val="15"/>
        </w:numPr>
        <w:spacing w:after="80" w:line="290"/>
      </w:pPr>
      <w:r>
        <w:rPr>
          <w:rFonts w:ascii="Nunito Sans" w:cs="Nunito Sans" w:eastAsia="Nunito Sans" w:hAnsi="Nunito Sans"/>
          <w:color w:val="102E3B"/>
          <w:sz w:val="20"/>
          <w:szCs w:val="20"/>
        </w:rPr>
        <w:t xml:space="preserve">Los Socios intentarán primero resolver cualquier desacuerdo a través de sus puntos focales, en un plazo de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días hábiles desde que se plantee por escrito.</w:t>
      </w:r>
    </w:p>
    <w:p>
      <w:pPr>
        <w:pStyle w:val="ListParagraph"/>
        <w:numPr>
          <w:ilvl w:val="0"/>
          <w:numId w:val="15"/>
        </w:numPr>
        <w:spacing w:after="80" w:line="290"/>
      </w:pPr>
      <w:r>
        <w:rPr>
          <w:rFonts w:ascii="Nunito Sans" w:cs="Nunito Sans" w:eastAsia="Nunito Sans" w:hAnsi="Nunito Sans"/>
          <w:color w:val="102E3B"/>
          <w:sz w:val="20"/>
          <w:szCs w:val="20"/>
        </w:rPr>
        <w:t xml:space="preserve">Si no lo consiguen, las personas que dirigen los Socios afectados se reunirán, de forma presencial o en línea, en un plazo adicional de </w:t>
      </w:r>
      <w:r>
        <w:rPr>
          <w:rFonts w:ascii="Nunito Sans" w:cs="Nunito Sans" w:eastAsia="Nunito Sans" w:hAnsi="Nunito Sans"/>
          <w:color w:val="102E3B"/>
          <w:sz w:val="20"/>
          <w:szCs w:val="20"/>
          <w:highlight w:val="yellow"/>
        </w:rPr>
        <w:t xml:space="preserve">[15]</w:t>
      </w:r>
      <w:r>
        <w:rPr>
          <w:rFonts w:ascii="Nunito Sans" w:cs="Nunito Sans" w:eastAsia="Nunito Sans" w:hAnsi="Nunito Sans"/>
          <w:color w:val="102E3B"/>
          <w:sz w:val="20"/>
          <w:szCs w:val="20"/>
        </w:rPr>
        <w:t xml:space="preserve"> días hábiles.</w:t>
      </w:r>
    </w:p>
    <w:p>
      <w:pPr>
        <w:pStyle w:val="ListParagraph"/>
        <w:numPr>
          <w:ilvl w:val="0"/>
          <w:numId w:val="15"/>
        </w:numPr>
        <w:spacing w:after="80" w:line="290"/>
      </w:pPr>
      <w:r>
        <w:rPr>
          <w:rFonts w:ascii="Nunito Sans" w:cs="Nunito Sans" w:eastAsia="Nunito Sans" w:hAnsi="Nunito Sans"/>
          <w:color w:val="102E3B"/>
          <w:sz w:val="20"/>
          <w:szCs w:val="20"/>
        </w:rPr>
        <w:t xml:space="preserve">Si no logran ponerse de acuerdo, los Socios invitarán a una persona mediadora aceptable para todos, como </w:t>
      </w:r>
      <w:r>
        <w:rPr>
          <w:rFonts w:ascii="Nunito Sans" w:cs="Nunito Sans" w:eastAsia="Nunito Sans" w:hAnsi="Nunito Sans"/>
          <w:color w:val="102E3B"/>
          <w:sz w:val="20"/>
          <w:szCs w:val="20"/>
          <w:highlight w:val="yellow"/>
        </w:rPr>
        <w:t xml:space="preserve">[una figura local respetada, la coordinación de una red o un centro de mediación]</w:t>
      </w:r>
      <w:r>
        <w:rPr>
          <w:rFonts w:ascii="Nunito Sans" w:cs="Nunito Sans" w:eastAsia="Nunito Sans" w:hAnsi="Nunito Sans"/>
          <w:color w:val="102E3B"/>
          <w:sz w:val="20"/>
          <w:szCs w:val="20"/>
        </w:rPr>
        <w:t xml:space="preserve">, y compartirán el costo </w:t>
      </w:r>
      <w:r>
        <w:rPr>
          <w:rFonts w:ascii="Nunito Sans" w:cs="Nunito Sans" w:eastAsia="Nunito Sans" w:hAnsi="Nunito Sans"/>
          <w:color w:val="102E3B"/>
          <w:sz w:val="20"/>
          <w:szCs w:val="20"/>
          <w:highlight w:val="yellow"/>
        </w:rPr>
        <w:t xml:space="preserve">[a partes iguales / en proporción a sus presupuestos]</w:t>
      </w:r>
      <w:r>
        <w:rPr>
          <w:rFonts w:ascii="Nunito Sans" w:cs="Nunito Sans" w:eastAsia="Nunito Sans" w:hAnsi="Nunito Sans"/>
          <w:color w:val="102E3B"/>
          <w:sz w:val="20"/>
          <w:szCs w:val="20"/>
        </w:rPr>
        <w:t xml:space="preserve">.</w:t>
      </w:r>
    </w:p>
    <w:p>
      <w:pPr>
        <w:pStyle w:val="ListParagraph"/>
        <w:numPr>
          <w:ilvl w:val="0"/>
          <w:numId w:val="15"/>
        </w:numPr>
        <w:spacing w:after="80" w:line="290"/>
      </w:pPr>
      <w:r>
        <w:rPr>
          <w:rFonts w:ascii="Nunito Sans" w:cs="Nunito Sans" w:eastAsia="Nunito Sans" w:hAnsi="Nunito Sans"/>
          <w:color w:val="102E3B"/>
          <w:sz w:val="20"/>
          <w:szCs w:val="20"/>
        </w:rPr>
        <w:t xml:space="preserve">Ningún Socio iniciará acciones judiciales relacionadas con este memorando antes de completar estos pasos, salvo para solicitar una protección urgente de sus derechos conforme a las cláusulas 6, 7 u 8.</w:t>
      </w:r>
    </w:p>
    <w:p>
      <w:pPr>
        <w:pStyle w:val="Heading2"/>
        <w:keepNext/>
        <w:spacing w:after="120" w:before="280"/>
      </w:pPr>
      <w:r>
        <w:rPr>
          <w:rFonts w:ascii="DM Serif Display" w:cs="DM Serif Display" w:eastAsia="DM Serif Display" w:hAnsi="DM Serif Display"/>
          <w:color w:val="123C48"/>
          <w:sz w:val="28"/>
          <w:szCs w:val="28"/>
        </w:rPr>
        <w:t xml:space="preserve">12. Costos, independencia y responsabilidad (vinculante)</w:t>
      </w:r>
    </w:p>
    <w:p>
      <w:pPr>
        <w:pStyle w:val="ListParagraph"/>
        <w:numPr>
          <w:ilvl w:val="0"/>
          <w:numId w:val="16"/>
        </w:numPr>
        <w:spacing w:after="80" w:line="290"/>
      </w:pPr>
      <w:r>
        <w:rPr>
          <w:rFonts w:ascii="Nunito Sans" w:cs="Nunito Sans" w:eastAsia="Nunito Sans" w:hAnsi="Nunito Sans"/>
          <w:color w:val="102E3B"/>
          <w:sz w:val="20"/>
          <w:szCs w:val="20"/>
        </w:rPr>
        <w:t xml:space="preserve">Cada Socio asume sus propios costos, salvo lo acordado por escrito o en un acuerdo separado.</w:t>
      </w:r>
    </w:p>
    <w:p>
      <w:pPr>
        <w:pStyle w:val="ListParagraph"/>
        <w:numPr>
          <w:ilvl w:val="0"/>
          <w:numId w:val="16"/>
        </w:numPr>
        <w:spacing w:after="80" w:line="290"/>
      </w:pPr>
      <w:r>
        <w:rPr>
          <w:rFonts w:ascii="Nunito Sans" w:cs="Nunito Sans" w:eastAsia="Nunito Sans" w:hAnsi="Nunito Sans"/>
          <w:color w:val="102E3B"/>
          <w:sz w:val="20"/>
          <w:szCs w:val="20"/>
        </w:rPr>
        <w:t xml:space="preserve">Este memorando no crea una sociedad, una empresa conjunta, una relación de agencia ni una relación laboral. Ningún Socio puede asumir compromisos, firmar documentos ni incurrir en costos en nombre de otro sin su autorización por escrito.</w:t>
      </w:r>
    </w:p>
    <w:p>
      <w:pPr>
        <w:pStyle w:val="ListParagraph"/>
        <w:numPr>
          <w:ilvl w:val="0"/>
          <w:numId w:val="16"/>
        </w:numPr>
        <w:spacing w:after="80" w:line="290"/>
      </w:pPr>
      <w:r>
        <w:rPr>
          <w:rFonts w:ascii="Nunito Sans" w:cs="Nunito Sans" w:eastAsia="Nunito Sans" w:hAnsi="Nunito Sans"/>
          <w:color w:val="102E3B"/>
          <w:sz w:val="20"/>
          <w:szCs w:val="20"/>
        </w:rPr>
        <w:t xml:space="preserve">Cada Socio sigue siendo responsable de su propio personal, sus personas voluntarias, sus actividades y su cumplimiento de la ley.</w:t>
      </w:r>
    </w:p>
    <w:p>
      <w:pPr>
        <w:pStyle w:val="ListParagraph"/>
        <w:numPr>
          <w:ilvl w:val="0"/>
          <w:numId w:val="16"/>
        </w:numPr>
        <w:spacing w:after="80" w:line="290"/>
      </w:pPr>
      <w:r>
        <w:rPr>
          <w:rFonts w:ascii="Nunito Sans" w:cs="Nunito Sans" w:eastAsia="Nunito Sans" w:hAnsi="Nunito Sans"/>
          <w:color w:val="102E3B"/>
          <w:sz w:val="20"/>
          <w:szCs w:val="20"/>
        </w:rPr>
        <w:t xml:space="preserve">Ningún Socio es responsable frente a otro por no seguir una cláusula no vinculante. La responsabilidad de cada Socio por el incumplimiento de una cláusula vinculante se limita a los daños directos, salvo en caso de fraude, incumplimiento deliberado o cualquier responsabilidad que no pueda limitarse por ley.</w:t>
      </w:r>
    </w:p>
    <w:p>
      <w:pPr>
        <w:pStyle w:val="Heading2"/>
        <w:keepNext/>
        <w:spacing w:after="120" w:before="280"/>
      </w:pPr>
      <w:r>
        <w:rPr>
          <w:rFonts w:ascii="DM Serif Display" w:cs="DM Serif Display" w:eastAsia="DM Serif Display" w:hAnsi="DM Serif Display"/>
          <w:color w:val="123C48"/>
          <w:sz w:val="28"/>
          <w:szCs w:val="28"/>
        </w:rPr>
        <w:t xml:space="preserve">13. Duración, revisión y salida (vinculante)</w:t>
      </w:r>
    </w:p>
    <w:p>
      <w:pPr>
        <w:pStyle w:val="ListParagraph"/>
        <w:numPr>
          <w:ilvl w:val="0"/>
          <w:numId w:val="17"/>
        </w:numPr>
        <w:spacing w:after="80" w:line="290"/>
      </w:pPr>
      <w:r>
        <w:rPr>
          <w:rFonts w:ascii="Nunito Sans" w:cs="Nunito Sans" w:eastAsia="Nunito Sans" w:hAnsi="Nunito Sans"/>
          <w:color w:val="102E3B"/>
          <w:sz w:val="20"/>
          <w:szCs w:val="20"/>
        </w:rPr>
        <w:t xml:space="preserve">Este memorando entra en vigor cuando lo han firmado todos los Socios y dura hasta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salvo que los Socios acuerden por escrito prorrogarlo.</w:t>
      </w:r>
    </w:p>
    <w:p>
      <w:pPr>
        <w:pStyle w:val="ListParagraph"/>
        <w:numPr>
          <w:ilvl w:val="0"/>
          <w:numId w:val="17"/>
        </w:numPr>
        <w:spacing w:after="80" w:line="290"/>
      </w:pPr>
      <w:r>
        <w:rPr>
          <w:rFonts w:ascii="Nunito Sans" w:cs="Nunito Sans" w:eastAsia="Nunito Sans" w:hAnsi="Nunito Sans"/>
          <w:color w:val="102E3B"/>
          <w:sz w:val="20"/>
          <w:szCs w:val="20"/>
        </w:rPr>
        <w:t xml:space="preserve">El grupo directivo revisará este memorando al menos una vez al año. Las modificaciones deben acordarse por escrito por todos los Socios.</w:t>
      </w:r>
    </w:p>
    <w:p>
      <w:pPr>
        <w:pStyle w:val="ListParagraph"/>
        <w:numPr>
          <w:ilvl w:val="0"/>
          <w:numId w:val="17"/>
        </w:numPr>
        <w:spacing w:after="80" w:line="290"/>
      </w:pPr>
      <w:r>
        <w:rPr>
          <w:rFonts w:ascii="Nunito Sans" w:cs="Nunito Sans" w:eastAsia="Nunito Sans" w:hAnsi="Nunito Sans"/>
          <w:color w:val="102E3B"/>
          <w:sz w:val="20"/>
          <w:szCs w:val="20"/>
        </w:rPr>
        <w:t xml:space="preserve">Cualquier Socio puede salir de la alianza mediante un preaviso por escrito de </w:t>
      </w:r>
      <w:r>
        <w:rPr>
          <w:rFonts w:ascii="Nunito Sans" w:cs="Nunito Sans" w:eastAsia="Nunito Sans" w:hAnsi="Nunito Sans"/>
          <w:color w:val="102E3B"/>
          <w:sz w:val="20"/>
          <w:szCs w:val="20"/>
          <w:highlight w:val="yellow"/>
        </w:rPr>
        <w:t xml:space="preserve">[60]</w:t>
      </w:r>
      <w:r>
        <w:rPr>
          <w:rFonts w:ascii="Nunito Sans" w:cs="Nunito Sans" w:eastAsia="Nunito Sans" w:hAnsi="Nunito Sans"/>
          <w:color w:val="102E3B"/>
          <w:sz w:val="20"/>
          <w:szCs w:val="20"/>
        </w:rPr>
        <w:t xml:space="preserve"> días a los demás.</w:t>
      </w:r>
    </w:p>
    <w:p>
      <w:pPr>
        <w:pStyle w:val="ListParagraph"/>
        <w:numPr>
          <w:ilvl w:val="0"/>
          <w:numId w:val="17"/>
        </w:numPr>
        <w:spacing w:after="80" w:line="290"/>
      </w:pPr>
      <w:r>
        <w:rPr>
          <w:rFonts w:ascii="Nunito Sans" w:cs="Nunito Sans" w:eastAsia="Nunito Sans" w:hAnsi="Nunito Sans"/>
          <w:color w:val="102E3B"/>
          <w:sz w:val="20"/>
          <w:szCs w:val="20"/>
        </w:rPr>
        <w:t xml:space="preserve">Si un Socio comete un incumplimiento grave de la cláusula 8 o actúa de forma que pone a personas en riesgo grave, cualquier otro Socio puede poner fin a su propia participación de inmediato mediante notificación por escrito, y los demás Socios pueden, en conjunto, suspender a ese Socio mediante notificación por escrito.</w:t>
      </w:r>
    </w:p>
    <w:p>
      <w:pPr>
        <w:pStyle w:val="ListParagraph"/>
        <w:numPr>
          <w:ilvl w:val="0"/>
          <w:numId w:val="17"/>
        </w:numPr>
        <w:spacing w:after="80" w:line="290"/>
      </w:pPr>
      <w:r>
        <w:rPr>
          <w:rFonts w:ascii="Nunito Sans" w:cs="Nunito Sans" w:eastAsia="Nunito Sans" w:hAnsi="Nunito Sans"/>
          <w:color w:val="102E3B"/>
          <w:sz w:val="20"/>
          <w:szCs w:val="20"/>
        </w:rPr>
        <w:t xml:space="preserve">Cuando un Socio sale, o la alianza termina, los Socios acordarán un plan de salida en un plazo de </w:t>
      </w:r>
      <w:r>
        <w:rPr>
          <w:rFonts w:ascii="Nunito Sans" w:cs="Nunito Sans" w:eastAsia="Nunito Sans" w:hAnsi="Nunito Sans"/>
          <w:color w:val="102E3B"/>
          <w:sz w:val="20"/>
          <w:szCs w:val="20"/>
          <w:highlight w:val="yellow"/>
        </w:rPr>
        <w:t xml:space="preserve">[30]</w:t>
      </w:r>
      <w:r>
        <w:rPr>
          <w:rFonts w:ascii="Nunito Sans" w:cs="Nunito Sans" w:eastAsia="Nunito Sans" w:hAnsi="Nunito Sans"/>
          <w:color w:val="102E3B"/>
          <w:sz w:val="20"/>
          <w:szCs w:val="20"/>
        </w:rPr>
        <w:t xml:space="preserve"> días. El plan:</w:t>
      </w:r>
    </w:p>
    <w:p>
      <w:pPr>
        <w:pStyle w:val="ListParagraph"/>
        <w:numPr>
          <w:ilvl w:val="1"/>
          <w:numId w:val="17"/>
        </w:numPr>
        <w:spacing w:after="80" w:line="290"/>
      </w:pPr>
      <w:r>
        <w:rPr>
          <w:rFonts w:ascii="Nunito Sans" w:cs="Nunito Sans" w:eastAsia="Nunito Sans" w:hAnsi="Nunito Sans"/>
          <w:color w:val="102E3B"/>
          <w:sz w:val="20"/>
          <w:szCs w:val="20"/>
        </w:rPr>
        <w:t xml:space="preserve">protegerá a las comunidades atendidas, completando, traspasando o cerrando de forma responsable las actividades y explicando a las comunidades lo que va a ocurrir;</w:t>
      </w:r>
    </w:p>
    <w:p>
      <w:pPr>
        <w:pStyle w:val="ListParagraph"/>
        <w:numPr>
          <w:ilvl w:val="1"/>
          <w:numId w:val="17"/>
        </w:numPr>
        <w:spacing w:after="80" w:line="290"/>
      </w:pPr>
      <w:r>
        <w:rPr>
          <w:rFonts w:ascii="Nunito Sans" w:cs="Nunito Sans" w:eastAsia="Nunito Sans" w:hAnsi="Nunito Sans"/>
          <w:color w:val="102E3B"/>
          <w:sz w:val="20"/>
          <w:szCs w:val="20"/>
        </w:rPr>
        <w:t xml:space="preserve">devolverá o eliminará la Información Confidencial y los Datos Personales según exija el Acuerdo de Intercambio de Datos;</w:t>
      </w:r>
    </w:p>
    <w:p>
      <w:pPr>
        <w:pStyle w:val="ListParagraph"/>
        <w:numPr>
          <w:ilvl w:val="1"/>
          <w:numId w:val="17"/>
        </w:numPr>
        <w:spacing w:after="80" w:line="290"/>
      </w:pPr>
      <w:r>
        <w:rPr>
          <w:rFonts w:ascii="Nunito Sans" w:cs="Nunito Sans" w:eastAsia="Nunito Sans" w:hAnsi="Nunito Sans"/>
          <w:color w:val="102E3B"/>
          <w:sz w:val="20"/>
          <w:szCs w:val="20"/>
        </w:rPr>
        <w:t xml:space="preserve">liquidará los costos acordados; y</w:t>
      </w:r>
    </w:p>
    <w:p>
      <w:pPr>
        <w:pStyle w:val="ListParagraph"/>
        <w:numPr>
          <w:ilvl w:val="1"/>
          <w:numId w:val="17"/>
        </w:numPr>
        <w:spacing w:after="80" w:line="290"/>
      </w:pPr>
      <w:r>
        <w:rPr>
          <w:rFonts w:ascii="Nunito Sans" w:cs="Nunito Sans" w:eastAsia="Nunito Sans" w:hAnsi="Nunito Sans"/>
          <w:color w:val="102E3B"/>
          <w:sz w:val="20"/>
          <w:szCs w:val="20"/>
        </w:rPr>
        <w:t xml:space="preserve">acordará cómo se describirá públicamente la alianza a partir de entonces.</w:t>
      </w:r>
    </w:p>
    <w:p>
      <w:pPr>
        <w:pStyle w:val="ListParagraph"/>
        <w:numPr>
          <w:ilvl w:val="0"/>
          <w:numId w:val="17"/>
        </w:numPr>
        <w:spacing w:after="80" w:line="290"/>
      </w:pPr>
      <w:r>
        <w:rPr>
          <w:rFonts w:ascii="Nunito Sans" w:cs="Nunito Sans" w:eastAsia="Nunito Sans" w:hAnsi="Nunito Sans"/>
          <w:color w:val="102E3B"/>
          <w:sz w:val="20"/>
          <w:szCs w:val="20"/>
        </w:rPr>
        <w:t xml:space="preserve">Las cláusulas 6, 7, 8.3, 11, 12 y 13.5 siguen vigentes después de que un Socio salga o de que termine el memorando.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SALIR BIEN</w:t>
            </w:r>
          </w:p>
          <w:p>
            <w:pPr>
              <w:spacing w:after="120" w:before="0" w:line="300"/>
            </w:pPr>
            <w:r>
              <w:rPr>
                <w:rFonts w:ascii="Nunito Sans" w:cs="Nunito Sans" w:eastAsia="Nunito Sans" w:hAnsi="Nunito Sans"/>
                <w:color w:val="102E3B"/>
                <w:sz w:val="19"/>
                <w:szCs w:val="19"/>
              </w:rPr>
              <w:t xml:space="preserve">La cláusula de salida suele ser la más útil. Acordad de antemano qué pasa con el personal, el equipamiento, los datos y los compromisos con las comunidades si un socio sale o termina la financiación. Los plazos de preaviso de 60 a 90 días son habituales. No dejes que un socio local tenga que explicar solo a las comunidades un cierre repentino: comparte esa responsabilidad en el plan de salida.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Ley aplicable y firma (vinculante)</w:t>
      </w:r>
    </w:p>
    <w:p>
      <w:pPr>
        <w:pStyle w:val="ListParagraph"/>
        <w:numPr>
          <w:ilvl w:val="0"/>
          <w:numId w:val="18"/>
        </w:numPr>
        <w:spacing w:after="80" w:line="290"/>
      </w:pPr>
      <w:r>
        <w:rPr>
          <w:rFonts w:ascii="Nunito Sans" w:cs="Nunito Sans" w:eastAsia="Nunito Sans" w:hAnsi="Nunito Sans"/>
          <w:color w:val="102E3B"/>
          <w:sz w:val="20"/>
          <w:szCs w:val="20"/>
        </w:rPr>
        <w:t xml:space="preserve">Este memorando se rige por la ley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w:t>
      </w:r>
    </w:p>
    <w:p>
      <w:pPr>
        <w:pStyle w:val="ListParagraph"/>
        <w:numPr>
          <w:ilvl w:val="0"/>
          <w:numId w:val="18"/>
        </w:numPr>
        <w:spacing w:after="80" w:line="290"/>
      </w:pPr>
      <w:r>
        <w:rPr>
          <w:rFonts w:ascii="Nunito Sans" w:cs="Nunito Sans" w:eastAsia="Nunito Sans" w:hAnsi="Nunito Sans"/>
          <w:color w:val="102E3B"/>
          <w:sz w:val="20"/>
          <w:szCs w:val="20"/>
        </w:rPr>
        <w:t xml:space="preserve">Puede firmarse en ejemplares separados, incluso mediante firma electrónica, y en </w:t>
      </w:r>
      <w:r>
        <w:rPr>
          <w:rFonts w:ascii="Nunito Sans" w:cs="Nunito Sans" w:eastAsia="Nunito Sans" w:hAnsi="Nunito Sans"/>
          <w:color w:val="102E3B"/>
          <w:sz w:val="20"/>
          <w:szCs w:val="20"/>
          <w:highlight w:val="yellow"/>
        </w:rPr>
        <w:t xml:space="preserve">[español e idioma]</w:t>
      </w:r>
      <w:r>
        <w:rPr>
          <w:rFonts w:ascii="Nunito Sans" w:cs="Nunito Sans" w:eastAsia="Nunito Sans" w:hAnsi="Nunito Sans"/>
          <w:color w:val="102E3B"/>
          <w:sz w:val="20"/>
          <w:szCs w:val="20"/>
        </w:rPr>
        <w:t xml:space="preserve">. Si las versiones difieren, prevalece la versión en </w:t>
      </w:r>
      <w:r>
        <w:rPr>
          <w:rFonts w:ascii="Nunito Sans" w:cs="Nunito Sans" w:eastAsia="Nunito Sans" w:hAnsi="Nunito Sans"/>
          <w:color w:val="102E3B"/>
          <w:sz w:val="20"/>
          <w:szCs w:val="20"/>
          <w:highlight w:val="yellow"/>
        </w:rPr>
        <w:t xml:space="preserve">[español]</w:t>
      </w:r>
      <w:r>
        <w:rPr>
          <w:rFonts w:ascii="Nunito Sans" w:cs="Nunito Sans" w:eastAsia="Nunito Sans" w:hAnsi="Nunito Sans"/>
          <w:color w:val="102E3B"/>
          <w:sz w:val="20"/>
          <w:szCs w:val="20"/>
        </w:rPr>
        <w:t xml:space="preserve">.</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1: Actividades y responsabilidades</w:t>
      </w:r>
    </w:p>
    <w:p>
      <w:pPr>
        <w:spacing w:after="120" w:before="0" w:line="300"/>
      </w:pPr>
      <w:r>
        <w:rPr>
          <w:rFonts w:ascii="Nunito Sans" w:cs="Nunito Sans" w:eastAsia="Nunito Sans" w:hAnsi="Nunito Sans"/>
          <w:color w:val="102E3B"/>
          <w:sz w:val="20"/>
          <w:szCs w:val="20"/>
        </w:rPr>
        <w:t xml:space="preserve">Las filas siguientes son ejemplos. Sustitúyalas por las suyas.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1714"/>
        <w:gridCol w:w="1714"/>
        <w:gridCol w:w="3239"/>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ACTIVIDAD</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LIDERA</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APOYA</w:t>
            </w:r>
          </w:p>
        </w:tc>
        <w:tc>
          <w:tcPr>
            <w:tcW w:type="dxa" w:w="3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CALENDARIO Y NOTAS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escuelas de campo para agricultores y agricultoras sobre prácticas resilientes al clima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1]</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2]</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[Trimestral, 60 grupos]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formación en educación financiera y creación de grupos de ahorro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2]</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1]</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[A partir del mes 4]</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sesiones de retroalimentación comunitaria</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1]</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2]</w:t>
            </w:r>
          </w:p>
        </w:tc>
        <w:tc>
          <w:tcPr>
            <w:tcW w:type="dxa" w:w="3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[Dos veces al año, resultados compartidos con el grupo directivo]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Ejemplo: nota conjunta de aprendizaje para el gobierno del condado</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2]</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1]</w:t>
            </w:r>
          </w:p>
        </w:tc>
        <w:tc>
          <w:tcPr>
            <w:tcW w:type="dxa" w:w="3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[Mes 18]</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2: Recursos que aporta cada Socio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476"/>
        <w:gridCol w:w="2476"/>
        <w:gridCol w:w="2477"/>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SOCIO</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TIEMPO DE PERSONAL Y CONOCIMIENTOS</w:t>
            </w:r>
          </w:p>
        </w:tc>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INSTALACIONES Y EQUIPAMIENTO</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FONDOS (IMPORTE, ORIGEN)</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1]</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2 técnicos de terreno, al 50 % de su tiempo]</w:t>
            </w:r>
          </w:p>
        </w:tc>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lugar de formación, motocicletas]</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importe del financiador X]</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2]</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formadora, 4 días al mes]</w:t>
            </w:r>
          </w:p>
        </w:tc>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materiales de formación]</w:t>
            </w: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ninguno; solo en especie]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3: Puntos focales y normas mínimas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3809"/>
        <w:gridCol w:w="3334"/>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SOCIO</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PUNTO FOCAL Y SUPLENTE</w:t>
            </w:r>
          </w:p>
        </w:tc>
        <w:tc>
          <w:tcPr>
            <w:tcW w:type="dxa" w:w="3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CONTACTO PARA SALVAGUARDA Y FRAUDE</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1]</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[Nombres, correos electrónicos, teléfonos]</w:t>
            </w:r>
          </w:p>
        </w:tc>
        <w:tc>
          <w:tcPr>
            <w:tcW w:type="dxa" w:w="3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correo electrónico, teléfono]</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[Socio 2]</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[Nombres, correos electrónicos, teléfonos]</w:t>
            </w:r>
          </w:p>
        </w:tc>
        <w:tc>
          <w:tcPr>
            <w:tcW w:type="dxa" w:w="3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correo electrónico, teléfono]</w:t>
            </w:r>
          </w:p>
        </w:tc>
      </w:tr>
    </w:tbl>
    <w:p>
      <w:pPr>
        <w:spacing w:after="120"/>
      </w:pPr>
    </w:p>
    <w:p>
      <w:pPr>
        <w:spacing w:after="120" w:before="0" w:line="300"/>
      </w:pPr>
      <w:r>
        <w:rPr>
          <w:rFonts w:ascii="Nunito Sans" w:cs="Nunito Sans" w:eastAsia="Nunito Sans" w:hAnsi="Nunito Sans"/>
          <w:color w:val="102E3B"/>
          <w:sz w:val="20"/>
          <w:szCs w:val="20"/>
        </w:rPr>
        <w:t xml:space="preserve">Normas mínimas que cada Socio cumple, o para cuyo cumplimiento está trabajando, conforme a la cláusula 8:</w:t>
      </w:r>
    </w:p>
    <w:p>
      <w:pPr>
        <w:pStyle w:val="ListParagraph"/>
        <w:numPr>
          <w:ilvl w:val="0"/>
          <w:numId w:val="4"/>
        </w:numPr>
        <w:spacing w:after="80" w:line="290"/>
      </w:pPr>
      <w:r>
        <w:rPr>
          <w:rFonts w:ascii="Nunito Sans" w:cs="Nunito Sans" w:eastAsia="Nunito Sans" w:hAnsi="Nunito Sans"/>
          <w:color w:val="102E3B"/>
          <w:sz w:val="20"/>
          <w:szCs w:val="20"/>
        </w:rPr>
        <w:t xml:space="preserve">Una política de salvaguarda, una persona responsable de salvaguarda designada y una vía segura para que las comunidades planteen inquietudes, incluso sobre el propio personal del Socio.</w:t>
      </w:r>
    </w:p>
    <w:p>
      <w:pPr>
        <w:pStyle w:val="ListParagraph"/>
        <w:numPr>
          <w:ilvl w:val="0"/>
          <w:numId w:val="4"/>
        </w:numPr>
        <w:spacing w:after="80" w:line="290"/>
      </w:pPr>
      <w:r>
        <w:rPr>
          <w:rFonts w:ascii="Nunito Sans" w:cs="Nunito Sans" w:eastAsia="Nunito Sans" w:hAnsi="Nunito Sans"/>
          <w:color w:val="102E3B"/>
          <w:sz w:val="20"/>
          <w:szCs w:val="20"/>
        </w:rPr>
        <w:t xml:space="preserve">Contratación segura: referencias de todo el personal y de todas las personas voluntarias que trabajen con niñas, niños o personas adultas en riesgo, y otras comprobaciones cuando la ley lo permita.</w:t>
      </w:r>
    </w:p>
    <w:p>
      <w:pPr>
        <w:pStyle w:val="ListParagraph"/>
        <w:numPr>
          <w:ilvl w:val="0"/>
          <w:numId w:val="4"/>
        </w:numPr>
        <w:spacing w:after="80" w:line="290"/>
      </w:pPr>
      <w:r>
        <w:rPr>
          <w:rFonts w:ascii="Nunito Sans" w:cs="Nunito Sans" w:eastAsia="Nunito Sans" w:hAnsi="Nunito Sans"/>
          <w:color w:val="102E3B"/>
          <w:sz w:val="20"/>
          <w:szCs w:val="20"/>
        </w:rPr>
        <w:t xml:space="preserve">Un código de conducta firmado por el personal y las personas voluntarias, basado en los seis principios fundamentales del IASC.</w:t>
      </w:r>
    </w:p>
    <w:p>
      <w:pPr>
        <w:pStyle w:val="ListParagraph"/>
        <w:numPr>
          <w:ilvl w:val="0"/>
          <w:numId w:val="4"/>
        </w:numPr>
        <w:spacing w:after="80" w:line="290"/>
      </w:pPr>
      <w:r>
        <w:rPr>
          <w:rFonts w:ascii="Nunito Sans" w:cs="Nunito Sans" w:eastAsia="Nunito Sans" w:hAnsi="Nunito Sans"/>
          <w:color w:val="102E3B"/>
          <w:sz w:val="20"/>
          <w:szCs w:val="20"/>
        </w:rPr>
        <w:t xml:space="preserve">Una política contra el fraude y la corrupción, controles financieros básicos (dos personas intervienen en cada pago) y una vía para comunicar inquietudes de forma segura.</w:t>
      </w:r>
    </w:p>
    <w:p>
      <w:pPr>
        <w:pStyle w:val="ListParagraph"/>
        <w:numPr>
          <w:ilvl w:val="0"/>
          <w:numId w:val="4"/>
        </w:numPr>
        <w:spacing w:after="80" w:line="290"/>
      </w:pPr>
      <w:r>
        <w:rPr>
          <w:rFonts w:ascii="Nunito Sans" w:cs="Nunito Sans" w:eastAsia="Nunito Sans" w:hAnsi="Nunito Sans"/>
          <w:color w:val="102E3B"/>
          <w:sz w:val="20"/>
          <w:szCs w:val="20"/>
        </w:rPr>
        <w:t xml:space="preserve">Un canal de denuncia de irregularidades que no dependa de la persona afectada por la inquietud.</w:t>
      </w:r>
    </w:p>
    <w:p>
      <w:pPr>
        <w:pStyle w:val="ListParagraph"/>
        <w:numPr>
          <w:ilvl w:val="0"/>
          <w:numId w:val="4"/>
        </w:numPr>
        <w:spacing w:after="80" w:line="290"/>
      </w:pPr>
      <w:r>
        <w:rPr>
          <w:rFonts w:ascii="Nunito Sans" w:cs="Nunito Sans" w:eastAsia="Nunito Sans" w:hAnsi="Nunito Sans"/>
          <w:color w:val="102E3B"/>
          <w:sz w:val="20"/>
          <w:szCs w:val="20"/>
        </w:rPr>
        <w:t xml:space="preserve">Control de sanciones del órgano de gobierno, el personal directivo y los principales proveedores del Socio frente a las listas de la cláusula 8.4, con registro de los resultados.</w:t>
      </w:r>
    </w:p>
    <w:p>
      <w:pPr>
        <w:pStyle w:val="ListParagraph"/>
        <w:numPr>
          <w:ilvl w:val="0"/>
          <w:numId w:val="4"/>
        </w:numPr>
        <w:spacing w:after="80" w:line="290"/>
      </w:pPr>
      <w:r>
        <w:rPr>
          <w:rFonts w:ascii="Nunito Sans" w:cs="Nunito Sans" w:eastAsia="Nunito Sans" w:hAnsi="Nunito Sans"/>
          <w:color w:val="102E3B"/>
          <w:sz w:val="20"/>
          <w:szCs w:val="20"/>
        </w:rPr>
        <w:t xml:space="preserve">Almacenamiento seguro de los datos personales y una persona designada responsable de la protección de datos.</w:t>
      </w:r>
    </w:p>
    <w:p>
      <w:pPr>
        <w:pStyle w:val="Heading1"/>
        <w:keepNext/>
        <w:spacing w:after="160" w:before="360"/>
      </w:pPr>
      <w:r>
        <w:rPr>
          <w:rFonts w:ascii="DM Serif Display" w:cs="DM Serif Display" w:eastAsia="DM Serif Display" w:hAnsi="DM Serif Display"/>
          <w:color w:val="123C48"/>
          <w:sz w:val="40"/>
          <w:szCs w:val="40"/>
        </w:rPr>
        <w:t xml:space="preserve">Firmas</w:t>
      </w:r>
    </w:p>
    <w:p>
      <w:pPr>
        <w:spacing w:after="120" w:before="0" w:line="300"/>
      </w:pPr>
      <w:r>
        <w:rPr>
          <w:rFonts w:ascii="Nunito Sans" w:cs="Nunito Sans" w:eastAsia="Nunito Sans" w:hAnsi="Nunito Sans"/>
          <w:color w:val="102E3B"/>
          <w:sz w:val="20"/>
          <w:szCs w:val="20"/>
        </w:rPr>
        <w:t xml:space="preserve">Firmado por los representantes autorizados de los Socios en las fechas indicadas a continuación.</w:t>
      </w:r>
    </w:p>
    <w:p>
      <w:pPr>
        <w:keepNext/>
        <w:spacing w:after="80" w:before="120"/>
      </w:pPr>
      <w:r>
        <w:rPr>
          <w:rFonts w:ascii="Nunito Sans" w:cs="Nunito Sans" w:eastAsia="Nunito Sans" w:hAnsi="Nunito Sans"/>
          <w:b/>
          <w:bCs/>
          <w:color w:val="16746E"/>
          <w:spacing w:val="30"/>
          <w:sz w:val="15"/>
          <w:szCs w:val="15"/>
        </w:rPr>
        <w:t xml:space="preserve">POR EL SOCIO 1</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[Denominación legal del Socio 1]</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POR EL SOCIO 2</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Por </w:t>
            </w:r>
            <w:r>
              <w:rPr>
                <w:rFonts w:ascii="Nunito Sans" w:cs="Nunito Sans" w:eastAsia="Nunito Sans" w:hAnsi="Nunito Sans"/>
                <w:color w:val="5B6F78"/>
                <w:sz w:val="16"/>
                <w:szCs w:val="16"/>
                <w:highlight w:val="yellow"/>
              </w:rPr>
              <w:t xml:space="preserve">[Denominación legal del Socio 2]</w:t>
            </w:r>
            <w:r>
              <w:rPr>
                <w:rFonts w:ascii="Nunito Sans" w:cs="Nunito Sans" w:eastAsia="Nunito Sans" w:hAnsi="Nunito Sans"/>
                <w:color w:val="5B6F78"/>
                <w:sz w:val="16"/>
                <w:szCs w:val="16"/>
              </w:rPr>
              <w:t xml:space="preserve">: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5FBCE01F-7D10-2F87-C9E3-984D161AD406}"/>
  </w:font>
  <w:font w:name="DM Serif Display">
    <w:family w:val="auto"/>
    <w:pitch w:val="variable"/>
    <w:sig w:usb0="E0002AFF" w:usb1="C000247B" w:usb2="00000009" w:usb3="00000000" w:csb0="000001FF" w:csb1="00000000"/>
    <w:embedRegular r:id="rId2" w:fontKey="{CD337BC2-D8B5-F916-92C4-D537BD815D9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Memorando de Entendimiento de Alianza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MEMORANDO DE ENTENDIMIENTO DE ALIANZA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 de Entendimiento de Alianza</dc:title>
  <dc:creator>Method into Impact</dc:creator>
  <dc:description>Un memorando de entendimiento (MdE) para dos o más organizaciones que trabajan juntas. Recoge un propósito común, quién hace qué y cómo se toman las decisiones, e indica con claridad cuáles son los pocos compromisos jurídicamente vinculantes.</dc:description>
  <cp:lastModifiedBy>Un-named</cp:lastModifiedBy>
  <cp:revision>1</cp:revision>
  <dcterms:created xsi:type="dcterms:W3CDTF">2026-10-29T06:04:22.820Z</dcterms:created>
  <dcterms:modified xsi:type="dcterms:W3CDTF">2026-10-29T06:04:22.820Z</dcterms:modified>
</cp:coreProperties>
</file>

<file path=docProps/custom.xml><?xml version="1.0" encoding="utf-8"?>
<Properties xmlns="http://schemas.openxmlformats.org/officeDocument/2006/custom-properties" xmlns:vt="http://schemas.openxmlformats.org/officeDocument/2006/docPropsVTypes"/>
</file>