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LISTA DE VERIFICACIÓN DE CUMPLIMIENTO · REVISIÓN DE SALUD LEGAL</w:t>
      </w:r>
    </w:p>
    <w:p>
      <w:pPr>
        <w:spacing w:after="360" w:line="360" w:lineRule="atLeast"/>
      </w:pPr>
      <w:r>
        <w:rPr>
          <w:rFonts w:ascii="Nunito Sans" w:cs="Nunito Sans" w:eastAsia="Nunito Sans" w:hAnsi="Nunito Sans"/>
          <w:b/>
          <w:bCs/>
          <w:color w:val="102E3B"/>
          <w:sz w:val="24"/>
          <w:szCs w:val="24"/>
          <w:highlight w:val="yellow"/>
        </w:rPr>
        <w:t xml:space="preserve">[Nombre de la organización]</w:t>
      </w:r>
    </w:p>
    <w:p>
      <w:pPr>
        <w:spacing w:after="280" w:before="120" w:line="920" w:lineRule="atLeast"/>
      </w:pPr>
      <w:r>
        <w:rPr>
          <w:rFonts w:ascii="DM Serif Display" w:cs="DM Serif Display" w:eastAsia="DM Serif Display" w:hAnsi="DM Serif Display"/>
          <w:color w:val="FFFAF3"/>
          <w:sz w:val="76"/>
          <w:szCs w:val="76"/>
        </w:rPr>
        <w:t xml:space="preserve">Lista de Verificación para Revisión Legal</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Una lista de verificación de sí o no que </w:t>
      </w:r>
      <w:r>
        <w:rPr>
          <w:rFonts w:ascii="Nunito Sans" w:cs="Nunito Sans" w:eastAsia="Nunito Sans" w:hAnsi="Nunito Sans"/>
          <w:color w:val="102E3B"/>
          <w:sz w:val="21"/>
          <w:szCs w:val="21"/>
          <w:highlight w:val="yellow"/>
        </w:rPr>
        <w:t xml:space="preserve">[Nombre de la organización]</w:t>
      </w:r>
      <w:r>
        <w:rPr>
          <w:rFonts w:ascii="Nunito Sans" w:cs="Nunito Sans" w:eastAsia="Nunito Sans" w:hAnsi="Nunito Sans"/>
          <w:color w:val="D8EEE2"/>
          <w:sz w:val="21"/>
          <w:szCs w:val="21"/>
        </w:rPr>
        <w:t xml:space="preserve"> completa antes de adoptar un nuevo documento, y una vez al año como revisión de salud legal, y que después lleva a una asesoría jurídica junto con un breve cuestionario de preguntas.</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BORRA ESTA PÁGINA ANTES DE USAR EL DOCUMENTO</w:t>
      </w:r>
    </w:p>
    <w:p>
      <w:pPr>
        <w:keepNext/>
        <w:spacing w:after="80" w:before="0"/>
      </w:pPr>
      <w:r>
        <w:rPr>
          <w:rFonts w:ascii="Nunito Sans" w:cs="Nunito Sans" w:eastAsia="Nunito Sans" w:hAnsi="Nunito Sans"/>
          <w:b/>
          <w:bCs/>
          <w:color w:val="16746E"/>
          <w:spacing w:val="30"/>
          <w:sz w:val="15"/>
          <w:szCs w:val="15"/>
        </w:rPr>
        <w:t xml:space="preserve">METHOD INTO IMPACT · GUÍA DE LA PLANTILLA</w:t>
      </w:r>
    </w:p>
    <w:p>
      <w:pPr>
        <w:spacing w:after="160"/>
      </w:pPr>
      <w:r>
        <w:rPr>
          <w:rFonts w:ascii="DM Serif Display" w:cs="DM Serif Display" w:eastAsia="DM Serif Display" w:hAnsi="DM Serif Display"/>
          <w:color w:val="123C48"/>
          <w:sz w:val="40"/>
          <w:szCs w:val="40"/>
        </w:rPr>
        <w:t xml:space="preserve">Cómo usar esta plantilla</w:t>
      </w:r>
    </w:p>
    <w:p>
      <w:pPr>
        <w:spacing w:after="120" w:before="0" w:line="270"/>
      </w:pPr>
      <w:r>
        <w:rPr>
          <w:rFonts w:ascii="Nunito Sans" w:cs="Nunito Sans" w:eastAsia="Nunito Sans" w:hAnsi="Nunito Sans"/>
          <w:color w:val="102E3B"/>
          <w:sz w:val="18"/>
          <w:szCs w:val="18"/>
        </w:rPr>
        <w:t xml:space="preserve">Las plantillas y las buenas intenciones no bastan: cada organización debe ajustar sus documentos a la ley del lugar donde está registrada y donde trabaja. Esta lista de verificación te muestra qué comprobar, te ayuda a detectar carencias antes de que lo haga un financiador o un regulador, y hace mucho más útil una hora con una asesoría jurídica. No es asesoramiento legal y no lo sustituye.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VERÁS</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QUÉ HACER</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[Resaltado amarillo]</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Reemplázalo con tus datos y quita el resaltado (en Word: Inicio › Color de resaltado de texto › Sin color).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con barra naranja titulados “Adáptalo”</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Indicaciones para ti. Toma la decisión que describen, ajusta el texto y luego borra el recuadro.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Corchetes con opciones, p. ej. </w:t>
            </w:r>
            <w:r>
              <w:rPr>
                <w:rFonts w:ascii="Nunito Sans" w:cs="Nunito Sans" w:eastAsia="Nunito Sans" w:hAnsi="Nunito Sans"/>
                <w:color w:val="102E3B"/>
                <w:sz w:val="16"/>
                <w:szCs w:val="16"/>
                <w:highlight w:val="yellow"/>
              </w:rPr>
              <w:t xml:space="preserve">[24 horas / 48 horas]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Elige una opción, o escribe la tuya, y borra el resto.</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verdes y crema</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Forman parte del documento final. Mantenlos y actualiza el texto.</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QUIÉN SUELE PEDIRLO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Tu órgano de gobierno; las firmas auditoras; los financiadores en la debida diligencia (muchos preguntan si tus políticas han pasado una revisión legal); las asesorías jurídicas y pro bono, que necesitan un encargo claro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TIEMPO PARA ADAPTARLO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De 2 a 3 horas para completarla; después, de 1 a 2 horas con una asesoría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SE APRENDE EN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Curso 4 · Protect, Módulo 10 (Legal, cumplimiento, políticas y riesgos)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ÚSALO JUNTO CON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Términos de Referencia del Órgano de Gobierno · Matriz de Delegación de Autoridad · Registro de Riesgos · Calendario de Conservación de Registros · Política de Protección de Datos · Evaluación de Impacto en la Protección de Datos · Política de Debida Diligencia de Socios y Control de Sanciones · Cuestionario de Debida Diligencia para Socios · Contrato de Trabajo · Contrato de Prestación de Servicios Independientes · Procedimiento de Aprobación y Revisión de Políticas</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CINCO PASOS HASTA EL DOCUMENTO FINAL</w:t>
      </w:r>
    </w:p>
    <w:p>
      <w:pPr>
        <w:pStyle w:val="ListParagraph"/>
        <w:numPr>
          <w:ilvl w:val="0"/>
          <w:numId w:val="2"/>
        </w:numPr>
        <w:spacing w:after="40" w:line="260"/>
      </w:pPr>
      <w:r>
        <w:rPr>
          <w:rFonts w:ascii="Nunito Sans" w:cs="Nunito Sans" w:eastAsia="Nunito Sans" w:hAnsi="Nunito Sans"/>
          <w:color w:val="102E3B"/>
          <w:sz w:val="17"/>
          <w:szCs w:val="17"/>
        </w:rPr>
        <w:t xml:space="preserve">Completa cada campo amarillo y trabaja cada recuadro “Adáptalo”.</w:t>
      </w:r>
    </w:p>
    <w:p>
      <w:pPr>
        <w:pStyle w:val="ListParagraph"/>
        <w:numPr>
          <w:ilvl w:val="0"/>
          <w:numId w:val="2"/>
        </w:numPr>
        <w:spacing w:after="40" w:line="260"/>
      </w:pPr>
      <w:r>
        <w:rPr>
          <w:rFonts w:ascii="Nunito Sans" w:cs="Nunito Sans" w:eastAsia="Nunito Sans" w:hAnsi="Nunito Sans"/>
          <w:color w:val="102E3B"/>
          <w:sz w:val="17"/>
          <w:szCs w:val="17"/>
        </w:rPr>
        <w:t xml:space="preserve">Elimina lo que no aplique y mantén el documento proporcional a tu tamaño.</w:t>
      </w:r>
    </w:p>
    <w:p>
      <w:pPr>
        <w:pStyle w:val="ListParagraph"/>
        <w:numPr>
          <w:ilvl w:val="0"/>
          <w:numId w:val="2"/>
        </w:numPr>
        <w:spacing w:after="40" w:line="260"/>
      </w:pPr>
      <w:r>
        <w:rPr>
          <w:rFonts w:ascii="Nunito Sans" w:cs="Nunito Sans" w:eastAsia="Nunito Sans" w:hAnsi="Nunito Sans"/>
          <w:color w:val="102E3B"/>
          <w:sz w:val="17"/>
          <w:szCs w:val="17"/>
        </w:rPr>
        <w:t xml:space="preserve">Pide a un asesor cualificado de tu país que lo revise según la ley local, las condiciones de tus financiadores y las normas de tu sector. La plantilla de lista de verificación para revisión legal puede guiar esa conversación.</w:t>
      </w:r>
    </w:p>
    <w:p>
      <w:pPr>
        <w:pStyle w:val="ListParagraph"/>
        <w:numPr>
          <w:ilvl w:val="0"/>
          <w:numId w:val="2"/>
        </w:numPr>
        <w:spacing w:after="40" w:line="260"/>
      </w:pPr>
      <w:r>
        <w:rPr>
          <w:rFonts w:ascii="Nunito Sans" w:cs="Nunito Sans" w:eastAsia="Nunito Sans" w:hAnsi="Nunito Sans"/>
          <w:color w:val="102E3B"/>
          <w:sz w:val="17"/>
          <w:szCs w:val="17"/>
        </w:rPr>
        <w:t xml:space="preserve">Apruébalo formalmente (por ejemplo, por decisión del órgano de gobierno o de las personas fundadoras), ponle fecha y fija una fecha de revisión.</w:t>
      </w:r>
    </w:p>
    <w:p>
      <w:pPr>
        <w:pStyle w:val="ListParagraph"/>
        <w:numPr>
          <w:ilvl w:val="0"/>
          <w:numId w:val="2"/>
        </w:numPr>
        <w:spacing w:after="40" w:line="260"/>
      </w:pPr>
      <w:r>
        <w:rPr>
          <w:rFonts w:ascii="Nunito Sans" w:cs="Nunito Sans" w:eastAsia="Nunito Sans" w:hAnsi="Nunito Sans"/>
          <w:color w:val="102E3B"/>
          <w:sz w:val="17"/>
          <w:szCs w:val="17"/>
        </w:rPr>
        <w:t xml:space="preserve">Comunícalo, pide a las personas que confirmen que lo han leído y guárdalo donde todos puedan encontrarlo.</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IMPORTANTE</w:t>
            </w:r>
          </w:p>
          <w:p>
            <w:pPr>
              <w:spacing w:after="120" w:before="0" w:line="260"/>
            </w:pPr>
            <w:r>
              <w:rPr>
                <w:rFonts w:ascii="Nunito Sans" w:cs="Nunito Sans" w:eastAsia="Nunito Sans" w:hAnsi="Nunito Sans"/>
                <w:color w:val="102E3B"/>
                <w:sz w:val="16"/>
                <w:szCs w:val="16"/>
              </w:rPr>
              <w:t xml:space="preserve">Esto es una plantilla, no asesoramiento legal. Es un punto de partida general escrito para pequeñas organizaciones con propósito y personas emprendedoras de distintos países. Las leyes, los reguladores y los financiadores varían y cambian. Method into Impact no garantiza que esta plantilla sea completa, actual o adecuada para tu situación, y usarla no crea una relación de asesoramiento profesional. Eres responsable de adaptarla, obtener asesoramiento local y aprobar la versión final. Licencia de uso para una sola organización; no la revendas ni la republiques.</w:t>
            </w:r>
          </w:p>
        </w:tc>
      </w:tr>
    </w:tbl>
    <w:p>
      <w:r>
        <w:br w:type="page"/>
      </w:r>
    </w:p>
    <w:p>
      <w:pPr>
        <w:keepNext/>
        <w:spacing w:after="80" w:before="0"/>
      </w:pPr>
      <w:r>
        <w:rPr>
          <w:rFonts w:ascii="Nunito Sans" w:cs="Nunito Sans" w:eastAsia="Nunito Sans" w:hAnsi="Nunito Sans"/>
          <w:b/>
          <w:bCs/>
          <w:color w:val="16746E"/>
          <w:spacing w:val="30"/>
          <w:sz w:val="15"/>
          <w:szCs w:val="15"/>
        </w:rPr>
        <w:t xml:space="preserve">CONTROL DEL DOCUMENTO</w:t>
      </w:r>
    </w:p>
    <w:p>
      <w:pPr>
        <w:spacing w:after="200"/>
      </w:pPr>
      <w:r>
        <w:rPr>
          <w:rFonts w:ascii="DM Serif Display" w:cs="DM Serif Display" w:eastAsia="DM Serif Display" w:hAnsi="DM Serif Display"/>
          <w:color w:val="123C48"/>
          <w:sz w:val="40"/>
          <w:szCs w:val="40"/>
        </w:rPr>
        <w:t xml:space="preserve">Sobre este documento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Lista de Verificación para Revisión Legal</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TIPO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Lista de verificación</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RESPONSABLE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y cargo de la persona responsable]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APROBADO POR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cargo y órgano, p. ej. la junta directiva]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FECHA DE APROBACIÓN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de mes de AAAA]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PRÓXIMA REVISIÓN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[Mes AAAA]</w:t>
            </w:r>
            <w:r>
              <w:rPr>
                <w:rFonts w:ascii="Nunito Sans" w:cs="Nunito Sans" w:eastAsia="Nunito Sans" w:hAnsi="Nunito Sans"/>
                <w:color w:val="102E3B"/>
                <w:sz w:val="19"/>
                <w:szCs w:val="19"/>
              </w:rPr>
              <w:t xml:space="preserve">, o antes tras un incidente grave, un cambio en la ley o un cambio importante en nuestra forma de trabajar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SE APLICA A</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La </w:t>
            </w:r>
            <w:r>
              <w:rPr>
                <w:rFonts w:ascii="Nunito Sans" w:cs="Nunito Sans" w:eastAsia="Nunito Sans" w:hAnsi="Nunito Sans"/>
                <w:color w:val="102E3B"/>
                <w:sz w:val="19"/>
                <w:szCs w:val="19"/>
                <w:highlight w:val="yellow"/>
              </w:rPr>
              <w:t xml:space="preserve">[dirección ejecutiva / persona fundadora]</w:t>
            </w:r>
            <w:r>
              <w:rPr>
                <w:rFonts w:ascii="Nunito Sans" w:cs="Nunito Sans" w:eastAsia="Nunito Sans" w:hAnsi="Nunito Sans"/>
                <w:color w:val="102E3B"/>
                <w:sz w:val="19"/>
                <w:szCs w:val="19"/>
              </w:rPr>
              <w:t xml:space="preserve">, el órgano de gobierno y cualquier persona que prepare una revisión legal para </w:t>
            </w:r>
            <w:r>
              <w:rPr>
                <w:rFonts w:ascii="Nunito Sans" w:cs="Nunito Sans" w:eastAsia="Nunito Sans" w:hAnsi="Nunito Sans"/>
                <w:color w:val="102E3B"/>
                <w:sz w:val="19"/>
                <w:szCs w:val="19"/>
                <w:highlight w:val="yellow"/>
              </w:rPr>
              <w:t xml:space="preserve">[Nombre de la organización]</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ORGANIZACIÓN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legal, forma jurídica, país de registro y número de registro]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[hola@tuorganizacion.org]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IDIOMA</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[Español]</w:t>
            </w:r>
            <w:r>
              <w:rPr>
                <w:rFonts w:ascii="Nunito Sans" w:cs="Nunito Sans" w:eastAsia="Nunito Sans" w:hAnsi="Nunito Sans"/>
                <w:color w:val="102E3B"/>
                <w:sz w:val="19"/>
                <w:szCs w:val="19"/>
              </w:rPr>
              <w:t xml:space="preserve">. Traducciones: </w:t>
            </w:r>
            <w:r>
              <w:rPr>
                <w:rFonts w:ascii="Nunito Sans" w:cs="Nunito Sans" w:eastAsia="Nunito Sans" w:hAnsi="Nunito Sans"/>
                <w:color w:val="102E3B"/>
                <w:sz w:val="19"/>
                <w:szCs w:val="19"/>
                <w:highlight w:val="yellow"/>
              </w:rPr>
              <w:t xml:space="preserve">[idiomas, o “ninguna”]</w:t>
            </w:r>
            <w:r>
              <w:rPr>
                <w:rFonts w:ascii="Nunito Sans" w:cs="Nunito Sans" w:eastAsia="Nunito Sans" w:hAnsi="Nunito Sans"/>
                <w:color w:val="102E3B"/>
                <w:sz w:val="19"/>
                <w:szCs w:val="19"/>
              </w:rPr>
              <w:t xml:space="preserve">. Si las versiones difieren, prevalece la versión en </w:t>
            </w:r>
            <w:r>
              <w:rPr>
                <w:rFonts w:ascii="Nunito Sans" w:cs="Nunito Sans" w:eastAsia="Nunito Sans" w:hAnsi="Nunito Sans"/>
                <w:color w:val="102E3B"/>
                <w:sz w:val="19"/>
                <w:szCs w:val="19"/>
                <w:highlight w:val="yellow"/>
              </w:rPr>
              <w:t xml:space="preserve">[español]</w:t>
            </w:r>
            <w:r>
              <w:rPr>
                <w:rFonts w:ascii="Nunito Sans" w:cs="Nunito Sans" w:eastAsia="Nunito Sans" w:hAnsi="Nunito Sans"/>
                <w:color w:val="102E3B"/>
                <w:sz w:val="19"/>
                <w:szCs w:val="19"/>
              </w:rPr>
              <w:t xml:space="preserve">.</w:t>
            </w:r>
          </w:p>
        </w:tc>
      </w:tr>
    </w:tbl>
    <w:p>
      <w:pPr>
        <w:keepNext/>
        <w:spacing w:after="100" w:before="360"/>
      </w:pPr>
      <w:r>
        <w:rPr>
          <w:rFonts w:ascii="Nunito Sans" w:cs="Nunito Sans" w:eastAsia="Nunito Sans" w:hAnsi="Nunito Sans"/>
          <w:b/>
          <w:bCs/>
          <w:color w:val="16746E"/>
          <w:spacing w:val="30"/>
          <w:sz w:val="15"/>
          <w:szCs w:val="15"/>
        </w:rPr>
        <w:t xml:space="preserve">CONTENIDO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Cómo usar esta lista de verificación</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Validación</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La lista de verificación</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Guía: cómo obtener asesoramiento jurídico de bajo costo</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Cuestionario para la asesoría</w:t>
            </w:r>
          </w:p>
        </w:tc>
        <w:tc>
          <w:tcPr>
            <w:tcW w:type="dxa" w:w="4762"/>
            <w:tcBorders>
              <w:top w:val="none" w:color="FFFFFF" w:sz="0"/>
              <w:left w:val="none" w:color="FFFFFF" w:sz="0"/>
              <w:bottom w:val="none" w:color="FFFFFF" w:sz="0"/>
              <w:right w:val="none" w:color="FFFFFF" w:sz="0"/>
            </w:tcBorders>
            <w:tcMar>
              <w:top w:type="dxa" w:w="60"/>
              <w:left w:type="dxa" w:w="300"/>
              <w:bottom w:type="dxa" w:w="60"/>
              <w:right w:type="dxa" w:w="120"/>
            </w:tcMar>
          </w:tcPr>
          <w:p>
            <w:pPr>
              <w:spacing w:after="0"/>
            </w:pP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PROPORCIONAL A NUESTRO TAMAÑO</w:t>
            </w:r>
          </w:p>
          <w:p>
            <w:pPr>
              <w:spacing w:after="120" w:before="0" w:line="300"/>
            </w:pP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es </w:t>
            </w:r>
            <w:r>
              <w:rPr>
                <w:rFonts w:ascii="Nunito Sans" w:cs="Nunito Sans" w:eastAsia="Nunito Sans" w:hAnsi="Nunito Sans"/>
                <w:color w:val="102E3B"/>
                <w:sz w:val="19"/>
                <w:szCs w:val="19"/>
                <w:highlight w:val="yellow"/>
              </w:rPr>
              <w:t xml:space="preserve">[una organización pequeña de X personas]</w:t>
            </w:r>
            <w:r>
              <w:rPr>
                <w:rFonts w:ascii="Nunito Sans" w:cs="Nunito Sans" w:eastAsia="Nunito Sans" w:hAnsi="Nunito Sans"/>
                <w:color w:val="102E3B"/>
                <w:sz w:val="19"/>
                <w:szCs w:val="19"/>
              </w:rPr>
              <w:t xml:space="preserve">. </w:t>
            </w:r>
            <w:r>
              <w:rPr>
                <w:rFonts w:ascii="Nunito Sans" w:cs="Nunito Sans" w:eastAsia="Nunito Sans" w:hAnsi="Nunito Sans"/>
                <w:b/>
                <w:bCs/>
                <w:color w:val="102E3B"/>
                <w:sz w:val="19"/>
                <w:szCs w:val="19"/>
                <w:highlight w:val="yellow"/>
              </w:rPr>
              <w:t xml:space="preserve">[Nombre, cargo]</w:t>
            </w:r>
            <w:r>
              <w:rPr>
                <w:rFonts w:ascii="Nunito Sans" w:cs="Nunito Sans" w:eastAsia="Nunito Sans" w:hAnsi="Nunito Sans"/>
                <w:color w:val="102E3B"/>
                <w:sz w:val="19"/>
                <w:szCs w:val="19"/>
              </w:rPr>
              <w:t xml:space="preserve"> completa esta lista de verificación cada </w:t>
            </w:r>
            <w:r>
              <w:rPr>
                <w:rFonts w:ascii="Nunito Sans" w:cs="Nunito Sans" w:eastAsia="Nunito Sans" w:hAnsi="Nunito Sans"/>
                <w:color w:val="102E3B"/>
                <w:sz w:val="19"/>
                <w:szCs w:val="19"/>
                <w:highlight w:val="yellow"/>
              </w:rPr>
              <w:t xml:space="preserve">[año, en el mes de]</w:t>
            </w:r>
            <w:r>
              <w:rPr>
                <w:rFonts w:ascii="Nunito Sans" w:cs="Nunito Sans" w:eastAsia="Nunito Sans" w:hAnsi="Nunito Sans"/>
                <w:color w:val="102E3B"/>
                <w:sz w:val="19"/>
                <w:szCs w:val="19"/>
              </w:rPr>
              <w:t xml:space="preserve"> y antes de adoptar cualquier nueva política, acuerdo o formulario. </w:t>
            </w:r>
            <w:r>
              <w:rPr>
                <w:rFonts w:ascii="Nunito Sans" w:cs="Nunito Sans" w:eastAsia="Nunito Sans" w:hAnsi="Nunito Sans"/>
                <w:b/>
                <w:bCs/>
                <w:color w:val="102E3B"/>
                <w:sz w:val="19"/>
                <w:szCs w:val="19"/>
                <w:highlight w:val="yellow"/>
              </w:rPr>
              <w:t xml:space="preserve">[Nombre, miembro del órgano de gobierno]</w:t>
            </w:r>
            <w:r>
              <w:rPr>
                <w:rFonts w:ascii="Nunito Sans" w:cs="Nunito Sans" w:eastAsia="Nunito Sans" w:hAnsi="Nunito Sans"/>
                <w:color w:val="102E3B"/>
                <w:sz w:val="19"/>
                <w:szCs w:val="19"/>
              </w:rPr>
              <w:t xml:space="preserve"> la revisa con esa persona e informa al órgano de gobierno de las principales carencias. Llevamos el cuestionario para la asesoría a </w:t>
            </w:r>
            <w:r>
              <w:rPr>
                <w:rFonts w:ascii="Nunito Sans" w:cs="Nunito Sans" w:eastAsia="Nunito Sans" w:hAnsi="Nunito Sans"/>
                <w:color w:val="102E3B"/>
                <w:sz w:val="19"/>
                <w:szCs w:val="19"/>
                <w:highlight w:val="yellow"/>
              </w:rPr>
              <w:t xml:space="preserve">[nuestra asesoría jurídica / una asesoría pro bono]</w:t>
            </w:r>
            <w:r>
              <w:rPr>
                <w:rFonts w:ascii="Nunito Sans" w:cs="Nunito Sans" w:eastAsia="Nunito Sans" w:hAnsi="Nunito Sans"/>
                <w:color w:val="102E3B"/>
                <w:sz w:val="19"/>
                <w:szCs w:val="19"/>
              </w:rPr>
              <w:t xml:space="preserve"> y dejamos constancia de las respuestas.</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ANTES DE USAR ESTA LISTA DE VERIFICACIÓN</w:t>
            </w:r>
          </w:p>
          <w:p>
            <w:pPr>
              <w:spacing w:after="120" w:before="0" w:line="300"/>
            </w:pPr>
            <w:r>
              <w:rPr>
                <w:rFonts w:ascii="Nunito Sans" w:cs="Nunito Sans" w:eastAsia="Nunito Sans" w:hAnsi="Nunito Sans"/>
                <w:color w:val="102E3B"/>
                <w:sz w:val="19"/>
                <w:szCs w:val="19"/>
              </w:rPr>
              <w:t xml:space="preserve">Elimina cualquier sección que claramente no se aplique (por ejemplo, la legislación de consumo si no vendes nada), pero piénsalo dos veces antes de eliminarla: muchas organizaciones pequeñas encuentran carencias donde menos lo esperan. Si trabajas en más de un país, completa la lista una vez para el país de registro y otra vez, de forma más breve, para cada país en el que realices actividades, emplees a personas o tengas una cuenta bancaria. Esta lista de verificación es una guía sobre qué preguntar, no una exposición de la ley de ningún país.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Cómo usar esta lista de verificación</w:t>
      </w:r>
    </w:p>
    <w:p>
      <w:pPr>
        <w:pStyle w:val="ListParagraph"/>
        <w:numPr>
          <w:ilvl w:val="0"/>
          <w:numId w:val="3"/>
        </w:numPr>
        <w:spacing w:after="80" w:line="290"/>
      </w:pPr>
      <w:r>
        <w:rPr>
          <w:rFonts w:ascii="Nunito Sans" w:cs="Nunito Sans" w:eastAsia="Nunito Sans" w:hAnsi="Nunito Sans"/>
          <w:color w:val="102E3B"/>
          <w:sz w:val="20"/>
          <w:szCs w:val="20"/>
        </w:rPr>
        <w:t xml:space="preserve">Marque cada punto que sea </w:t>
      </w:r>
      <w:r>
        <w:rPr>
          <w:rFonts w:ascii="Nunito Sans" w:cs="Nunito Sans" w:eastAsia="Nunito Sans" w:hAnsi="Nunito Sans"/>
          <w:b/>
          <w:bCs/>
          <w:color w:val="102E3B"/>
          <w:sz w:val="20"/>
          <w:szCs w:val="20"/>
        </w:rPr>
        <w:t xml:space="preserve">cierto y que pueda demostrar</w:t>
      </w:r>
      <w:r>
        <w:rPr>
          <w:rFonts w:ascii="Nunito Sans" w:cs="Nunito Sans" w:eastAsia="Nunito Sans" w:hAnsi="Nunito Sans"/>
          <w:color w:val="102E3B"/>
          <w:sz w:val="20"/>
          <w:szCs w:val="20"/>
        </w:rPr>
        <w:t xml:space="preserve"> con un documento, una presentación o un registro. Anote dónde se guarda la prueba.</w:t>
      </w:r>
    </w:p>
    <w:p>
      <w:pPr>
        <w:pStyle w:val="ListParagraph"/>
        <w:numPr>
          <w:ilvl w:val="0"/>
          <w:numId w:val="3"/>
        </w:numPr>
        <w:spacing w:after="80" w:line="290"/>
      </w:pPr>
      <w:r>
        <w:rPr>
          <w:rFonts w:ascii="Nunito Sans" w:cs="Nunito Sans" w:eastAsia="Nunito Sans" w:hAnsi="Nunito Sans"/>
          <w:color w:val="102E3B"/>
          <w:sz w:val="20"/>
          <w:szCs w:val="20"/>
        </w:rPr>
        <w:t xml:space="preserve">Si la respuesta es no, o tiene dudas, déjelo sin marcar y cópielo como pregunta en el cuestionario para la asesoría que figura al final.</w:t>
      </w:r>
    </w:p>
    <w:p>
      <w:pPr>
        <w:pStyle w:val="ListParagraph"/>
        <w:numPr>
          <w:ilvl w:val="0"/>
          <w:numId w:val="3"/>
        </w:numPr>
        <w:spacing w:after="80" w:line="290"/>
      </w:pPr>
      <w:r>
        <w:rPr>
          <w:rFonts w:ascii="Nunito Sans" w:cs="Nunito Sans" w:eastAsia="Nunito Sans" w:hAnsi="Nunito Sans"/>
          <w:color w:val="102E3B"/>
          <w:sz w:val="20"/>
          <w:szCs w:val="20"/>
        </w:rPr>
        <w:t xml:space="preserve">Dé prioridad a los puntos sin marcar que podrían dar lugar a una multa, a la pérdida del registro, a un daño a una persona o a la pérdida de financiación.</w:t>
      </w:r>
    </w:p>
    <w:p>
      <w:pPr>
        <w:pStyle w:val="ListParagraph"/>
        <w:numPr>
          <w:ilvl w:val="0"/>
          <w:numId w:val="3"/>
        </w:numPr>
        <w:spacing w:after="80" w:line="290"/>
      </w:pPr>
      <w:r>
        <w:rPr>
          <w:rFonts w:ascii="Nunito Sans" w:cs="Nunito Sans" w:eastAsia="Nunito Sans" w:hAnsi="Nunito Sans"/>
          <w:color w:val="102E3B"/>
          <w:sz w:val="20"/>
          <w:szCs w:val="20"/>
        </w:rPr>
        <w:t xml:space="preserve">Lleve a su asesoría el cuestionario, su documento constitutivo y los documentos en cuestión. Anote sus respuestas y las acciones acordadas.</w:t>
      </w:r>
    </w:p>
    <w:p>
      <w:pPr>
        <w:pStyle w:val="ListParagraph"/>
        <w:numPr>
          <w:ilvl w:val="0"/>
          <w:numId w:val="3"/>
        </w:numPr>
        <w:spacing w:after="80" w:line="290"/>
      </w:pPr>
      <w:r>
        <w:rPr>
          <w:rFonts w:ascii="Nunito Sans" w:cs="Nunito Sans" w:eastAsia="Nunito Sans" w:hAnsi="Nunito Sans"/>
          <w:color w:val="102E3B"/>
          <w:sz w:val="20"/>
          <w:szCs w:val="20"/>
        </w:rPr>
        <w:t xml:space="preserve">Informe del resultado al órgano de gobierno y añada las carencias importantes al Registro de Riesgos.</w:t>
      </w:r>
    </w:p>
    <w:p>
      <w:pPr>
        <w:pStyle w:val="Heading1"/>
        <w:keepNext/>
        <w:spacing w:after="160" w:before="360"/>
      </w:pPr>
      <w:r>
        <w:rPr>
          <w:rFonts w:ascii="DM Serif Display" w:cs="DM Serif Display" w:eastAsia="DM Serif Display" w:hAnsi="DM Serif Display"/>
          <w:color w:val="123C48"/>
          <w:sz w:val="40"/>
          <w:szCs w:val="40"/>
        </w:rPr>
        <w:t xml:space="preserve">La lista de verificación</w:t>
      </w:r>
    </w:p>
    <w:p>
      <w:pPr>
        <w:pStyle w:val="Heading2"/>
        <w:keepNext/>
        <w:spacing w:after="120" w:before="280"/>
      </w:pPr>
      <w:r>
        <w:rPr>
          <w:rFonts w:ascii="DM Serif Display" w:cs="DM Serif Display" w:eastAsia="DM Serif Display" w:hAnsi="DM Serif Display"/>
          <w:color w:val="123C48"/>
          <w:sz w:val="28"/>
          <w:szCs w:val="28"/>
        </w:rPr>
        <w:t xml:space="preserve">1. Registro y forma jurídica</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Conocemos nuestra forma jurídica exacta (por ejemplo, asociación, fideicomiso, sociedad civil, sociedad sin ánimo de lucro, fundación, cooperativa o sociedad de empresa social) y nos permite todo lo que hacemos, incluida cualquier actividad comercial.</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Nuestro registro está vigente, y nuestro nombre registrado, nuestro domicilio y nuestros fines coinciden con lo que hacemos realmente.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Estamos registrados, o hemos confirmado que no necesitamos estarlo, en cada país en el que realizamos actividades, empleamos a personas o tenemos una cuenta bancaria.</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Sabemos qué reguladores nos supervisan y qué cambios debemos comunicarles (por ejemplo, un nuevo miembro del órgano de gobierno, un nuevo domicilio o un nuevo fin).</w:t>
      </w:r>
    </w:p>
    <w:p>
      <w:pPr>
        <w:pStyle w:val="Heading2"/>
        <w:keepNext/>
        <w:spacing w:after="120" w:before="280"/>
      </w:pPr>
      <w:r>
        <w:rPr>
          <w:rFonts w:ascii="DM Serif Display" w:cs="DM Serif Display" w:eastAsia="DM Serif Display" w:hAnsi="DM Serif Display"/>
          <w:color w:val="123C48"/>
          <w:sz w:val="28"/>
          <w:szCs w:val="28"/>
        </w:rPr>
        <w:t xml:space="preserve">2. Presentaciones anuales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Llevamos un calendario de cumplimiento con cada plazo de presentación y de renovación (declaración anual, cuentas, declaraciones de impuestos, informes al regulador, renovación del registro), cada uno con una persona responsable designada.</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Nuestra última declaración anual y nuestras últimas cuentas se presentaron a tiempo ante todas las autoridades que las exigen.</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Nuestras cuentas se auditan o se someten a un examen independiente cuando lo exigen la ley, nuestro documento constitutivo o un financiador.</w:t>
      </w:r>
    </w:p>
    <w:p>
      <w:pPr>
        <w:pStyle w:val="Heading2"/>
        <w:keepNext/>
        <w:spacing w:after="120" w:before="280"/>
      </w:pPr>
      <w:r>
        <w:rPr>
          <w:rFonts w:ascii="DM Serif Display" w:cs="DM Serif Display" w:eastAsia="DM Serif Display" w:hAnsi="DM Serif Display"/>
          <w:color w:val="123C48"/>
          <w:sz w:val="28"/>
          <w:szCs w:val="28"/>
        </w:rPr>
        <w:t xml:space="preserve">3. Documentos de gobierno</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Tenemos una copia firmada y vigente de nuestro documento constitutivo, y cada modificación se aprobó y se presentó según lo exigido.</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Nuestros fines cubren todas las actividades actuales, incluidos los nuevos programas, países y fuentes de ingresos.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Los nombramientos del órgano de gobierno, los mandatos, las reuniones y las actas siguen el documento constitutivo y nuestros Términos de Referencia del Órgano de Gobierno.</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Nuestras políticas esenciales fueron aprobadas por el órgano que exige el documento constitutivo.</w:t>
      </w:r>
    </w:p>
    <w:p>
      <w:pPr>
        <w:pStyle w:val="Heading2"/>
        <w:keepNext/>
        <w:spacing w:after="120" w:before="280"/>
      </w:pPr>
      <w:r>
        <w:rPr>
          <w:rFonts w:ascii="DM Serif Display" w:cs="DM Serif Display" w:eastAsia="DM Serif Display" w:hAnsi="DM Serif Display"/>
          <w:color w:val="123C48"/>
          <w:sz w:val="28"/>
          <w:szCs w:val="28"/>
        </w:rPr>
        <w:t xml:space="preserve">4. Facultades de firma y banca</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Sabemos quién puede firmar contratos, abrir cuentas bancarias y comprometer a la organización, y esto coincide con la Matriz de Delegación de Autoridad.</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Nuestros mandatos bancarios exigen </w:t>
      </w:r>
      <w:r>
        <w:rPr>
          <w:rFonts w:ascii="Nunito Sans" w:cs="Nunito Sans" w:eastAsia="Nunito Sans" w:hAnsi="Nunito Sans"/>
          <w:color w:val="102E3B"/>
          <w:sz w:val="20"/>
          <w:szCs w:val="20"/>
          <w:highlight w:val="yellow"/>
        </w:rPr>
        <w:t xml:space="preserve">[dos]</w:t>
      </w:r>
      <w:r>
        <w:rPr>
          <w:rFonts w:ascii="Nunito Sans" w:cs="Nunito Sans" w:eastAsia="Nunito Sans" w:hAnsi="Nunito Sans"/>
          <w:color w:val="102E3B"/>
          <w:sz w:val="20"/>
          <w:szCs w:val="20"/>
        </w:rPr>
        <w:t xml:space="preserve"> personas firmantes autorizadas y solo incluyen a personas que siguen en sus cargos.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Los poderes o cartas de autorización están registrados y se revocan cuando la persona deja la organización.</w:t>
      </w:r>
    </w:p>
    <w:p>
      <w:pPr>
        <w:pStyle w:val="Heading2"/>
        <w:keepNext/>
        <w:spacing w:after="120" w:before="280"/>
      </w:pPr>
      <w:r>
        <w:rPr>
          <w:rFonts w:ascii="DM Serif Display" w:cs="DM Serif Display" w:eastAsia="DM Serif Display" w:hAnsi="DM Serif Display"/>
          <w:color w:val="123C48"/>
          <w:sz w:val="28"/>
          <w:szCs w:val="28"/>
        </w:rPr>
        <w:t xml:space="preserve">5. Situación y registro fiscal</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Sabemos si estamos exentos del impuesto sobre la renta o sobre sociedades, y tenemos una confirmación por escrito.</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Estamos dados de alta en los impuestos que nos aplican, y los pagamos: retenciones del empleador sobre los salarios, seguridad social, e IVA o impuesto sobre las ventas si nuestras ventas superan el umbral.</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Si decimos a las personas donantes que sus donaciones son deducibles, tenemos la autorización correspondiente y emitimos los recibos en la forma exigida.</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Retenemos y pagamos cualquier retención fiscal debida sobre los pagos a contratistas y proveedores extranjeros.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NOTAS FISCALES POR PAÍS</w:t>
            </w:r>
          </w:p>
          <w:p>
            <w:pPr>
              <w:spacing w:after="120" w:before="0" w:line="300"/>
            </w:pPr>
            <w:r>
              <w:rPr>
                <w:rFonts w:ascii="Nunito Sans" w:cs="Nunito Sans" w:eastAsia="Nunito Sans" w:hAnsi="Nunito Sans"/>
                <w:color w:val="102E3B"/>
                <w:sz w:val="19"/>
                <w:szCs w:val="19"/>
              </w:rPr>
              <w:t xml:space="preserve">En muchos países, la exención fiscal y la deducción para las personas donantes son autorizaciones distintas. Ejemplos: en la India, el registro para la exención (conocido durante mucho tiempo como 12A o 12AB) y la autorización para la deducción de las personas donantes (80G), números de sección de la Income-tax Act 1961 que pueden ser distintos en la Income-tax Act 2025, así que comprueba las disposiciones vigentes; en Sudáfrica, la autorización como public benefit organisation y, por separado, la autorización conforme a la sección 18A para los recibos de donación; en los Estados Unidos, la condición 501(c)(3) otorgada por el IRS para las personas donantes estadounidenses. La legislación fiscal cambia con frecuencia, así que pide a una asesoría contable o fiscal local que confirme la situación actual y las fechas de presentación.</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6. Financiación extranjera y registro como ONG</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Hemos comprobado si necesitamos una autorización del Gobierno para recibir fondos extranjeros, y tenemos cualquier autorización exigida.</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La fecha de renovación de nuestro registro o permiso como ONG, organización sin ánimo de lucro o de utilidad pública figura en el calendario de cumplimiento, y todos los informes que exige están al día.</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Hemos comprobado las reglas sobre la transferencia de dinero entre países, el cambio de divisas y la transferencia de fondos a organizaciones socias (subvenciones a socios).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REGLAS SOBRE FINANCIACIÓN EXTRANJERA</w:t>
            </w:r>
          </w:p>
          <w:p>
            <w:pPr>
              <w:spacing w:after="120" w:before="0" w:line="300"/>
            </w:pPr>
            <w:r>
              <w:rPr>
                <w:rFonts w:ascii="Nunito Sans" w:cs="Nunito Sans" w:eastAsia="Nunito Sans" w:hAnsi="Nunito Sans"/>
                <w:color w:val="102E3B"/>
                <w:sz w:val="19"/>
                <w:szCs w:val="19"/>
              </w:rPr>
              <w:t xml:space="preserve">Varios países regulan estrechamente la financiación extranjera. La India es un ejemplo conocido: conforme a la Foreign Contribution (Regulation) Act 2010, modificada en 2020, una organización necesita un registro FCRA o un permiso previo para recibir fondos extranjeros, el registro debe renovarse cada cinco años, los fondos extranjeros deben recibirse primero en una cuenta FCRA designada en la sucursal principal de Nueva Delhi del State Bank of India, y la transferencia de fondos extranjeros a otras organizaciones está restringida. Otros países exigen permisos de ONG que deben renovarse periódicamente, por ejemplo conforme a la NGO Act 2016 de Uganda, o fijan reglas sobre la financiación extranjera y las categorías de registro, por ejemplo la proclamación de 2019 sobre las organizaciones de la sociedad civil de Etiopía. Las reglas cambian y a veces se aplican con rigor, así que confirma los requisitos vigentes con una asesoría jurídica local.</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7. Empleo, voluntariado y personas contratistas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Cada persona empleada tiene un contrato por escrito que cumple los mínimos legales locales (salario, horario, vacaciones, preaviso, periodo de prueba).</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Las personas que tratamos como contratistas o como voluntarias lo son realmente según la ley local, y no son personas empleadas encubiertas.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Estamos inscritos como empleador y pagamos las cotizaciones exigidas (seguridad social, pensiones, salud, accidentes de trabajo).</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Toda persona que no tenga la nacionalidad del país tiene derecho a trabajar, y conservamos copias de los permisos.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Nuestros procedimientos disciplinarios, de reclamaciones y de despido cumplen la legislación laboral local.</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CONDICIÓN LABORAL</w:t>
            </w:r>
          </w:p>
          <w:p>
            <w:pPr>
              <w:spacing w:after="120" w:before="0" w:line="300"/>
            </w:pPr>
            <w:r>
              <w:rPr>
                <w:rFonts w:ascii="Nunito Sans" w:cs="Nunito Sans" w:eastAsia="Nunito Sans" w:hAnsi="Nunito Sans"/>
                <w:color w:val="102E3B"/>
                <w:sz w:val="19"/>
                <w:szCs w:val="19"/>
              </w:rPr>
              <w:t xml:space="preserve">Clasificar erróneamente al personal como contratista o voluntario es uno de los riesgos legales más habituales de las organizaciones pequeñas. Los tribunales suelen fijarse en la realidad, no en la etiqueta: quién controla el trabajo y el horario, si la persona forma parte del equipo, si trabaja solo para ti y quién aporta el equipo de trabajo. La Recomendación sobre la relación de trabajo, 2006 (núm. 198) de la OIT recoge estos indicios. En algunos países, las personas voluntarias que reciben pagos periódicos superiores a sus gastos reales pueden considerarse personas empleadas y tener derecho al salario mínimo. Revisa tu legislación laboral local.</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8. Obligaciones legales de salvaguarda</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Sabemos si la ley nos obliga a denunciar el abuso de niños, niñas y adolescentes o de personas adultas en situación de riesgo, ante quién y en qué plazo.</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Sabemos qué comprobaciones de antecedentes o de antecedentes penales podemos o debemos realizar para los puestos en contacto con niños, niñas y adolescentes o con personas adultas en situación de riesgo, y las realizamos.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Conocemos la ley local sobre la mayoría de edad, el trabajo infantil y el consentimiento para fotos y datos de niños, niñas y adolescentes.</w:t>
      </w:r>
    </w:p>
    <w:p>
      <w:pPr>
        <w:pStyle w:val="Heading2"/>
        <w:keepNext/>
        <w:spacing w:after="120" w:before="280"/>
      </w:pPr>
      <w:r>
        <w:rPr>
          <w:rFonts w:ascii="DM Serif Display" w:cs="DM Serif Display" w:eastAsia="DM Serif Display" w:hAnsi="DM Serif Display"/>
          <w:color w:val="123C48"/>
          <w:sz w:val="28"/>
          <w:szCs w:val="28"/>
        </w:rPr>
        <w:t xml:space="preserve">9. Protección de datos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Sabemos qué leyes de protección de datos nos aplican: donde estamos registrados, donde se encuentran las personas cuyos datos conservamos y donde se almacenan nuestros datos.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Nos hemos inscrito ante la autoridad de protección de datos, o hemos pagado la tasa correspondiente, cuando así se exige.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Tenemos un Aviso de Privacidad, una base jurídica para cada uso de datos personales y formularios de consentimiento cuando nos apoyamos en el consentimiento.</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Conocemos las reglas sobre la transferencia de datos al extranjero y el plazo para notificar una brecha de datos.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INSCRIPCIÓN EN MATERIA DE PROTECCIÓN DE DATOS</w:t>
            </w:r>
          </w:p>
          <w:p>
            <w:pPr>
              <w:spacing w:after="120" w:before="0" w:line="300"/>
            </w:pPr>
            <w:r>
              <w:rPr>
                <w:rFonts w:ascii="Nunito Sans" w:cs="Nunito Sans" w:eastAsia="Nunito Sans" w:hAnsi="Nunito Sans"/>
                <w:color w:val="102E3B"/>
                <w:sz w:val="19"/>
                <w:szCs w:val="19"/>
              </w:rPr>
              <w:t xml:space="preserve">Algunas leyes exigen que las organizaciones se inscriban o paguen una tasa, con exenciones que varían. Ejemplos: Kenia exige la inscripción ante la Office of the Data Protection Commissioner conforme a la Data Protection Act 2019 y a su reglamento de inscripción de 2021; Sudáfrica exige que la persona responsable de la información (information officer) esté inscrita ante el Information Regulator conforme a la POPIA; Nigeria exige que los responsables y encargados del tratamiento "de gran importancia" se inscriban ante la Nigeria Data Protection Commission conforme a la Nigeria Data Protection Act 2023; en el Reino Unido, la mayoría de las organizaciones pagan una tasa de protección de datos a la Information Commissioner's Office, con algunas exenciones para las organizaciones sin ánimo de lucro. Comprueba si te aplican las exenciones para organizaciones pequeñas.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10. Sanciones y financiación del terrorismo</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Sabemos qué listas de sanciones nos exigen consultar nuestros financiadores (normalmente la Lista Consolidada del Consejo de Seguridad de las Naciones Unidas y, a menudo, las listas de la OFAC de EE. UU., de la UE y del Reino Unido).</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Antes de contratar, cotejamos con esas listas a las organizaciones socias, a las entidades receptoras de subvenciones, a los proveedores principales y a </w:t>
      </w:r>
      <w:r>
        <w:rPr>
          <w:rFonts w:ascii="Nunito Sans" w:cs="Nunito Sans" w:eastAsia="Nunito Sans" w:hAnsi="Nunito Sans"/>
          <w:color w:val="102E3B"/>
          <w:sz w:val="20"/>
          <w:szCs w:val="20"/>
          <w:highlight w:val="yellow"/>
        </w:rPr>
        <w:t xml:space="preserve">[el personal]</w:t>
      </w:r>
      <w:r>
        <w:rPr>
          <w:rFonts w:ascii="Nunito Sans" w:cs="Nunito Sans" w:eastAsia="Nunito Sans" w:hAnsi="Nunito Sans"/>
          <w:color w:val="102E3B"/>
          <w:sz w:val="20"/>
          <w:szCs w:val="20"/>
        </w:rPr>
        <w:t xml:space="preserve">, y dejamos constancia del resultado, como establece nuestra Política de Debida Diligencia de Socios y Control de Sanciones.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Entendemos las cláusulas antiterroristas de nuestros acuerdos de subvención y aplicamos un enfoque basado en el riesgo, como espera la Recomendación 8 del GAFI.</w:t>
      </w:r>
    </w:p>
    <w:p>
      <w:pPr>
        <w:pStyle w:val="Heading2"/>
        <w:keepNext/>
        <w:spacing w:after="120" w:before="280"/>
      </w:pPr>
      <w:r>
        <w:rPr>
          <w:rFonts w:ascii="DM Serif Display" w:cs="DM Serif Display" w:eastAsia="DM Serif Display" w:hAnsi="DM Serif Display"/>
          <w:color w:val="123C48"/>
          <w:sz w:val="28"/>
          <w:szCs w:val="28"/>
        </w:rPr>
        <w:t xml:space="preserve">11. Condiciones de los financiadores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Hemos identificado las condiciones de cada subvención vigente (costos elegibles, compras, informes, auditoría, imagen de marca, datos, salvaguarda, notificación de incidentes), con plazos y personas responsables.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Trasladamos las condiciones de los financiadores a las organizaciones socias (traslado obligatorio o "flow-down") en nuestro Acuerdo de Subvención a Socios cuando el financiador lo exige.</w:t>
      </w:r>
    </w:p>
    <w:p>
      <w:pPr>
        <w:pStyle w:val="Heading2"/>
        <w:keepNext/>
        <w:spacing w:after="120" w:before="280"/>
      </w:pPr>
      <w:r>
        <w:rPr>
          <w:rFonts w:ascii="DM Serif Display" w:cs="DM Serif Display" w:eastAsia="DM Serif Display" w:hAnsi="DM Serif Display"/>
          <w:color w:val="123C48"/>
          <w:sz w:val="28"/>
          <w:szCs w:val="28"/>
        </w:rPr>
        <w:t xml:space="preserve">12. Registro de contratos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Llevamos un registro de todos los contratos, arrendamientos, memorandos de entendimiento y acuerdos de subvención, con sus fechas de renovación y terminación.</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Nuestros contratos clave se han revisado en cuanto a la ley aplicable, la responsabilidad, las indemnizaciones, la propiedad intelectual, los datos y la terminación.</w:t>
      </w:r>
    </w:p>
    <w:p>
      <w:pPr>
        <w:pStyle w:val="Heading2"/>
        <w:keepNext/>
        <w:spacing w:after="120" w:before="280"/>
      </w:pPr>
      <w:r>
        <w:rPr>
          <w:rFonts w:ascii="DM Serif Display" w:cs="DM Serif Display" w:eastAsia="DM Serif Display" w:hAnsi="DM Serif Display"/>
          <w:color w:val="123C48"/>
          <w:sz w:val="28"/>
          <w:szCs w:val="28"/>
        </w:rPr>
        <w:t xml:space="preserve">13. Seguros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Tenemos todos los seguros que exige la ley (por ejemplo, el de responsabilidad del empleador o de accidentes de trabajo, y el de responsabilidad civil de vehículos frente a terceros).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Hemos considerado, y decidido por escrito, sobre los seguros de responsabilidad civil general, de responsabilidad profesional, de responsabilidad de los miembros del órgano de gobierno o de los administradores, de bienes y equipos, de viaje y evacuación médica, y de riesgos cibernéticos.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Nuestras pólizas cubren al voluntariado, todos los países en los que trabajamos y todas nuestras actividades, incluidos los eventos y el trabajo con niños, niñas y adolescentes.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SEGUROS</w:t>
            </w:r>
          </w:p>
          <w:p>
            <w:pPr>
              <w:spacing w:after="120" w:before="0" w:line="300"/>
            </w:pPr>
            <w:r>
              <w:rPr>
                <w:rFonts w:ascii="Nunito Sans" w:cs="Nunito Sans" w:eastAsia="Nunito Sans" w:hAnsi="Nunito Sans"/>
                <w:color w:val="102E3B"/>
                <w:sz w:val="19"/>
                <w:szCs w:val="19"/>
              </w:rPr>
              <w:t xml:space="preserve">La cobertura obligatoria varía. Por ejemplo, el seguro de responsabilidad del empleador es obligatorio para la mayoría de los empleadores en Gran Bretaña; la Work Injury Benefits Act 2007 de Kenia obliga a los empleadores a asegurar a sus personas empleadas; en Sudáfrica, los empleadores se inscriben conforme a la Compensation for Occupational Injuries and Diseases Act 1993. El seguro de responsabilidad de los miembros del órgano de gobierno o de los administradores (a veces llamado D&amp;O) es opcional, pero protege personalmente a los miembros del órgano de gobierno. La cobertura de viaje y evacuación médica es más importante cuando el personal viaja a zonas con atención sanitaria limitada. Algunos financiadores especifican una cobertura mínima en el acuerdo de subvención. Pide presupuestos a una correduría de seguros y deja constancia de las decisiones de no asegurar.</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14. Propiedad intelectual y marca</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Hemos comprobado que nuestro nombre y nuestro logotipo no entran en conflicto con otros, los hemos registrado como marcas cuando resulta útil, y nuestros nombres de dominio están a nombre de la organización.</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Somos titulares, o tenemos licencia, de los materiales creados por el personal, las personas contratistas y el voluntariado, y tenemos licencias para el software, las imágenes, la música y las tipografías que usamos.</w:t>
      </w:r>
    </w:p>
    <w:p>
      <w:pPr>
        <w:pStyle w:val="Heading2"/>
        <w:keepNext/>
        <w:spacing w:after="120" w:before="280"/>
      </w:pPr>
      <w:r>
        <w:rPr>
          <w:rFonts w:ascii="DM Serif Display" w:cs="DM Serif Display" w:eastAsia="DM Serif Display" w:hAnsi="DM Serif Display"/>
          <w:color w:val="123C48"/>
          <w:sz w:val="28"/>
          <w:szCs w:val="28"/>
        </w:rPr>
        <w:t xml:space="preserve">15. Recaudación de fondos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Tenemos los permisos necesarios para colectas públicas, rifas, loterías o eventos de recaudación de fondos, y seguimos cualquier código de recaudación de fondos o registro que se aplique.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Nuestras afirmaciones en la recaudación de fondos son exactas, y cumplimos la ley sobre el contacto con las personas donantes y el uso de sus datos.</w:t>
      </w:r>
    </w:p>
    <w:p>
      <w:pPr>
        <w:pStyle w:val="Heading2"/>
        <w:keepNext/>
        <w:spacing w:after="120" w:before="280"/>
      </w:pPr>
      <w:r>
        <w:rPr>
          <w:rFonts w:ascii="DM Serif Display" w:cs="DM Serif Display" w:eastAsia="DM Serif Display" w:hAnsi="DM Serif Display"/>
          <w:color w:val="123C48"/>
          <w:sz w:val="28"/>
          <w:szCs w:val="28"/>
        </w:rPr>
        <w:t xml:space="preserve">16. Venta de bienes o servicios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Si vendemos bienes o servicios, nuestras condiciones de venta, devoluciones, seguridad de los productos, etiquetado y precios (impuestos incluidos) cumplen la legislación de consumo.</w:t>
      </w:r>
    </w:p>
    <w:p>
      <w:pPr>
        <w:pStyle w:val="Heading2"/>
        <w:keepNext/>
        <w:spacing w:after="120" w:before="280"/>
      </w:pPr>
      <w:r>
        <w:rPr>
          <w:rFonts w:ascii="DM Serif Display" w:cs="DM Serif Display" w:eastAsia="DM Serif Display" w:hAnsi="DM Serif Display"/>
          <w:color w:val="123C48"/>
          <w:sz w:val="28"/>
          <w:szCs w:val="28"/>
        </w:rPr>
        <w:t xml:space="preserve">17. Registros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Nuestro Calendario de Conservación de Registros cumple los plazos legales mínimos para los registros contables, fiscales, laborales y de salvaguarda, y nuestros registros se guardan de forma segura.</w:t>
      </w:r>
    </w:p>
    <w:p>
      <w:pPr>
        <w:pStyle w:val="Heading1"/>
        <w:keepNext/>
        <w:spacing w:after="160" w:before="360"/>
      </w:pPr>
      <w:r>
        <w:rPr>
          <w:rFonts w:ascii="DM Serif Display" w:cs="DM Serif Display" w:eastAsia="DM Serif Display" w:hAnsi="DM Serif Display"/>
          <w:color w:val="123C48"/>
          <w:sz w:val="40"/>
          <w:szCs w:val="40"/>
        </w:rPr>
        <w:t xml:space="preserve">Cuestionario para la asesoría</w:t>
      </w:r>
    </w:p>
    <w:p>
      <w:pPr>
        <w:spacing w:after="120" w:before="0" w:line="300"/>
      </w:pPr>
      <w:r>
        <w:rPr>
          <w:rFonts w:ascii="Nunito Sans" w:cs="Nunito Sans" w:eastAsia="Nunito Sans" w:hAnsi="Nunito Sans"/>
          <w:color w:val="102E3B"/>
          <w:sz w:val="20"/>
          <w:szCs w:val="20"/>
        </w:rPr>
        <w:t xml:space="preserve">Copie aquí como pregunta cada punto sin marcar. Añada preguntas sobre cualquier nuevo documento que prevea adoptar. Envíe el cuestionario a su asesoría antes de la reunión.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2476"/>
        <w:gridCol w:w="2285"/>
        <w:gridCol w:w="2097"/>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PREGUNTA</w:t>
            </w:r>
          </w:p>
        </w:tc>
        <w:tc>
          <w:tcPr>
            <w:tcW w:type="dxa" w:w="247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POR QUÉ IMPORTA</w:t>
            </w:r>
          </w:p>
        </w:tc>
        <w:tc>
          <w:tcPr>
            <w:tcW w:type="dxa" w:w="2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RESPUESTA</w:t>
            </w:r>
          </w:p>
        </w:tc>
        <w:tc>
          <w:tcPr>
            <w:tcW w:type="dxa" w:w="209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ACCIÓN Y PERSONA RESPONSABLE</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¿Son personas empleadas según la ley local nuestras dos personas facilitadoras de campo, aunque sus contratos digan "consultoría"?</w:t>
            </w:r>
          </w:p>
        </w:tc>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Salarios atrasados, sanciones de seguridad social, demandas por despido improcedente</w:t>
            </w:r>
          </w:p>
        </w:tc>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09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 ej., Firmar contratos de trabajo antes de junio; Nombre]</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¿Debemos inscribirnos ante la autoridad de protección de datos, y en qué plazo?</w:t>
            </w:r>
          </w:p>
        </w:tc>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Multas; cláusulas de datos de los financiadores</w:t>
            </w:r>
          </w:p>
        </w:tc>
        <w:tc>
          <w:tcPr>
            <w:tcW w:type="dxa" w:w="2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09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¿Nos permiten nuestros estatutos vender formación a otras organizaciones?</w:t>
            </w:r>
          </w:p>
        </w:tc>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Actividad fuera de nuestros fines; exención fiscal</w:t>
            </w:r>
          </w:p>
        </w:tc>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09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¿Podemos transferir parte de la nueva subvención a una organización socia en </w:t>
            </w:r>
            <w:r>
              <w:rPr>
                <w:rFonts w:ascii="Nunito Sans" w:cs="Nunito Sans" w:eastAsia="Nunito Sans" w:hAnsi="Nunito Sans"/>
                <w:color w:val="102E3B"/>
                <w:sz w:val="18"/>
                <w:szCs w:val="18"/>
                <w:highlight w:val="yellow"/>
              </w:rPr>
              <w:t xml:space="preserve">[país]</w:t>
            </w:r>
            <w:r>
              <w:rPr>
                <w:rFonts w:ascii="Nunito Sans" w:cs="Nunito Sans" w:eastAsia="Nunito Sans" w:hAnsi="Nunito Sans"/>
                <w:color w:val="102E3B"/>
                <w:sz w:val="18"/>
                <w:szCs w:val="18"/>
              </w:rPr>
              <w:t xml:space="preserve">?</w:t>
            </w:r>
          </w:p>
        </w:tc>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Reglas sobre financiación extranjera y cambio de divisas; aprobación del financiador</w:t>
            </w:r>
          </w:p>
        </w:tc>
        <w:tc>
          <w:tcPr>
            <w:tcW w:type="dxa" w:w="2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09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¿Nos obliga la ley a denunciar las sospechas de abuso infantil, y ante qué autoridad?</w:t>
            </w:r>
          </w:p>
        </w:tc>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Obligación legal; seguridad de niños, niñas y adolescentes</w:t>
            </w:r>
          </w:p>
        </w:tc>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09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¿Es este nuevo Acuerdo de Voluntariado coherente con la legislación laboral local?</w:t>
            </w:r>
          </w:p>
        </w:tc>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Riesgo de que las personas voluntarias pasen a ser personas empleadas</w:t>
            </w:r>
          </w:p>
        </w:tc>
        <w:tc>
          <w:tcPr>
            <w:tcW w:type="dxa" w:w="2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09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09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09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bl>
    <w:p>
      <w:pPr>
        <w:spacing w:after="120"/>
      </w:pPr>
    </w:p>
    <w:p>
      <w:pPr>
        <w:spacing w:after="120" w:before="0" w:line="300"/>
      </w:pPr>
      <w:r>
        <w:rPr>
          <w:rFonts w:ascii="Nunito Sans" w:cs="Nunito Sans" w:eastAsia="Nunito Sans" w:hAnsi="Nunito Sans"/>
          <w:color w:val="102E3B"/>
          <w:sz w:val="20"/>
          <w:szCs w:val="20"/>
        </w:rPr>
        <w:t xml:space="preserve">Las filas de ejemplo muestran el tipo de pregunta que conviene hacer. Sustitúyalas por las suyas.</w:t>
      </w:r>
    </w:p>
    <w:p>
      <w:pPr>
        <w:pStyle w:val="Heading1"/>
        <w:keepNext/>
        <w:spacing w:after="160" w:before="360"/>
      </w:pPr>
      <w:r>
        <w:rPr>
          <w:rFonts w:ascii="DM Serif Display" w:cs="DM Serif Display" w:eastAsia="DM Serif Display" w:hAnsi="DM Serif Display"/>
          <w:color w:val="123C48"/>
          <w:sz w:val="40"/>
          <w:szCs w:val="40"/>
        </w:rPr>
        <w:t xml:space="preserve">Validación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Completado por: nombre y cargo</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Revisado por (asesoría): nombre y organización</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Comunicado al órgano de gobierno el</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Referencia del acta del órgano de gobierno</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Guía: cómo obtener asesoramiento jurídico de bajo costo</w:t>
      </w:r>
    </w:p>
    <w:p>
      <w:pPr>
        <w:spacing w:after="120" w:before="0" w:line="300"/>
      </w:pPr>
      <w:r>
        <w:rPr>
          <w:rFonts w:ascii="Nunito Sans" w:cs="Nunito Sans" w:eastAsia="Nunito Sans" w:hAnsi="Nunito Sans"/>
          <w:color w:val="102E3B"/>
          <w:sz w:val="20"/>
          <w:szCs w:val="20"/>
        </w:rPr>
        <w:t xml:space="preserve">No necesita una iguala costosa para obtener un buen asesoramiento. Prepárese bien, haga preguntas concretas y use estas vías:</w:t>
      </w:r>
    </w:p>
    <w:p>
      <w:pPr>
        <w:pStyle w:val="ListParagraph"/>
        <w:numPr>
          <w:ilvl w:val="0"/>
          <w:numId w:val="4"/>
        </w:numPr>
        <w:spacing w:after="80" w:line="290"/>
      </w:pPr>
      <w:r>
        <w:rPr>
          <w:rFonts w:ascii="Nunito Sans" w:cs="Nunito Sans" w:eastAsia="Nunito Sans" w:hAnsi="Nunito Sans"/>
          <w:b/>
          <w:bCs/>
          <w:color w:val="102E3B"/>
          <w:sz w:val="20"/>
          <w:szCs w:val="20"/>
        </w:rPr>
        <w:t xml:space="preserve">Programas pro bono.</w:t>
      </w:r>
      <w:r>
        <w:rPr>
          <w:rFonts w:ascii="Nunito Sans" w:cs="Nunito Sans" w:eastAsia="Nunito Sans" w:hAnsi="Nunito Sans"/>
          <w:color w:val="102E3B"/>
          <w:sz w:val="20"/>
          <w:szCs w:val="20"/>
        </w:rPr>
        <w:t xml:space="preserve"> TrustLaw, gestionado por la Thomson Reuters Foundation, pone en contacto a ONG y empresas sociales de muchos países con despachos de abogados que asesoran gratuitamente. Advocates for International Development (A4ID) gestiona ayuda jurídica gratuita para organizaciones que trabajan en desarrollo. PILnet apoya redes pro bono en varias regiones. Cada una tiene criterios de elegibilidad; compruébelos antes de presentar una solicitud.</w:t>
      </w:r>
    </w:p>
    <w:p>
      <w:pPr>
        <w:pStyle w:val="ListParagraph"/>
        <w:numPr>
          <w:ilvl w:val="0"/>
          <w:numId w:val="4"/>
        </w:numPr>
        <w:spacing w:after="80" w:line="290"/>
      </w:pPr>
      <w:r>
        <w:rPr>
          <w:rFonts w:ascii="Nunito Sans" w:cs="Nunito Sans" w:eastAsia="Nunito Sans" w:hAnsi="Nunito Sans"/>
          <w:b/>
          <w:bCs/>
          <w:color w:val="102E3B"/>
          <w:sz w:val="20"/>
          <w:szCs w:val="20"/>
        </w:rPr>
        <w:t xml:space="preserve">Clínicas jurídicas universitarias.</w:t>
      </w:r>
      <w:r>
        <w:rPr>
          <w:rFonts w:ascii="Nunito Sans" w:cs="Nunito Sans" w:eastAsia="Nunito Sans" w:hAnsi="Nunito Sans"/>
          <w:color w:val="102E3B"/>
          <w:sz w:val="20"/>
          <w:szCs w:val="20"/>
        </w:rPr>
        <w:t xml:space="preserve"> Muchas facultades de Derecho tienen clínicas en las que estudiantes supervisados ayudan a organizaciones sin ánimo de lucro con el registro, los documentos de gobierno y las cuestiones laborales.</w:t>
      </w:r>
    </w:p>
    <w:p>
      <w:pPr>
        <w:pStyle w:val="ListParagraph"/>
        <w:numPr>
          <w:ilvl w:val="0"/>
          <w:numId w:val="4"/>
        </w:numPr>
        <w:spacing w:after="80" w:line="290"/>
      </w:pPr>
      <w:r>
        <w:rPr>
          <w:rFonts w:ascii="Nunito Sans" w:cs="Nunito Sans" w:eastAsia="Nunito Sans" w:hAnsi="Nunito Sans"/>
          <w:b/>
          <w:bCs/>
          <w:color w:val="102E3B"/>
          <w:sz w:val="20"/>
          <w:szCs w:val="20"/>
        </w:rPr>
        <w:t xml:space="preserve">Plataformas y redes nacionales de ONG.</w:t>
      </w:r>
      <w:r>
        <w:rPr>
          <w:rFonts w:ascii="Nunito Sans" w:cs="Nunito Sans" w:eastAsia="Nunito Sans" w:hAnsi="Nunito Sans"/>
          <w:color w:val="102E3B"/>
          <w:sz w:val="20"/>
          <w:szCs w:val="20"/>
        </w:rPr>
        <w:t xml:space="preserve"> Suelen ofrecer revisión de plantillas, líneas de consulta jurídica, formación sobre nuevas leyes y asesoramiento colectivo, y saben cómo aplican las reglas los reguladores en la práctica.</w:t>
      </w:r>
    </w:p>
    <w:p>
      <w:pPr>
        <w:pStyle w:val="ListParagraph"/>
        <w:numPr>
          <w:ilvl w:val="0"/>
          <w:numId w:val="4"/>
        </w:numPr>
        <w:spacing w:after="80" w:line="290"/>
      </w:pPr>
      <w:r>
        <w:rPr>
          <w:rFonts w:ascii="Nunito Sans" w:cs="Nunito Sans" w:eastAsia="Nunito Sans" w:hAnsi="Nunito Sans"/>
          <w:b/>
          <w:bCs/>
          <w:color w:val="102E3B"/>
          <w:sz w:val="20"/>
          <w:szCs w:val="20"/>
        </w:rPr>
        <w:t xml:space="preserve">Colegios de abogados.</w:t>
      </w:r>
      <w:r>
        <w:rPr>
          <w:rFonts w:ascii="Nunito Sans" w:cs="Nunito Sans" w:eastAsia="Nunito Sans" w:hAnsi="Nunito Sans"/>
          <w:color w:val="102E3B"/>
          <w:sz w:val="20"/>
          <w:szCs w:val="20"/>
        </w:rPr>
        <w:t xml:space="preserve"> Algunos gestionan programas pro bono o servicios de derivación.</w:t>
      </w:r>
    </w:p>
    <w:p>
      <w:pPr>
        <w:pStyle w:val="ListParagraph"/>
        <w:numPr>
          <w:ilvl w:val="0"/>
          <w:numId w:val="4"/>
        </w:numPr>
        <w:spacing w:after="80" w:line="290"/>
      </w:pPr>
      <w:r>
        <w:rPr>
          <w:rFonts w:ascii="Nunito Sans" w:cs="Nunito Sans" w:eastAsia="Nunito Sans" w:hAnsi="Nunito Sans"/>
          <w:b/>
          <w:bCs/>
          <w:color w:val="102E3B"/>
          <w:sz w:val="20"/>
          <w:szCs w:val="20"/>
        </w:rPr>
        <w:t xml:space="preserve">Fuentes de referencia.</w:t>
      </w:r>
      <w:r>
        <w:rPr>
          <w:rFonts w:ascii="Nunito Sans" w:cs="Nunito Sans" w:eastAsia="Nunito Sans" w:hAnsi="Nunito Sans"/>
          <w:color w:val="102E3B"/>
          <w:sz w:val="20"/>
          <w:szCs w:val="20"/>
        </w:rPr>
        <w:t xml:space="preserve"> El International Center for Not-for-Profit Law (ICNL) publica información por país sobre las leyes que rigen la sociedad civil.</w:t>
      </w:r>
    </w:p>
    <w:p>
      <w:pPr>
        <w:pStyle w:val="ListParagraph"/>
        <w:numPr>
          <w:ilvl w:val="0"/>
          <w:numId w:val="4"/>
        </w:numPr>
        <w:spacing w:after="80" w:line="290"/>
      </w:pPr>
      <w:r>
        <w:rPr>
          <w:rFonts w:ascii="Nunito Sans" w:cs="Nunito Sans" w:eastAsia="Nunito Sans" w:hAnsi="Nunito Sans"/>
          <w:b/>
          <w:bCs/>
          <w:color w:val="102E3B"/>
          <w:sz w:val="20"/>
          <w:szCs w:val="20"/>
        </w:rPr>
        <w:t xml:space="preserve">Asesorías contables y firmas auditoras</w:t>
      </w:r>
      <w:r>
        <w:rPr>
          <w:rFonts w:ascii="Nunito Sans" w:cs="Nunito Sans" w:eastAsia="Nunito Sans" w:hAnsi="Nunito Sans"/>
          <w:color w:val="102E3B"/>
          <w:sz w:val="20"/>
          <w:szCs w:val="20"/>
        </w:rPr>
        <w:t xml:space="preserve"> para las cuestiones fiscales y de presentación, y </w:t>
      </w:r>
      <w:r>
        <w:rPr>
          <w:rFonts w:ascii="Nunito Sans" w:cs="Nunito Sans" w:eastAsia="Nunito Sans" w:hAnsi="Nunito Sans"/>
          <w:b/>
          <w:bCs/>
          <w:color w:val="102E3B"/>
          <w:sz w:val="20"/>
          <w:szCs w:val="20"/>
        </w:rPr>
        <w:t xml:space="preserve">corredurías de seguros</w:t>
      </w:r>
      <w:r>
        <w:rPr>
          <w:rFonts w:ascii="Nunito Sans" w:cs="Nunito Sans" w:eastAsia="Nunito Sans" w:hAnsi="Nunito Sans"/>
          <w:color w:val="102E3B"/>
          <w:sz w:val="20"/>
          <w:szCs w:val="20"/>
        </w:rPr>
        <w:t xml:space="preserve"> para la cobertura.</w:t>
      </w:r>
    </w:p>
    <w:p>
      <w:pPr>
        <w:spacing w:after="120" w:before="0" w:line="300"/>
      </w:pPr>
      <w:r>
        <w:rPr>
          <w:rFonts w:ascii="Nunito Sans" w:cs="Nunito Sans" w:eastAsia="Nunito Sans" w:hAnsi="Nunito Sans"/>
          <w:color w:val="102E3B"/>
          <w:sz w:val="20"/>
          <w:szCs w:val="20"/>
        </w:rPr>
        <w:t xml:space="preserve">Cuando use asesoramiento gratuito, anote las respuestas, confírmelas por correo electrónico con la persona asesora y anote la fecha: la ley cambia. Para cualquier asunto de alto riesgo, como un despido, una controversia, una investigación de un regulador o un caso grave de salvaguarda, pague un asesoramiento especializado si es necesario.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ASESORÍAS EN TU PAÍS</w:t>
            </w:r>
          </w:p>
          <w:p>
            <w:pPr>
              <w:spacing w:after="120" w:before="0" w:line="300"/>
            </w:pPr>
            <w:r>
              <w:rPr>
                <w:rFonts w:ascii="Nunito Sans" w:cs="Nunito Sans" w:eastAsia="Nunito Sans" w:hAnsi="Nunito Sans"/>
                <w:color w:val="102E3B"/>
                <w:sz w:val="19"/>
                <w:szCs w:val="19"/>
              </w:rPr>
              <w:t xml:space="preserve">Añade los nombres y contactos de las asesorías, clínicas y plataformas de ONG que hayas usado o prevés usar en cada país en el que trabajas. Mantén esta lista actualizada y compártela con el órgano de gobierno.</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Historial del documento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VERSIÓN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FECHA</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QUÉ CAMBIÓ</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APROBADO POR</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de mes de AAAA]</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Primera versión, adaptada de la plantilla Lista de Verificación para Revisión Legal de Method into Impact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cargo]</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Adaptado de una plantilla de Method into Impact · Mejores bases. Organizaciones más fuertes.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E8253770-E378-9498-4135-4EA9D9892E56}"/>
  </w:font>
  <w:font w:name="DM Serif Display">
    <w:family w:val="auto"/>
    <w:pitch w:val="variable"/>
    <w:sig w:usb0="E0002AFF" w:usb1="C000247B" w:usb2="00000009" w:usb3="00000000" w:csb0="000001FF" w:csb1="00000000"/>
    <w:embedRegular r:id="rId2" w:fontKey="{A3983F7A-3558-3702-A879-B02D0DFF6DCD}"/>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[Nombre de la organización]</w:t>
    </w:r>
    <w:r>
      <w:rPr>
        <w:rFonts w:ascii="Nunito Sans" w:cs="Nunito Sans" w:eastAsia="Nunito Sans" w:hAnsi="Nunito Sans"/>
        <w:color w:val="5B6F78"/>
        <w:sz w:val="14"/>
        <w:szCs w:val="14"/>
      </w:rPr>
      <w:t xml:space="preserve">  |  Lista de Verificación para Revisión Legal  |  Versión [1.0]  |  Plantilla de Method into Impact, edición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LISTA DE VERIFICACIÓN PARA REVISIÓN LEGAL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84047304b5248b738443469294e6487b5bff68d.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Lista de Verificación para Revisión Legal</dc:title>
  <dc:creator>Method into Impact</dc:creator>
  <dc:description>Una lista de verificación de sí o no que [[Nombre de la organización]] completa antes de adoptar un nuevo documento, y una vez al año como revisión de salud legal, y que después lleva a una asesoría jurídica junto con un breve cuestionario de preguntas.</dc:description>
  <cp:lastModifiedBy>Un-named</cp:lastModifiedBy>
  <cp:revision>1</cp:revision>
  <dcterms:created xsi:type="dcterms:W3CDTF">2026-10-29T06:08:31.501Z</dcterms:created>
  <dcterms:modified xsi:type="dcterms:W3CDTF">2026-10-29T06:08:31.501Z</dcterms:modified>
</cp:coreProperties>
</file>

<file path=docProps/custom.xml><?xml version="1.0" encoding="utf-8"?>
<Properties xmlns="http://schemas.openxmlformats.org/officeDocument/2006/custom-properties" xmlns:vt="http://schemas.openxmlformats.org/officeDocument/2006/docPropsVTypes"/>
</file>