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200" w:before="0"/>
      </w:pPr>
      <w:r>
        <w:rPr>
          <w:rFonts w:ascii="Nunito Sans" w:cs="Nunito Sans" w:eastAsia="Nunito Sans" w:hAnsi="Nunito Sans"/>
          <w:b/>
          <w:bCs/>
          <w:color w:val="D8EEE2"/>
          <w:spacing w:val="40"/>
          <w:sz w:val="17"/>
          <w:szCs w:val="17"/>
        </w:rPr>
        <w:t xml:space="preserve">PROCEDURE TEMPLATE · DATA PROTECTION</w:t>
      </w:r>
    </w:p>
    <w:p>
      <w:pPr>
        <w:spacing w:after="360" w:line="360" w:lineRule="atLeast"/>
      </w:pPr>
      <w:r>
        <w:rPr>
          <w:rFonts w:ascii="Nunito Sans" w:cs="Nunito Sans" w:eastAsia="Nunito Sans" w:hAnsi="Nunito Sans"/>
          <w:b/>
          <w:bCs/>
          <w:color w:val="102E3B"/>
          <w:sz w:val="24"/>
          <w:szCs w:val="24"/>
          <w:highlight w:val="yellow"/>
        </w:rPr>
        <w:t xml:space="preserve">[Organisation name]</w:t>
      </w:r>
    </w:p>
    <w:p>
      <w:pPr>
        <w:spacing w:after="280" w:before="120" w:line="920" w:lineRule="atLeast"/>
      </w:pPr>
      <w:r>
        <w:rPr>
          <w:rFonts w:ascii="DM Serif Display" w:cs="DM Serif Display" w:eastAsia="DM Serif Display" w:hAnsi="DM Serif Display"/>
          <w:color w:val="FFFAF3"/>
          <w:sz w:val="76"/>
          <w:szCs w:val="76"/>
        </w:rPr>
        <w:t xml:space="preserve">Data Breach Response Procedure</w:t>
      </w:r>
    </w:p>
    <w:p>
      <w:pPr>
        <w:spacing w:after="280"/>
      </w:pPr>
      <w:r>
        <w:rPr>
          <w:rFonts w:ascii="Nunito Sans" w:cs="Nunito Sans" w:eastAsia="Nunito Sans" w:hAnsi="Nunito Sans"/>
          <w:color w:val="E56F4A"/>
          <w:sz w:val="20"/>
          <w:szCs w:val="20"/>
        </w:rPr>
        <w:t xml:space="preserve">————</w:t>
      </w:r>
    </w:p>
    <w:p>
      <w:pPr>
        <w:spacing w:after="0" w:line="320"/>
        <w:ind w:right="3200"/>
      </w:pPr>
      <w:r>
        <w:rPr>
          <w:rFonts w:ascii="Nunito Sans" w:cs="Nunito Sans" w:eastAsia="Nunito Sans" w:hAnsi="Nunito Sans"/>
          <w:color w:val="D8EEE2"/>
          <w:sz w:val="21"/>
          <w:szCs w:val="21"/>
        </w:rPr>
        <w:t xml:space="preserve">What </w:t>
      </w:r>
      <w:r>
        <w:rPr>
          <w:rFonts w:ascii="Nunito Sans" w:cs="Nunito Sans" w:eastAsia="Nunito Sans" w:hAnsi="Nunito Sans"/>
          <w:color w:val="102E3B"/>
          <w:sz w:val="21"/>
          <w:szCs w:val="21"/>
          <w:highlight w:val="yellow"/>
        </w:rPr>
        <w:t xml:space="preserve">[Organisation name]</w:t>
      </w:r>
      <w:r>
        <w:rPr>
          <w:rFonts w:ascii="Nunito Sans" w:cs="Nunito Sans" w:eastAsia="Nunito Sans" w:hAnsi="Nunito Sans"/>
          <w:color w:val="D8EEE2"/>
          <w:sz w:val="21"/>
          <w:szCs w:val="21"/>
        </w:rPr>
        <w:t xml:space="preserve"> does in the first hour, the first day and the first three days after personal information is lost, stolen, exposed or sent to the wrong person.</w:t>
      </w:r>
    </w:p>
    <w:p>
      <w:pPr>
        <w:sectPr>
          <w:pgSz w:w="11906" w:h="16838" w:orient="portrait"/>
          <w:pgMar w:top="5300" w:right="1200" w:bottom="1000" w:left="1410" w:header="0" w:footer="0" w:gutter="0"/>
          <w:pgNumType/>
          <w:docGrid w:linePitch="360"/>
        </w:sectPr>
      </w:pPr>
    </w:p>
    <w:p>
      <w:pPr>
        <w:spacing w:after="120"/>
      </w:pPr>
      <w:r>
        <w:rPr>
          <w:rFonts w:ascii="Nunito Sans" w:cs="Nunito Sans" w:eastAsia="Nunito Sans" w:hAnsi="Nunito Sans"/>
          <w:b/>
          <w:bCs/>
          <w:color w:val="FFFFFF"/>
          <w:spacing w:val="30"/>
          <w:sz w:val="15"/>
          <w:szCs w:val="15"/>
          <w:shd w:fill="E56F4A" w:color="auto" w:val="clear"/>
        </w:rPr>
        <w:t xml:space="preserve">DELETE THIS PAGE BEFORE USE</w:t>
      </w:r>
    </w:p>
    <w:p>
      <w:pPr>
        <w:keepNext/>
        <w:spacing w:after="80" w:before="0"/>
      </w:pPr>
      <w:r>
        <w:rPr>
          <w:rFonts w:ascii="Nunito Sans" w:cs="Nunito Sans" w:eastAsia="Nunito Sans" w:hAnsi="Nunito Sans"/>
          <w:b/>
          <w:bCs/>
          <w:color w:val="16746E"/>
          <w:spacing w:val="30"/>
          <w:sz w:val="15"/>
          <w:szCs w:val="15"/>
        </w:rPr>
        <w:t xml:space="preserve">METHOD INTO IMPACT · TEMPLATE GUIDE</w:t>
      </w:r>
    </w:p>
    <w:p>
      <w:pPr>
        <w:spacing w:after="160"/>
      </w:pPr>
      <w:r>
        <w:rPr>
          <w:rFonts w:ascii="DM Serif Display" w:cs="DM Serif Display" w:eastAsia="DM Serif Display" w:hAnsi="DM Serif Display"/>
          <w:color w:val="123C48"/>
          <w:sz w:val="40"/>
          <w:szCs w:val="40"/>
        </w:rPr>
        <w:t xml:space="preserve">How to use this template</w:t>
      </w:r>
    </w:p>
    <w:p>
      <w:pPr>
        <w:spacing w:after="120" w:before="0" w:line="270"/>
      </w:pPr>
      <w:r>
        <w:rPr>
          <w:rFonts w:ascii="Nunito Sans" w:cs="Nunito Sans" w:eastAsia="Nunito Sans" w:hAnsi="Nunito Sans"/>
          <w:color w:val="102E3B"/>
          <w:sz w:val="18"/>
          <w:szCs w:val="18"/>
        </w:rPr>
        <w:t xml:space="preserve">Most breaches in small organisations are ordinary accidents: a lost phone, an email to the wrong person, a stolen bag of paper forms. What matters is a fast, calm response that protects the people affected and meets legal deadlines, which can be as short as 72 hours. This procedure tells everyone what to do and gives the data protection lead a checklist, a log and notification wording.</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YOU WILL SEE</w:t>
            </w:r>
          </w:p>
        </w:tc>
        <w:tc>
          <w:tcPr>
            <w:tcW w:type="dxa" w:w="6858"/>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WHAT TO DO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highlight w:val="yellow"/>
              </w:rPr>
              <w:t xml:space="preserve">[Yellow highlight]</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Replace with your own details, then remove the highlight (in Word: Home › Text Highlight Colour › No Colour).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Orange-bar boxes headed “Adapt this”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Guidance for you. Make the decision it describes, edit the text around it, then delete the box.</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Square brackets with options, e.g. </w:t>
            </w:r>
            <w:r>
              <w:rPr>
                <w:rFonts w:ascii="Nunito Sans" w:cs="Nunito Sans" w:eastAsia="Nunito Sans" w:hAnsi="Nunito Sans"/>
                <w:color w:val="102E3B"/>
                <w:sz w:val="16"/>
                <w:szCs w:val="16"/>
                <w:highlight w:val="yellow"/>
              </w:rPr>
              <w:t xml:space="preserve">[24 hours / 48 hours]</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Choose one option, or write your own, and delete the rest.</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Green and cream boxes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Part of the finished document. Keep them, and update the wording.</w:t>
            </w:r>
          </w:p>
        </w:tc>
      </w:tr>
    </w:tbl>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WHO USUALLY ASKS FOR IT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Funders and partners in due diligence and in grant and data sharing agreements; data protection regulators; insurers; your board</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TIME TO ADAPT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2–3 hours to adapt</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LEARN IT IN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Course 4 · Protect, Module 10 (Legal, compliance, policies and risk)</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USE IT WITH</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Data Protection Policy · IT and Information Security Policy · Incident Reporting Procedure · Safeguarding Policy and Procedure · Data Sharing Agreement · Risk Register</w:t>
            </w:r>
          </w:p>
        </w:tc>
      </w:tr>
    </w:tbl>
    <w:p>
      <w:pPr>
        <w:spacing w:after="40"/>
      </w:pPr>
    </w:p>
    <w:p>
      <w:pPr>
        <w:keepNext/>
        <w:spacing w:after="80" w:before="120"/>
      </w:pPr>
      <w:r>
        <w:rPr>
          <w:rFonts w:ascii="Nunito Sans" w:cs="Nunito Sans" w:eastAsia="Nunito Sans" w:hAnsi="Nunito Sans"/>
          <w:b/>
          <w:bCs/>
          <w:color w:val="16746E"/>
          <w:spacing w:val="30"/>
          <w:sz w:val="15"/>
          <w:szCs w:val="15"/>
        </w:rPr>
        <w:t xml:space="preserve">FIVE STEPS TO A FINISHED DOCUMENT</w:t>
      </w:r>
    </w:p>
    <w:p>
      <w:pPr>
        <w:pStyle w:val="ListParagraph"/>
        <w:numPr>
          <w:ilvl w:val="0"/>
          <w:numId w:val="2"/>
        </w:numPr>
        <w:spacing w:after="40" w:line="260"/>
      </w:pPr>
      <w:r>
        <w:rPr>
          <w:rFonts w:ascii="Nunito Sans" w:cs="Nunito Sans" w:eastAsia="Nunito Sans" w:hAnsi="Nunito Sans"/>
          <w:color w:val="102E3B"/>
          <w:sz w:val="17"/>
          <w:szCs w:val="17"/>
        </w:rPr>
        <w:t xml:space="preserve">Fill in every yellow field and work through each “Adapt this” box.</w:t>
      </w:r>
    </w:p>
    <w:p>
      <w:pPr>
        <w:pStyle w:val="ListParagraph"/>
        <w:numPr>
          <w:ilvl w:val="0"/>
          <w:numId w:val="2"/>
        </w:numPr>
        <w:spacing w:after="40" w:line="260"/>
      </w:pPr>
      <w:r>
        <w:rPr>
          <w:rFonts w:ascii="Nunito Sans" w:cs="Nunito Sans" w:eastAsia="Nunito Sans" w:hAnsi="Nunito Sans"/>
          <w:color w:val="102E3B"/>
          <w:sz w:val="17"/>
          <w:szCs w:val="17"/>
        </w:rPr>
        <w:t xml:space="preserve">Cut what does not apply to you, and keep the document proportionate to your size.</w:t>
      </w:r>
    </w:p>
    <w:p>
      <w:pPr>
        <w:pStyle w:val="ListParagraph"/>
        <w:numPr>
          <w:ilvl w:val="0"/>
          <w:numId w:val="2"/>
        </w:numPr>
        <w:spacing w:after="40" w:line="260"/>
      </w:pPr>
      <w:r>
        <w:rPr>
          <w:rFonts w:ascii="Nunito Sans" w:cs="Nunito Sans" w:eastAsia="Nunito Sans" w:hAnsi="Nunito Sans"/>
          <w:color w:val="102E3B"/>
          <w:sz w:val="17"/>
          <w:szCs w:val="17"/>
        </w:rPr>
        <w:t xml:space="preserve">Ask a qualified adviser in your country to check it against local law, your funders’ conditions and your sector’s rules. The legal review checklist template can guide that conversation.</w:t>
      </w:r>
    </w:p>
    <w:p>
      <w:pPr>
        <w:pStyle w:val="ListParagraph"/>
        <w:numPr>
          <w:ilvl w:val="0"/>
          <w:numId w:val="2"/>
        </w:numPr>
        <w:spacing w:after="40" w:line="260"/>
      </w:pPr>
      <w:r>
        <w:rPr>
          <w:rFonts w:ascii="Nunito Sans" w:cs="Nunito Sans" w:eastAsia="Nunito Sans" w:hAnsi="Nunito Sans"/>
          <w:color w:val="102E3B"/>
          <w:sz w:val="17"/>
          <w:szCs w:val="17"/>
        </w:rPr>
        <w:t xml:space="preserve">Approve it formally (for example, a board or founder decision), date it and set a review date.</w:t>
      </w:r>
    </w:p>
    <w:p>
      <w:pPr>
        <w:pStyle w:val="ListParagraph"/>
        <w:numPr>
          <w:ilvl w:val="0"/>
          <w:numId w:val="2"/>
        </w:numPr>
        <w:spacing w:after="40" w:line="260"/>
      </w:pPr>
      <w:r>
        <w:rPr>
          <w:rFonts w:ascii="Nunito Sans" w:cs="Nunito Sans" w:eastAsia="Nunito Sans" w:hAnsi="Nunito Sans"/>
          <w:color w:val="102E3B"/>
          <w:sz w:val="17"/>
          <w:szCs w:val="17"/>
        </w:rPr>
        <w:t xml:space="preserve">Tell people about it, ask them to confirm they have read it, and keep it where everyone can find it.</w:t>
      </w:r>
    </w:p>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5B6F78" w:sz="24"/>
              <w:bottom w:val="none" w:color="FFFFFF" w:sz="0"/>
              <w:right w:val="none" w:color="FFFFFF" w:sz="0"/>
            </w:tcBorders>
            <w:shd w:fill="F3F1EC"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5B6F78"/>
                <w:spacing w:val="30"/>
                <w:sz w:val="15"/>
                <w:szCs w:val="15"/>
              </w:rPr>
              <w:t xml:space="preserve">IMPORTANT</w:t>
            </w:r>
          </w:p>
          <w:p>
            <w:pPr>
              <w:spacing w:after="120" w:before="0" w:line="260"/>
            </w:pPr>
            <w:r>
              <w:rPr>
                <w:rFonts w:ascii="Nunito Sans" w:cs="Nunito Sans" w:eastAsia="Nunito Sans" w:hAnsi="Nunito Sans"/>
                <w:color w:val="102E3B"/>
                <w:sz w:val="16"/>
                <w:szCs w:val="16"/>
              </w:rPr>
              <w:t xml:space="preserve">This is a template, not legal advice. It is a general starting point written for small purpose-led organisations working in different countries. Laws, regulators and funders differ, and they change. Method into Impact does not guarantee that this template is complete, current or suitable for your circumstances, and using it does not create an adviser–client relationship. You are responsible for adapting it, getting local advice and approving the final version. Licensed for use within one organisation; please do not resell or republish it.</w:t>
            </w:r>
          </w:p>
        </w:tc>
      </w:tr>
    </w:tbl>
    <w:p>
      <w:r>
        <w:br w:type="page"/>
      </w:r>
    </w:p>
    <w:p>
      <w:pPr>
        <w:keepNext/>
        <w:spacing w:after="80" w:before="0"/>
      </w:pPr>
      <w:r>
        <w:rPr>
          <w:rFonts w:ascii="Nunito Sans" w:cs="Nunito Sans" w:eastAsia="Nunito Sans" w:hAnsi="Nunito Sans"/>
          <w:b/>
          <w:bCs/>
          <w:color w:val="16746E"/>
          <w:spacing w:val="30"/>
          <w:sz w:val="15"/>
          <w:szCs w:val="15"/>
        </w:rPr>
        <w:t xml:space="preserve">DOCUMENT CONTROL</w:t>
      </w:r>
    </w:p>
    <w:p>
      <w:pPr>
        <w:spacing w:after="200"/>
      </w:pPr>
      <w:r>
        <w:rPr>
          <w:rFonts w:ascii="DM Serif Display" w:cs="DM Serif Display" w:eastAsia="DM Serif Display" w:hAnsi="DM Serif Display"/>
          <w:color w:val="123C48"/>
          <w:sz w:val="40"/>
          <w:szCs w:val="40"/>
        </w:rPr>
        <w:t xml:space="preserve">About this document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DOCUMENT</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Data Breach Response Procedure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TYPE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Procedure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OWNER</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[Name and role of the person responsible]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APPROVED BY</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[Name, role and body, e.g. the board of trustees]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VERSION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[1.0]</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DATE OF APPROVAL</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[DD Month YYYY]</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NEXT REVIEW</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[Month YYYY]</w:t>
            </w:r>
            <w:r>
              <w:rPr>
                <w:rFonts w:ascii="Nunito Sans" w:cs="Nunito Sans" w:eastAsia="Nunito Sans" w:hAnsi="Nunito Sans"/>
                <w:color w:val="102E3B"/>
                <w:sz w:val="19"/>
                <w:szCs w:val="19"/>
              </w:rPr>
              <w:t xml:space="preserve">, or sooner after a serious incident, a change in the law or a major change in how we work</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APPLIES 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Staff, volunteers, interns, board members and contractors who handle personal information for </w:t>
            </w:r>
            <w:r>
              <w:rPr>
                <w:rFonts w:ascii="Nunito Sans" w:cs="Nunito Sans" w:eastAsia="Nunito Sans" w:hAnsi="Nunito Sans"/>
                <w:color w:val="102E3B"/>
                <w:sz w:val="19"/>
                <w:szCs w:val="19"/>
                <w:highlight w:val="yellow"/>
              </w:rPr>
              <w:t xml:space="preserve">[Organisation name]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ORGANISATION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[Legal name, legal form, country of registration and registration number]</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CONTACT</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[privacy@yourorganisation.org]</w:t>
            </w:r>
            <w:r>
              <w:rPr>
                <w:rFonts w:ascii="Nunito Sans" w:cs="Nunito Sans" w:eastAsia="Nunito Sans" w:hAnsi="Nunito Sans"/>
                <w:color w:val="102E3B"/>
                <w:sz w:val="19"/>
                <w:szCs w:val="19"/>
              </w:rPr>
              <w:t xml:space="preserve"> · </w:t>
            </w:r>
            <w:r>
              <w:rPr>
                <w:rFonts w:ascii="Nunito Sans" w:cs="Nunito Sans" w:eastAsia="Nunito Sans" w:hAnsi="Nunito Sans"/>
                <w:color w:val="102E3B"/>
                <w:sz w:val="19"/>
                <w:szCs w:val="19"/>
                <w:highlight w:val="yellow"/>
              </w:rPr>
              <w:t xml:space="preserve">[phone number for urgent reports]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LANGUAGE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[English]</w:t>
            </w:r>
            <w:r>
              <w:rPr>
                <w:rFonts w:ascii="Nunito Sans" w:cs="Nunito Sans" w:eastAsia="Nunito Sans" w:hAnsi="Nunito Sans"/>
                <w:color w:val="102E3B"/>
                <w:sz w:val="19"/>
                <w:szCs w:val="19"/>
              </w:rPr>
              <w:t xml:space="preserve">. Translations: </w:t>
            </w:r>
            <w:r>
              <w:rPr>
                <w:rFonts w:ascii="Nunito Sans" w:cs="Nunito Sans" w:eastAsia="Nunito Sans" w:hAnsi="Nunito Sans"/>
                <w:color w:val="102E3B"/>
                <w:sz w:val="19"/>
                <w:szCs w:val="19"/>
                <w:highlight w:val="yellow"/>
              </w:rPr>
              <w:t xml:space="preserve">[languages, or “none”]</w:t>
            </w:r>
            <w:r>
              <w:rPr>
                <w:rFonts w:ascii="Nunito Sans" w:cs="Nunito Sans" w:eastAsia="Nunito Sans" w:hAnsi="Nunito Sans"/>
                <w:color w:val="102E3B"/>
                <w:sz w:val="19"/>
                <w:szCs w:val="19"/>
              </w:rPr>
              <w:t xml:space="preserve">. If versions differ, the </w:t>
            </w:r>
            <w:r>
              <w:rPr>
                <w:rFonts w:ascii="Nunito Sans" w:cs="Nunito Sans" w:eastAsia="Nunito Sans" w:hAnsi="Nunito Sans"/>
                <w:color w:val="102E3B"/>
                <w:sz w:val="19"/>
                <w:szCs w:val="19"/>
                <w:highlight w:val="yellow"/>
              </w:rPr>
              <w:t xml:space="preserve">[English]</w:t>
            </w:r>
            <w:r>
              <w:rPr>
                <w:rFonts w:ascii="Nunito Sans" w:cs="Nunito Sans" w:eastAsia="Nunito Sans" w:hAnsi="Nunito Sans"/>
                <w:color w:val="102E3B"/>
                <w:sz w:val="19"/>
                <w:szCs w:val="19"/>
              </w:rPr>
              <w:t xml:space="preserve"> version applies.</w:t>
            </w:r>
          </w:p>
        </w:tc>
      </w:tr>
    </w:tbl>
    <w:p>
      <w:pPr>
        <w:keepNext/>
        <w:spacing w:after="100" w:before="360"/>
      </w:pPr>
      <w:r>
        <w:rPr>
          <w:rFonts w:ascii="Nunito Sans" w:cs="Nunito Sans" w:eastAsia="Nunito Sans" w:hAnsi="Nunito Sans"/>
          <w:b/>
          <w:bCs/>
          <w:color w:val="16746E"/>
          <w:spacing w:val="30"/>
          <w:sz w:val="15"/>
          <w:szCs w:val="15"/>
        </w:rPr>
        <w:t xml:space="preserve">CONTENTS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62"/>
        <w:gridCol w:w="4762"/>
      </w:tblGrid>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Purpose and scope</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Record every breach</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What a breach is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Example: Lost phone with participant contacts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Step 1: Report it at once</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Timescales at a glance</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Step 2: Contain it in the first hour</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Roles and responsibilities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Step 3: Assess the risk to people</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Related documents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Step 4: Decide on notification</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Annex A: Breach log</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Step 5: Communicate</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Annex B: Risk assessment questions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Step 6: Recover</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Annex C: Notification text</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Step 7: Learn</w:t>
            </w:r>
          </w:p>
        </w:tc>
        <w:tc>
          <w:tcPr>
            <w:tcW w:type="dxa" w:w="4762"/>
            <w:tcBorders>
              <w:top w:val="none" w:color="FFFFFF" w:sz="0"/>
              <w:left w:val="none" w:color="FFFFFF" w:sz="0"/>
              <w:bottom w:val="none" w:color="FFFFFF" w:sz="0"/>
              <w:right w:val="none" w:color="FFFFFF" w:sz="0"/>
            </w:tcBorders>
            <w:tcMar>
              <w:top w:type="dxa" w:w="60"/>
              <w:left w:type="dxa" w:w="300"/>
              <w:bottom w:type="dxa" w:w="60"/>
              <w:right w:type="dxa" w:w="120"/>
            </w:tcMar>
          </w:tcPr>
          <w:p>
            <w:pPr>
              <w:spacing w:after="0"/>
            </w:pPr>
          </w:p>
        </w:tc>
      </w:tr>
    </w:tbl>
    <w:p>
      <w:r>
        <w:br w:type="page"/>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PROPORTIONATE TO OUR SIZE</w:t>
            </w:r>
          </w:p>
          <w:p>
            <w:pPr>
              <w:spacing w:after="120" w:before="0" w:line="300"/>
            </w:pP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is a </w:t>
            </w:r>
            <w:r>
              <w:rPr>
                <w:rFonts w:ascii="Nunito Sans" w:cs="Nunito Sans" w:eastAsia="Nunito Sans" w:hAnsi="Nunito Sans"/>
                <w:color w:val="102E3B"/>
                <w:sz w:val="19"/>
                <w:szCs w:val="19"/>
                <w:highlight w:val="yellow"/>
              </w:rPr>
              <w:t xml:space="preserve">[small organisation of X people / start-up run by its founders]</w:t>
            </w:r>
            <w:r>
              <w:rPr>
                <w:rFonts w:ascii="Nunito Sans" w:cs="Nunito Sans" w:eastAsia="Nunito Sans" w:hAnsi="Nunito Sans"/>
                <w:color w:val="102E3B"/>
                <w:sz w:val="19"/>
                <w:szCs w:val="19"/>
              </w:rPr>
              <w:t xml:space="preserve">. We do not have an IT department, so this procedure relies on quick reporting and clear decisions. Until we grow:</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[Name, role]</w:t>
            </w:r>
            <w:r>
              <w:rPr>
                <w:rFonts w:ascii="Nunito Sans" w:cs="Nunito Sans" w:eastAsia="Nunito Sans" w:hAnsi="Nunito Sans"/>
                <w:b/>
                <w:bCs/>
                <w:color w:val="102E3B"/>
                <w:sz w:val="19"/>
                <w:szCs w:val="19"/>
              </w:rPr>
              <w:t xml:space="preserve"> is our data protection lead, and leads on breaches</w:t>
            </w:r>
            <w:r>
              <w:rPr>
                <w:rFonts w:ascii="Nunito Sans" w:cs="Nunito Sans" w:eastAsia="Nunito Sans" w:hAnsi="Nunito Sans"/>
                <w:color w:val="102E3B"/>
                <w:sz w:val="19"/>
                <w:szCs w:val="19"/>
              </w:rPr>
              <w:t xml:space="preserve"> (the "breach lead" in this procedure). They take charge of every breach, decide on containment and notification, and keep the breach log.</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[Name, role]</w:t>
            </w:r>
            <w:r>
              <w:rPr>
                <w:rFonts w:ascii="Nunito Sans" w:cs="Nunito Sans" w:eastAsia="Nunito Sans" w:hAnsi="Nunito Sans"/>
                <w:b/>
                <w:bCs/>
                <w:color w:val="102E3B"/>
                <w:sz w:val="19"/>
                <w:szCs w:val="19"/>
              </w:rPr>
              <w:t xml:space="preserve"> is our deputy.</w:t>
            </w:r>
            <w:r>
              <w:rPr>
                <w:rFonts w:ascii="Nunito Sans" w:cs="Nunito Sans" w:eastAsia="Nunito Sans" w:hAnsi="Nunito Sans"/>
                <w:color w:val="102E3B"/>
                <w:sz w:val="19"/>
                <w:szCs w:val="19"/>
              </w:rPr>
              <w:t xml:space="preserve"> They lead when the breach lead cannot be reached within </w:t>
            </w:r>
            <w:r>
              <w:rPr>
                <w:rFonts w:ascii="Nunito Sans" w:cs="Nunito Sans" w:eastAsia="Nunito Sans" w:hAnsi="Nunito Sans"/>
                <w:color w:val="102E3B"/>
                <w:sz w:val="19"/>
                <w:szCs w:val="19"/>
                <w:highlight w:val="yellow"/>
              </w:rPr>
              <w:t xml:space="preserve">[2 hours]</w:t>
            </w:r>
            <w:r>
              <w:rPr>
                <w:rFonts w:ascii="Nunito Sans" w:cs="Nunito Sans" w:eastAsia="Nunito Sans" w:hAnsi="Nunito Sans"/>
                <w:color w:val="102E3B"/>
                <w:sz w:val="19"/>
                <w:szCs w:val="19"/>
              </w:rPr>
              <w:t xml:space="preserve">, or is involved in the breach.</w:t>
            </w:r>
          </w:p>
          <w:p>
            <w:pPr>
              <w:pStyle w:val="ListParagraph"/>
              <w:numPr>
                <w:ilvl w:val="0"/>
                <w:numId w:val="3"/>
              </w:numPr>
              <w:spacing w:after="80" w:line="290"/>
            </w:pPr>
            <w:r>
              <w:rPr>
                <w:rFonts w:ascii="Nunito Sans" w:cs="Nunito Sans" w:eastAsia="Nunito Sans" w:hAnsi="Nunito Sans"/>
                <w:b/>
                <w:bCs/>
                <w:color w:val="102E3B"/>
                <w:sz w:val="19"/>
                <w:szCs w:val="19"/>
              </w:rPr>
              <w:t xml:space="preserve">We review this procedure</w:t>
            </w:r>
            <w:r>
              <w:rPr>
                <w:rFonts w:ascii="Nunito Sans" w:cs="Nunito Sans" w:eastAsia="Nunito Sans" w:hAnsi="Nunito Sans"/>
                <w:color w:val="102E3B"/>
                <w:sz w:val="19"/>
                <w:szCs w:val="19"/>
              </w:rPr>
              <w:t xml:space="preserve"> once a year, after every serious breach, and when the law changes.</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WHO HOLDS THESE ROLES</w:t>
            </w:r>
          </w:p>
          <w:p>
            <w:pPr>
              <w:spacing w:after="120" w:before="0" w:line="300"/>
            </w:pPr>
            <w:r>
              <w:rPr>
                <w:rFonts w:ascii="Nunito Sans" w:cs="Nunito Sans" w:eastAsia="Nunito Sans" w:hAnsi="Nunito Sans"/>
                <w:color w:val="102E3B"/>
                <w:sz w:val="19"/>
                <w:szCs w:val="19"/>
              </w:rPr>
              <w:t xml:space="preserve">Name real people and make sure both can be reached by phone outside office hours. The deputy should be able to act without the founder's permission, for example a board member. Add your external support: the person or company who manages your IT, your insurer's breach helpline if you have cyber insurance, and a lawyer you can call. If you have a data protection officer, they must be told about every breach.</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EAF5EF"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AT A GLANCE</w:t>
            </w:r>
          </w:p>
          <w:p>
            <w:pPr>
              <w:pStyle w:val="ListParagraph"/>
              <w:numPr>
                <w:ilvl w:val="0"/>
                <w:numId w:val="3"/>
              </w:numPr>
              <w:spacing w:after="80" w:line="290"/>
            </w:pPr>
            <w:r>
              <w:rPr>
                <w:rFonts w:ascii="Nunito Sans" w:cs="Nunito Sans" w:eastAsia="Nunito Sans" w:hAnsi="Nunito Sans"/>
                <w:color w:val="102E3B"/>
                <w:sz w:val="19"/>
                <w:szCs w:val="19"/>
              </w:rPr>
              <w:t xml:space="preserve">A breach is any incident where personal information is lost, stolen, exposed, changed or made unavailable without permission.</w:t>
            </w:r>
          </w:p>
          <w:p>
            <w:pPr>
              <w:pStyle w:val="ListParagraph"/>
              <w:numPr>
                <w:ilvl w:val="0"/>
                <w:numId w:val="3"/>
              </w:numPr>
              <w:spacing w:after="80" w:line="290"/>
            </w:pPr>
            <w:r>
              <w:rPr>
                <w:rFonts w:ascii="Nunito Sans" w:cs="Nunito Sans" w:eastAsia="Nunito Sans" w:hAnsi="Nunito Sans"/>
                <w:color w:val="102E3B"/>
                <w:sz w:val="19"/>
                <w:szCs w:val="19"/>
              </w:rPr>
              <w:t xml:space="preserve">Report any suspected breach to the breach lead within </w:t>
            </w:r>
            <w:r>
              <w:rPr>
                <w:rFonts w:ascii="Nunito Sans" w:cs="Nunito Sans" w:eastAsia="Nunito Sans" w:hAnsi="Nunito Sans"/>
                <w:color w:val="102E3B"/>
                <w:sz w:val="19"/>
                <w:szCs w:val="19"/>
                <w:highlight w:val="yellow"/>
              </w:rPr>
              <w:t xml:space="preserve">[1 hour]</w:t>
            </w:r>
            <w:r>
              <w:rPr>
                <w:rFonts w:ascii="Nunito Sans" w:cs="Nunito Sans" w:eastAsia="Nunito Sans" w:hAnsi="Nunito Sans"/>
                <w:color w:val="102E3B"/>
                <w:sz w:val="19"/>
                <w:szCs w:val="19"/>
              </w:rPr>
              <w:t xml:space="preserve"> of noticing it, by phone. Report even if you are not sure.</w:t>
            </w:r>
          </w:p>
          <w:p>
            <w:pPr>
              <w:pStyle w:val="ListParagraph"/>
              <w:numPr>
                <w:ilvl w:val="0"/>
                <w:numId w:val="3"/>
              </w:numPr>
              <w:spacing w:after="80" w:line="290"/>
            </w:pPr>
            <w:r>
              <w:rPr>
                <w:rFonts w:ascii="Nunito Sans" w:cs="Nunito Sans" w:eastAsia="Nunito Sans" w:hAnsi="Nunito Sans"/>
                <w:color w:val="102E3B"/>
                <w:sz w:val="19"/>
                <w:szCs w:val="19"/>
              </w:rPr>
              <w:t xml:space="preserve">In the first hour, we contain it: lock or wipe the device, recall the email, change passwords, secure the files.</w:t>
            </w:r>
          </w:p>
          <w:p>
            <w:pPr>
              <w:pStyle w:val="ListParagraph"/>
              <w:numPr>
                <w:ilvl w:val="0"/>
                <w:numId w:val="3"/>
              </w:numPr>
              <w:spacing w:after="80" w:line="290"/>
            </w:pPr>
            <w:r>
              <w:rPr>
                <w:rFonts w:ascii="Nunito Sans" w:cs="Nunito Sans" w:eastAsia="Nunito Sans" w:hAnsi="Nunito Sans"/>
                <w:color w:val="102E3B"/>
                <w:sz w:val="19"/>
                <w:szCs w:val="19"/>
              </w:rPr>
              <w:t xml:space="preserve">Within </w:t>
            </w:r>
            <w:r>
              <w:rPr>
                <w:rFonts w:ascii="Nunito Sans" w:cs="Nunito Sans" w:eastAsia="Nunito Sans" w:hAnsi="Nunito Sans"/>
                <w:color w:val="102E3B"/>
                <w:sz w:val="19"/>
                <w:szCs w:val="19"/>
                <w:highlight w:val="yellow"/>
              </w:rPr>
              <w:t xml:space="preserve">[24 hours]</w:t>
            </w:r>
            <w:r>
              <w:rPr>
                <w:rFonts w:ascii="Nunito Sans" w:cs="Nunito Sans" w:eastAsia="Nunito Sans" w:hAnsi="Nunito Sans"/>
                <w:color w:val="102E3B"/>
                <w:sz w:val="19"/>
                <w:szCs w:val="19"/>
              </w:rPr>
              <w:t xml:space="preserve">, we assess the risk to the people affected.</w:t>
            </w:r>
          </w:p>
          <w:p>
            <w:pPr>
              <w:pStyle w:val="ListParagraph"/>
              <w:numPr>
                <w:ilvl w:val="0"/>
                <w:numId w:val="3"/>
              </w:numPr>
              <w:spacing w:after="80" w:line="290"/>
            </w:pPr>
            <w:r>
              <w:rPr>
                <w:rFonts w:ascii="Nunito Sans" w:cs="Nunito Sans" w:eastAsia="Nunito Sans" w:hAnsi="Nunito Sans"/>
                <w:color w:val="102E3B"/>
                <w:sz w:val="19"/>
                <w:szCs w:val="19"/>
              </w:rPr>
              <w:t xml:space="preserve">Within </w:t>
            </w:r>
            <w:r>
              <w:rPr>
                <w:rFonts w:ascii="Nunito Sans" w:cs="Nunito Sans" w:eastAsia="Nunito Sans" w:hAnsi="Nunito Sans"/>
                <w:color w:val="102E3B"/>
                <w:sz w:val="19"/>
                <w:szCs w:val="19"/>
                <w:highlight w:val="yellow"/>
              </w:rPr>
              <w:t xml:space="preserve">[72 hours]</w:t>
            </w:r>
            <w:r>
              <w:rPr>
                <w:rFonts w:ascii="Nunito Sans" w:cs="Nunito Sans" w:eastAsia="Nunito Sans" w:hAnsi="Nunito Sans"/>
                <w:color w:val="102E3B"/>
                <w:sz w:val="19"/>
                <w:szCs w:val="19"/>
              </w:rPr>
              <w:t xml:space="preserve"> of becoming aware, we decide whether to tell the regulator and, where required, notify it. We tell people affected without undue delay if the risk to them is high.</w:t>
            </w:r>
          </w:p>
          <w:p>
            <w:pPr>
              <w:pStyle w:val="ListParagraph"/>
              <w:numPr>
                <w:ilvl w:val="0"/>
                <w:numId w:val="3"/>
              </w:numPr>
              <w:spacing w:after="80" w:line="290"/>
            </w:pPr>
            <w:r>
              <w:rPr>
                <w:rFonts w:ascii="Nunito Sans" w:cs="Nunito Sans" w:eastAsia="Nunito Sans" w:hAnsi="Nunito Sans"/>
                <w:color w:val="102E3B"/>
                <w:sz w:val="19"/>
                <w:szCs w:val="19"/>
              </w:rPr>
              <w:t xml:space="preserve">We tell funders and partners as our agreements require.</w:t>
            </w:r>
          </w:p>
          <w:p>
            <w:pPr>
              <w:pStyle w:val="ListParagraph"/>
              <w:numPr>
                <w:ilvl w:val="0"/>
                <w:numId w:val="3"/>
              </w:numPr>
              <w:spacing w:after="80" w:line="290"/>
            </w:pPr>
            <w:r>
              <w:rPr>
                <w:rFonts w:ascii="Nunito Sans" w:cs="Nunito Sans" w:eastAsia="Nunito Sans" w:hAnsi="Nunito Sans"/>
                <w:color w:val="102E3B"/>
                <w:sz w:val="19"/>
                <w:szCs w:val="19"/>
              </w:rPr>
              <w:t xml:space="preserve">We record every breach and near miss, even when we notify no one, and learn from it.</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Purpose and scope</w:t>
      </w:r>
    </w:p>
    <w:p>
      <w:pPr>
        <w:spacing w:after="120" w:before="0" w:line="300"/>
      </w:pPr>
      <w:r>
        <w:rPr>
          <w:rFonts w:ascii="Nunito Sans" w:cs="Nunito Sans" w:eastAsia="Nunito Sans" w:hAnsi="Nunito Sans"/>
          <w:color w:val="102E3B"/>
          <w:sz w:val="20"/>
          <w:szCs w:val="20"/>
        </w:rPr>
        <w:t xml:space="preserve">This procedure applies to personal information held by </w:t>
      </w: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 or by others for us, in any form: phones, laptops, cloud systems, email, messaging apps, spreadsheets, paper files and photos. It also applies when a partner or service provider has a breach involving information we share with them.</w:t>
      </w:r>
    </w:p>
    <w:p>
      <w:pPr>
        <w:spacing w:after="120" w:before="0" w:line="300"/>
      </w:pPr>
      <w:r>
        <w:rPr>
          <w:rFonts w:ascii="Nunito Sans" w:cs="Nunito Sans" w:eastAsia="Nunito Sans" w:hAnsi="Nunito Sans"/>
          <w:b/>
          <w:bCs/>
          <w:color w:val="102E3B"/>
          <w:sz w:val="20"/>
          <w:szCs w:val="20"/>
        </w:rPr>
        <w:t xml:space="preserve">Law.</w:t>
      </w:r>
      <w:r>
        <w:rPr>
          <w:rFonts w:ascii="Nunito Sans" w:cs="Nunito Sans" w:eastAsia="Nunito Sans" w:hAnsi="Nunito Sans"/>
          <w:color w:val="102E3B"/>
          <w:sz w:val="20"/>
          <w:szCs w:val="20"/>
        </w:rPr>
        <w:t xml:space="preserve"> We follow </w:t>
      </w:r>
      <w:r>
        <w:rPr>
          <w:rFonts w:ascii="Nunito Sans" w:cs="Nunito Sans" w:eastAsia="Nunito Sans" w:hAnsi="Nunito Sans"/>
          <w:color w:val="102E3B"/>
          <w:sz w:val="20"/>
          <w:szCs w:val="20"/>
          <w:highlight w:val="yellow"/>
        </w:rPr>
        <w:t xml:space="preserve">[name of the national data protection law and year]</w:t>
      </w:r>
      <w:r>
        <w:rPr>
          <w:rFonts w:ascii="Nunito Sans" w:cs="Nunito Sans" w:eastAsia="Nunito Sans" w:hAnsi="Nunito Sans"/>
          <w:color w:val="102E3B"/>
          <w:sz w:val="20"/>
          <w:szCs w:val="20"/>
        </w:rPr>
        <w:t xml:space="preserve"> and the rules of </w:t>
      </w:r>
      <w:r>
        <w:rPr>
          <w:rFonts w:ascii="Nunito Sans" w:cs="Nunito Sans" w:eastAsia="Nunito Sans" w:hAnsi="Nunito Sans"/>
          <w:color w:val="102E3B"/>
          <w:sz w:val="20"/>
          <w:szCs w:val="20"/>
          <w:highlight w:val="yellow"/>
        </w:rPr>
        <w:t xml:space="preserve">[name of regulator]</w:t>
      </w:r>
      <w:r>
        <w:rPr>
          <w:rFonts w:ascii="Nunito Sans" w:cs="Nunito Sans" w:eastAsia="Nunito Sans" w:hAnsi="Nunito Sans"/>
          <w:color w:val="102E3B"/>
          <w:sz w:val="20"/>
          <w:szCs w:val="20"/>
        </w:rPr>
        <w:t xml:space="preserve">. Where we hold information about people in other countries, we also follow the law that applies there. We use the GDPR as our benchmark. Where rules differ, we follow the stricter one.</w:t>
      </w:r>
    </w:p>
    <w:p>
      <w:pPr>
        <w:pStyle w:val="Heading1"/>
        <w:keepNext/>
        <w:spacing w:after="160" w:before="360"/>
      </w:pPr>
      <w:r>
        <w:rPr>
          <w:rFonts w:ascii="DM Serif Display" w:cs="DM Serif Display" w:eastAsia="DM Serif Display" w:hAnsi="DM Serif Display"/>
          <w:color w:val="123C48"/>
          <w:sz w:val="40"/>
          <w:szCs w:val="40"/>
        </w:rPr>
        <w:t xml:space="preserve">What a breach is</w:t>
      </w:r>
    </w:p>
    <w:p>
      <w:pPr>
        <w:spacing w:after="120" w:before="0" w:line="300"/>
      </w:pPr>
      <w:r>
        <w:rPr>
          <w:rFonts w:ascii="Nunito Sans" w:cs="Nunito Sans" w:eastAsia="Nunito Sans" w:hAnsi="Nunito Sans"/>
          <w:color w:val="102E3B"/>
          <w:sz w:val="20"/>
          <w:szCs w:val="20"/>
        </w:rPr>
        <w:t xml:space="preserve">A personal data breach is a security incident that leads to personal information being lost, destroyed, changed, disclosed or accessed without permission, or becoming unavailable. It can be an accident or deliberate. Examples:</w:t>
      </w:r>
    </w:p>
    <w:p>
      <w:pPr>
        <w:pStyle w:val="ListParagraph"/>
        <w:numPr>
          <w:ilvl w:val="0"/>
          <w:numId w:val="3"/>
        </w:numPr>
        <w:spacing w:after="80" w:line="290"/>
      </w:pPr>
      <w:r>
        <w:rPr>
          <w:rFonts w:ascii="Nunito Sans" w:cs="Nunito Sans" w:eastAsia="Nunito Sans" w:hAnsi="Nunito Sans"/>
          <w:color w:val="102E3B"/>
          <w:sz w:val="20"/>
          <w:szCs w:val="20"/>
        </w:rPr>
        <w:t xml:space="preserve">A work phone with participant contacts and WhatsApp groups is lost or stolen.</w:t>
      </w:r>
    </w:p>
    <w:p>
      <w:pPr>
        <w:pStyle w:val="ListParagraph"/>
        <w:numPr>
          <w:ilvl w:val="0"/>
          <w:numId w:val="3"/>
        </w:numPr>
        <w:spacing w:after="80" w:line="290"/>
      </w:pPr>
      <w:r>
        <w:rPr>
          <w:rFonts w:ascii="Nunito Sans" w:cs="Nunito Sans" w:eastAsia="Nunito Sans" w:hAnsi="Nunito Sans"/>
          <w:color w:val="102E3B"/>
          <w:sz w:val="20"/>
          <w:szCs w:val="20"/>
        </w:rPr>
        <w:t xml:space="preserve">An email goes to the wrong person, or a group email shows everyone's address in the "To" field instead of "Bcc".</w:t>
      </w:r>
    </w:p>
    <w:p>
      <w:pPr>
        <w:pStyle w:val="ListParagraph"/>
        <w:numPr>
          <w:ilvl w:val="0"/>
          <w:numId w:val="3"/>
        </w:numPr>
        <w:spacing w:after="80" w:line="290"/>
      </w:pPr>
      <w:r>
        <w:rPr>
          <w:rFonts w:ascii="Nunito Sans" w:cs="Nunito Sans" w:eastAsia="Nunito Sans" w:hAnsi="Nunito Sans"/>
          <w:color w:val="102E3B"/>
          <w:sz w:val="20"/>
          <w:szCs w:val="20"/>
        </w:rPr>
        <w:t xml:space="preserve">Ransomware, a type of malicious software, locks our files and demands payment.</w:t>
      </w:r>
    </w:p>
    <w:p>
      <w:pPr>
        <w:pStyle w:val="ListParagraph"/>
        <w:numPr>
          <w:ilvl w:val="0"/>
          <w:numId w:val="3"/>
        </w:numPr>
        <w:spacing w:after="80" w:line="290"/>
      </w:pPr>
      <w:r>
        <w:rPr>
          <w:rFonts w:ascii="Nunito Sans" w:cs="Nunito Sans" w:eastAsia="Nunito Sans" w:hAnsi="Nunito Sans"/>
          <w:color w:val="102E3B"/>
          <w:sz w:val="20"/>
          <w:szCs w:val="20"/>
        </w:rPr>
        <w:t xml:space="preserve">Paper registration forms are left on a bus, or stolen from a field office.</w:t>
      </w:r>
    </w:p>
    <w:p>
      <w:pPr>
        <w:pStyle w:val="ListParagraph"/>
        <w:numPr>
          <w:ilvl w:val="0"/>
          <w:numId w:val="3"/>
        </w:numPr>
        <w:spacing w:after="80" w:line="290"/>
      </w:pPr>
      <w:r>
        <w:rPr>
          <w:rFonts w:ascii="Nunito Sans" w:cs="Nunito Sans" w:eastAsia="Nunito Sans" w:hAnsi="Nunito Sans"/>
          <w:color w:val="102E3B"/>
          <w:sz w:val="20"/>
          <w:szCs w:val="20"/>
        </w:rPr>
        <w:t xml:space="preserve">Someone's email account is taken over after a phishing message, a fake email that tricks people into giving passwords.</w:t>
      </w:r>
    </w:p>
    <w:p>
      <w:pPr>
        <w:pStyle w:val="ListParagraph"/>
        <w:numPr>
          <w:ilvl w:val="0"/>
          <w:numId w:val="3"/>
        </w:numPr>
        <w:spacing w:after="80" w:line="290"/>
      </w:pPr>
      <w:r>
        <w:rPr>
          <w:rFonts w:ascii="Nunito Sans" w:cs="Nunito Sans" w:eastAsia="Nunito Sans" w:hAnsi="Nunito Sans"/>
          <w:color w:val="102E3B"/>
          <w:sz w:val="20"/>
          <w:szCs w:val="20"/>
        </w:rPr>
        <w:t xml:space="preserve">A shared folder link is set to "anyone with the link" and passed on.</w:t>
      </w:r>
    </w:p>
    <w:p>
      <w:pPr>
        <w:pStyle w:val="ListParagraph"/>
        <w:numPr>
          <w:ilvl w:val="0"/>
          <w:numId w:val="3"/>
        </w:numPr>
        <w:spacing w:after="80" w:line="290"/>
      </w:pPr>
      <w:r>
        <w:rPr>
          <w:rFonts w:ascii="Nunito Sans" w:cs="Nunito Sans" w:eastAsia="Nunito Sans" w:hAnsi="Nunito Sans"/>
          <w:color w:val="102E3B"/>
          <w:sz w:val="20"/>
          <w:szCs w:val="20"/>
        </w:rPr>
        <w:t xml:space="preserve">A staff member looks at case files they have no reason to see.</w:t>
      </w:r>
    </w:p>
    <w:p>
      <w:pPr>
        <w:pStyle w:val="ListParagraph"/>
        <w:numPr>
          <w:ilvl w:val="0"/>
          <w:numId w:val="3"/>
        </w:numPr>
        <w:spacing w:after="80" w:line="290"/>
      </w:pPr>
      <w:r>
        <w:rPr>
          <w:rFonts w:ascii="Nunito Sans" w:cs="Nunito Sans" w:eastAsia="Nunito Sans" w:hAnsi="Nunito Sans"/>
          <w:color w:val="102E3B"/>
          <w:sz w:val="20"/>
          <w:szCs w:val="20"/>
        </w:rPr>
        <w:t xml:space="preserve">A photo or story is published that reveals where someone lives.</w:t>
      </w:r>
    </w:p>
    <w:p>
      <w:pPr>
        <w:pStyle w:val="ListParagraph"/>
        <w:numPr>
          <w:ilvl w:val="0"/>
          <w:numId w:val="3"/>
        </w:numPr>
        <w:spacing w:after="80" w:line="290"/>
      </w:pPr>
      <w:r>
        <w:rPr>
          <w:rFonts w:ascii="Nunito Sans" w:cs="Nunito Sans" w:eastAsia="Nunito Sans" w:hAnsi="Nunito Sans"/>
          <w:color w:val="102E3B"/>
          <w:sz w:val="20"/>
          <w:szCs w:val="20"/>
        </w:rPr>
        <w:t xml:space="preserve">A provider or partner who holds our data has a breach.</w:t>
      </w:r>
    </w:p>
    <w:p>
      <w:pPr>
        <w:pStyle w:val="ListParagraph"/>
        <w:numPr>
          <w:ilvl w:val="0"/>
          <w:numId w:val="3"/>
        </w:numPr>
        <w:spacing w:after="80" w:line="290"/>
      </w:pPr>
      <w:r>
        <w:rPr>
          <w:rFonts w:ascii="Nunito Sans" w:cs="Nunito Sans" w:eastAsia="Nunito Sans" w:hAnsi="Nunito Sans"/>
          <w:color w:val="102E3B"/>
          <w:sz w:val="20"/>
          <w:szCs w:val="20"/>
        </w:rPr>
        <w:t xml:space="preserve">Records are deleted by mistake and there is no backup.</w:t>
      </w:r>
    </w:p>
    <w:p>
      <w:pPr>
        <w:spacing w:after="120" w:before="0" w:line="300"/>
      </w:pPr>
      <w:r>
        <w:rPr>
          <w:rFonts w:ascii="Nunito Sans" w:cs="Nunito Sans" w:eastAsia="Nunito Sans" w:hAnsi="Nunito Sans"/>
          <w:color w:val="102E3B"/>
          <w:sz w:val="20"/>
          <w:szCs w:val="20"/>
        </w:rPr>
        <w:t xml:space="preserve">A </w:t>
      </w:r>
      <w:r>
        <w:rPr>
          <w:rFonts w:ascii="Nunito Sans" w:cs="Nunito Sans" w:eastAsia="Nunito Sans" w:hAnsi="Nunito Sans"/>
          <w:b/>
          <w:bCs/>
          <w:color w:val="102E3B"/>
          <w:sz w:val="20"/>
          <w:szCs w:val="20"/>
        </w:rPr>
        <w:t xml:space="preserve">near miss</w:t>
      </w:r>
      <w:r>
        <w:rPr>
          <w:rFonts w:ascii="Nunito Sans" w:cs="Nunito Sans" w:eastAsia="Nunito Sans" w:hAnsi="Nunito Sans"/>
          <w:color w:val="102E3B"/>
          <w:sz w:val="20"/>
          <w:szCs w:val="20"/>
        </w:rPr>
        <w:t xml:space="preserve"> is an incident that could have caused a breach but did not, for example a lost laptop found unopened an hour later. We record near misses too.</w:t>
      </w:r>
    </w:p>
    <w:p>
      <w:pPr>
        <w:pStyle w:val="Heading1"/>
        <w:keepNext/>
        <w:spacing w:after="160" w:before="360"/>
      </w:pPr>
      <w:r>
        <w:rPr>
          <w:rFonts w:ascii="DM Serif Display" w:cs="DM Serif Display" w:eastAsia="DM Serif Display" w:hAnsi="DM Serif Display"/>
          <w:color w:val="123C48"/>
          <w:sz w:val="40"/>
          <w:szCs w:val="40"/>
        </w:rPr>
        <w:t xml:space="preserve">Step 1: Report it at once</w:t>
      </w:r>
    </w:p>
    <w:p>
      <w:pPr>
        <w:spacing w:after="120" w:before="0" w:line="300"/>
      </w:pPr>
      <w:r>
        <w:rPr>
          <w:rFonts w:ascii="Nunito Sans" w:cs="Nunito Sans" w:eastAsia="Nunito Sans" w:hAnsi="Nunito Sans"/>
          <w:color w:val="102E3B"/>
          <w:sz w:val="20"/>
          <w:szCs w:val="20"/>
        </w:rPr>
        <w:t xml:space="preserve">If you discover or suspect a breach, at any time and whoever caused it:</w:t>
      </w:r>
    </w:p>
    <w:p>
      <w:pPr>
        <w:pStyle w:val="ListParagraph"/>
        <w:numPr>
          <w:ilvl w:val="0"/>
          <w:numId w:val="4"/>
        </w:numPr>
        <w:spacing w:after="80" w:line="290"/>
      </w:pPr>
      <w:r>
        <w:rPr>
          <w:rFonts w:ascii="Nunito Sans" w:cs="Nunito Sans" w:eastAsia="Nunito Sans" w:hAnsi="Nunito Sans"/>
          <w:color w:val="102E3B"/>
          <w:sz w:val="20"/>
          <w:szCs w:val="20"/>
        </w:rPr>
        <w:t xml:space="preserve">Phone the breach lead on </w:t>
      </w:r>
      <w:r>
        <w:rPr>
          <w:rFonts w:ascii="Nunito Sans" w:cs="Nunito Sans" w:eastAsia="Nunito Sans" w:hAnsi="Nunito Sans"/>
          <w:color w:val="102E3B"/>
          <w:sz w:val="20"/>
          <w:szCs w:val="20"/>
          <w:highlight w:val="yellow"/>
        </w:rPr>
        <w:t xml:space="preserve">[phone]</w:t>
      </w:r>
      <w:r>
        <w:rPr>
          <w:rFonts w:ascii="Nunito Sans" w:cs="Nunito Sans" w:eastAsia="Nunito Sans" w:hAnsi="Nunito Sans"/>
          <w:color w:val="102E3B"/>
          <w:sz w:val="20"/>
          <w:szCs w:val="20"/>
        </w:rPr>
        <w:t xml:space="preserve"> within </w:t>
      </w:r>
      <w:r>
        <w:rPr>
          <w:rFonts w:ascii="Nunito Sans" w:cs="Nunito Sans" w:eastAsia="Nunito Sans" w:hAnsi="Nunito Sans"/>
          <w:color w:val="102E3B"/>
          <w:sz w:val="20"/>
          <w:szCs w:val="20"/>
          <w:highlight w:val="yellow"/>
        </w:rPr>
        <w:t xml:space="preserve">[1 hour]</w:t>
      </w:r>
      <w:r>
        <w:rPr>
          <w:rFonts w:ascii="Nunito Sans" w:cs="Nunito Sans" w:eastAsia="Nunito Sans" w:hAnsi="Nunito Sans"/>
          <w:color w:val="102E3B"/>
          <w:sz w:val="20"/>
          <w:szCs w:val="20"/>
        </w:rPr>
        <w:t xml:space="preserve">. If you cannot reach them within </w:t>
      </w:r>
      <w:r>
        <w:rPr>
          <w:rFonts w:ascii="Nunito Sans" w:cs="Nunito Sans" w:eastAsia="Nunito Sans" w:hAnsi="Nunito Sans"/>
          <w:color w:val="102E3B"/>
          <w:sz w:val="20"/>
          <w:szCs w:val="20"/>
          <w:highlight w:val="yellow"/>
        </w:rPr>
        <w:t xml:space="preserve">[30 minutes]</w:t>
      </w:r>
      <w:r>
        <w:rPr>
          <w:rFonts w:ascii="Nunito Sans" w:cs="Nunito Sans" w:eastAsia="Nunito Sans" w:hAnsi="Nunito Sans"/>
          <w:color w:val="102E3B"/>
          <w:sz w:val="20"/>
          <w:szCs w:val="20"/>
        </w:rPr>
        <w:t xml:space="preserve">, phone the deputy on </w:t>
      </w:r>
      <w:r>
        <w:rPr>
          <w:rFonts w:ascii="Nunito Sans" w:cs="Nunito Sans" w:eastAsia="Nunito Sans" w:hAnsi="Nunito Sans"/>
          <w:color w:val="102E3B"/>
          <w:sz w:val="20"/>
          <w:szCs w:val="20"/>
          <w:highlight w:val="yellow"/>
        </w:rPr>
        <w:t xml:space="preserve">[phone]</w:t>
      </w:r>
      <w:r>
        <w:rPr>
          <w:rFonts w:ascii="Nunito Sans" w:cs="Nunito Sans" w:eastAsia="Nunito Sans" w:hAnsi="Nunito Sans"/>
          <w:color w:val="102E3B"/>
          <w:sz w:val="20"/>
          <w:szCs w:val="20"/>
        </w:rPr>
        <w:t xml:space="preserve">. Then email </w:t>
      </w:r>
      <w:r>
        <w:rPr>
          <w:rFonts w:ascii="Nunito Sans" w:cs="Nunito Sans" w:eastAsia="Nunito Sans" w:hAnsi="Nunito Sans"/>
          <w:color w:val="102E3B"/>
          <w:sz w:val="20"/>
          <w:szCs w:val="20"/>
          <w:highlight w:val="yellow"/>
        </w:rPr>
        <w:t xml:space="preserve">[privacy@yourorganisation.org]</w:t>
      </w:r>
      <w:r>
        <w:rPr>
          <w:rFonts w:ascii="Nunito Sans" w:cs="Nunito Sans" w:eastAsia="Nunito Sans" w:hAnsi="Nunito Sans"/>
          <w:color w:val="102E3B"/>
          <w:sz w:val="20"/>
          <w:szCs w:val="20"/>
        </w:rPr>
        <w:t xml:space="preserve"> with the details.</w:t>
      </w:r>
    </w:p>
    <w:p>
      <w:pPr>
        <w:pStyle w:val="ListParagraph"/>
        <w:numPr>
          <w:ilvl w:val="0"/>
          <w:numId w:val="4"/>
        </w:numPr>
        <w:spacing w:after="80" w:line="290"/>
      </w:pPr>
      <w:r>
        <w:rPr>
          <w:rFonts w:ascii="Nunito Sans" w:cs="Nunito Sans" w:eastAsia="Nunito Sans" w:hAnsi="Nunito Sans"/>
          <w:color w:val="102E3B"/>
          <w:sz w:val="20"/>
          <w:szCs w:val="20"/>
        </w:rPr>
        <w:t xml:space="preserve">Say what happened, when, what information is involved, and what you have already done.</w:t>
      </w:r>
    </w:p>
    <w:p>
      <w:pPr>
        <w:pStyle w:val="ListParagraph"/>
        <w:numPr>
          <w:ilvl w:val="0"/>
          <w:numId w:val="4"/>
        </w:numPr>
        <w:spacing w:after="80" w:line="290"/>
      </w:pPr>
      <w:r>
        <w:rPr>
          <w:rFonts w:ascii="Nunito Sans" w:cs="Nunito Sans" w:eastAsia="Nunito Sans" w:hAnsi="Nunito Sans"/>
          <w:color w:val="102E3B"/>
          <w:sz w:val="20"/>
          <w:szCs w:val="20"/>
        </w:rPr>
        <w:t xml:space="preserve">Do not delete anything, try to investigate, or contact the people affected yourself.</w:t>
      </w:r>
    </w:p>
    <w:p>
      <w:pPr>
        <w:pStyle w:val="ListParagraph"/>
        <w:numPr>
          <w:ilvl w:val="0"/>
          <w:numId w:val="4"/>
        </w:numPr>
        <w:spacing w:after="80" w:line="290"/>
      </w:pPr>
      <w:r>
        <w:rPr>
          <w:rFonts w:ascii="Nunito Sans" w:cs="Nunito Sans" w:eastAsia="Nunito Sans" w:hAnsi="Nunito Sans"/>
          <w:color w:val="102E3B"/>
          <w:sz w:val="20"/>
          <w:szCs w:val="20"/>
        </w:rPr>
        <w:t xml:space="preserve">If anyone may be in danger as a result, follow the Safeguarding Policy and Procedure at the same time.</w:t>
      </w:r>
    </w:p>
    <w:p>
      <w:pPr>
        <w:spacing w:after="120" w:before="0" w:line="300"/>
      </w:pPr>
      <w:r>
        <w:rPr>
          <w:rFonts w:ascii="Nunito Sans" w:cs="Nunito Sans" w:eastAsia="Nunito Sans" w:hAnsi="Nunito Sans"/>
          <w:color w:val="102E3B"/>
          <w:sz w:val="20"/>
          <w:szCs w:val="20"/>
        </w:rPr>
        <w:t xml:space="preserve">Report even if you caused the breach. We treat honest mistakes as a chance to learn. Hiding a breach, or delaying a report, is a serious matter.</w:t>
      </w:r>
    </w:p>
    <w:p>
      <w:pPr>
        <w:pStyle w:val="Heading1"/>
        <w:keepNext/>
        <w:spacing w:after="160" w:before="360"/>
      </w:pPr>
      <w:r>
        <w:rPr>
          <w:rFonts w:ascii="DM Serif Display" w:cs="DM Serif Display" w:eastAsia="DM Serif Display" w:hAnsi="DM Serif Display"/>
          <w:color w:val="123C48"/>
          <w:sz w:val="40"/>
          <w:szCs w:val="40"/>
        </w:rPr>
        <w:t xml:space="preserve">Step 2: Contain it in the first hour</w:t>
      </w:r>
    </w:p>
    <w:p>
      <w:pPr>
        <w:spacing w:after="120" w:before="0" w:line="300"/>
      </w:pPr>
      <w:r>
        <w:rPr>
          <w:rFonts w:ascii="Nunito Sans" w:cs="Nunito Sans" w:eastAsia="Nunito Sans" w:hAnsi="Nunito Sans"/>
          <w:color w:val="102E3B"/>
          <w:sz w:val="20"/>
          <w:szCs w:val="20"/>
        </w:rPr>
        <w:t xml:space="preserve">The breach lead takes charge and opens an entry in the breach log (Annex A). They record the time we became aware: legal deadlines usually run from this moment. They then act to stop the breach and limit harm.</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Lost or stolen device: lock, locate or wipe it remotely; sign the device out of email, cloud and messaging accounts; change passwords; remove it from WhatsApp groups.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Wrong email recipient: try to recall the message; contact the recipient, ask them to delete it and confirm in writing.</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Account taken over: change the password, sign out all sessions, turn on two-step sign-in, check forwarding rules.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Ransomware or malware: disconnect affected devices from the internet and network; do not pay any ransom without advice; call IT support.</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Paper files lost or stolen: search the last known location; report theft to the police; secure remaining files.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Shared link or wrong access: remove the link or access, and check who opened the file.</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Provider or partner breach: ask for details in writing and what they are doing.</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Keep evidence: logs, screenshots, emails and notes of what was done, with times.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CONTAINMENT TOOLS</w:t>
            </w:r>
          </w:p>
          <w:p>
            <w:pPr>
              <w:spacing w:after="120" w:before="0" w:line="300"/>
            </w:pPr>
            <w:r>
              <w:rPr>
                <w:rFonts w:ascii="Nunito Sans" w:cs="Nunito Sans" w:eastAsia="Nunito Sans" w:hAnsi="Nunito Sans"/>
                <w:color w:val="102E3B"/>
                <w:sz w:val="19"/>
                <w:szCs w:val="19"/>
              </w:rPr>
              <w:t xml:space="preserve">Check now that you can do these things before a breach happens. Can you wipe work phones remotely? Who holds the administrator password for email and cloud accounts? Are backups kept separately from the main system, so that ransomware cannot reach them? Write the steps for your own tools here, and add a short contact list for IT support and your insurer. The IT and Information Security Policy should set the underlying controls.</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Step 3: Assess the risk to people</w:t>
      </w:r>
    </w:p>
    <w:p>
      <w:pPr>
        <w:spacing w:after="120" w:before="0" w:line="300"/>
      </w:pPr>
      <w:r>
        <w:rPr>
          <w:rFonts w:ascii="Nunito Sans" w:cs="Nunito Sans" w:eastAsia="Nunito Sans" w:hAnsi="Nunito Sans"/>
          <w:color w:val="102E3B"/>
          <w:sz w:val="20"/>
          <w:szCs w:val="20"/>
        </w:rPr>
        <w:t xml:space="preserve">Within </w:t>
      </w:r>
      <w:r>
        <w:rPr>
          <w:rFonts w:ascii="Nunito Sans" w:cs="Nunito Sans" w:eastAsia="Nunito Sans" w:hAnsi="Nunito Sans"/>
          <w:color w:val="102E3B"/>
          <w:sz w:val="20"/>
          <w:szCs w:val="20"/>
          <w:highlight w:val="yellow"/>
        </w:rPr>
        <w:t xml:space="preserve">[24 hours]</w:t>
      </w:r>
      <w:r>
        <w:rPr>
          <w:rFonts w:ascii="Nunito Sans" w:cs="Nunito Sans" w:eastAsia="Nunito Sans" w:hAnsi="Nunito Sans"/>
          <w:color w:val="102E3B"/>
          <w:sz w:val="20"/>
          <w:szCs w:val="20"/>
        </w:rPr>
        <w:t xml:space="preserve">, the breach lead assesses the likely effect on the people whose information is involved, using the questions in Annex B. The question is not how embarrassing the breach is for us. It is what could happen to the people affected. Harms include physical harm, discrimination, identity theft, financial loss, damage to reputation, loss of confidentiality and distress.</w:t>
      </w:r>
    </w:p>
    <w:p>
      <w:pPr>
        <w:spacing w:after="120" w:before="0" w:line="300"/>
      </w:pPr>
      <w:r>
        <w:rPr>
          <w:rFonts w:ascii="Nunito Sans" w:cs="Nunito Sans" w:eastAsia="Nunito Sans" w:hAnsi="Nunito Sans"/>
          <w:color w:val="102E3B"/>
          <w:sz w:val="20"/>
          <w:szCs w:val="20"/>
        </w:rPr>
        <w:t xml:space="preserve">They rate the breach:</w:t>
      </w:r>
    </w:p>
    <w:p>
      <w:pPr>
        <w:pStyle w:val="ListParagraph"/>
        <w:numPr>
          <w:ilvl w:val="0"/>
          <w:numId w:val="3"/>
        </w:numPr>
        <w:spacing w:after="80" w:line="290"/>
      </w:pPr>
      <w:r>
        <w:rPr>
          <w:rFonts w:ascii="Nunito Sans" w:cs="Nunito Sans" w:eastAsia="Nunito Sans" w:hAnsi="Nunito Sans"/>
          <w:b/>
          <w:bCs/>
          <w:color w:val="102E3B"/>
          <w:sz w:val="20"/>
          <w:szCs w:val="20"/>
        </w:rPr>
        <w:t xml:space="preserve">No likely risk:</w:t>
      </w:r>
      <w:r>
        <w:rPr>
          <w:rFonts w:ascii="Nunito Sans" w:cs="Nunito Sans" w:eastAsia="Nunito Sans" w:hAnsi="Nunito Sans"/>
          <w:color w:val="102E3B"/>
          <w:sz w:val="20"/>
          <w:szCs w:val="20"/>
        </w:rPr>
        <w:t xml:space="preserve"> for example, an encrypted laptop lost with a strong password, or a list of public email addresses sent to a partner who deleted it.</w:t>
      </w:r>
    </w:p>
    <w:p>
      <w:pPr>
        <w:pStyle w:val="ListParagraph"/>
        <w:numPr>
          <w:ilvl w:val="0"/>
          <w:numId w:val="3"/>
        </w:numPr>
        <w:spacing w:after="80" w:line="290"/>
      </w:pPr>
      <w:r>
        <w:rPr>
          <w:rFonts w:ascii="Nunito Sans" w:cs="Nunito Sans" w:eastAsia="Nunito Sans" w:hAnsi="Nunito Sans"/>
          <w:b/>
          <w:bCs/>
          <w:color w:val="102E3B"/>
          <w:sz w:val="20"/>
          <w:szCs w:val="20"/>
        </w:rPr>
        <w:t xml:space="preserve">Risk:</w:t>
      </w:r>
      <w:r>
        <w:rPr>
          <w:rFonts w:ascii="Nunito Sans" w:cs="Nunito Sans" w:eastAsia="Nunito Sans" w:hAnsi="Nunito Sans"/>
          <w:color w:val="102E3B"/>
          <w:sz w:val="20"/>
          <w:szCs w:val="20"/>
        </w:rPr>
        <w:t xml:space="preserve"> some harm is possible, but not serious or not likely.</w:t>
      </w:r>
    </w:p>
    <w:p>
      <w:pPr>
        <w:pStyle w:val="ListParagraph"/>
        <w:numPr>
          <w:ilvl w:val="0"/>
          <w:numId w:val="3"/>
        </w:numPr>
        <w:spacing w:after="80" w:line="290"/>
      </w:pPr>
      <w:r>
        <w:rPr>
          <w:rFonts w:ascii="Nunito Sans" w:cs="Nunito Sans" w:eastAsia="Nunito Sans" w:hAnsi="Nunito Sans"/>
          <w:b/>
          <w:bCs/>
          <w:color w:val="102E3B"/>
          <w:sz w:val="20"/>
          <w:szCs w:val="20"/>
        </w:rPr>
        <w:t xml:space="preserve">High risk:</w:t>
      </w:r>
      <w:r>
        <w:rPr>
          <w:rFonts w:ascii="Nunito Sans" w:cs="Nunito Sans" w:eastAsia="Nunito Sans" w:hAnsi="Nunito Sans"/>
          <w:color w:val="102E3B"/>
          <w:sz w:val="20"/>
          <w:szCs w:val="20"/>
        </w:rPr>
        <w:t xml:space="preserve"> serious harm is likely, for example when health, HIV status, sexual orientation, immigration status, survivor or safeguarding information, children's data, location of people at risk, or bank details is exposed.</w:t>
      </w:r>
    </w:p>
    <w:p>
      <w:pPr>
        <w:spacing w:after="120" w:before="0" w:line="300"/>
      </w:pPr>
      <w:r>
        <w:rPr>
          <w:rFonts w:ascii="Nunito Sans" w:cs="Nunito Sans" w:eastAsia="Nunito Sans" w:hAnsi="Nunito Sans"/>
          <w:color w:val="102E3B"/>
          <w:sz w:val="20"/>
          <w:szCs w:val="20"/>
        </w:rPr>
        <w:t xml:space="preserve">For serious or high-risk breaches, the breach lead brings together a small response team: </w:t>
      </w:r>
      <w:r>
        <w:rPr>
          <w:rFonts w:ascii="Nunito Sans" w:cs="Nunito Sans" w:eastAsia="Nunito Sans" w:hAnsi="Nunito Sans"/>
          <w:color w:val="102E3B"/>
          <w:sz w:val="20"/>
          <w:szCs w:val="20"/>
          <w:highlight w:val="yellow"/>
        </w:rPr>
        <w:t xml:space="preserve">[director / founder]</w:t>
      </w:r>
      <w:r>
        <w:rPr>
          <w:rFonts w:ascii="Nunito Sans" w:cs="Nunito Sans" w:eastAsia="Nunito Sans" w:hAnsi="Nunito Sans"/>
          <w:color w:val="102E3B"/>
          <w:sz w:val="20"/>
          <w:szCs w:val="20"/>
        </w:rPr>
        <w:t xml:space="preserve">, the safeguarding lead, IT support and, where needed, a lawyer and the insurer.</w:t>
      </w:r>
    </w:p>
    <w:p>
      <w:pPr>
        <w:pStyle w:val="Heading1"/>
        <w:keepNext/>
        <w:spacing w:after="160" w:before="360"/>
      </w:pPr>
      <w:r>
        <w:rPr>
          <w:rFonts w:ascii="DM Serif Display" w:cs="DM Serif Display" w:eastAsia="DM Serif Display" w:hAnsi="DM Serif Display"/>
          <w:color w:val="123C48"/>
          <w:sz w:val="40"/>
          <w:szCs w:val="40"/>
        </w:rPr>
        <w:t xml:space="preserve">Step 4: Decide on notification</w:t>
      </w:r>
    </w:p>
    <w:p>
      <w:pPr>
        <w:spacing w:after="120" w:before="0" w:line="300"/>
      </w:pPr>
      <w:r>
        <w:rPr>
          <w:rFonts w:ascii="Nunito Sans" w:cs="Nunito Sans" w:eastAsia="Nunito Sans" w:hAnsi="Nunito Sans"/>
          <w:color w:val="102E3B"/>
          <w:sz w:val="20"/>
          <w:szCs w:val="20"/>
        </w:rPr>
        <w:t xml:space="preserve">The breach lead decides who must be told and records the reasons for each decision, including decisions not to notify.</w:t>
      </w:r>
    </w:p>
    <w:p>
      <w:pPr>
        <w:pStyle w:val="Heading2"/>
        <w:keepNext/>
        <w:spacing w:after="120" w:before="280"/>
      </w:pPr>
      <w:r>
        <w:rPr>
          <w:rFonts w:ascii="DM Serif Display" w:cs="DM Serif Display" w:eastAsia="DM Serif Display" w:hAnsi="DM Serif Display"/>
          <w:color w:val="123C48"/>
          <w:sz w:val="28"/>
          <w:szCs w:val="28"/>
        </w:rPr>
        <w:t xml:space="preserve">The regulator</w:t>
      </w:r>
    </w:p>
    <w:p>
      <w:pPr>
        <w:spacing w:after="120" w:before="0" w:line="300"/>
      </w:pPr>
      <w:r>
        <w:rPr>
          <w:rFonts w:ascii="Nunito Sans" w:cs="Nunito Sans" w:eastAsia="Nunito Sans" w:hAnsi="Nunito Sans"/>
          <w:color w:val="102E3B"/>
          <w:sz w:val="20"/>
          <w:szCs w:val="20"/>
        </w:rPr>
        <w:t xml:space="preserve">Under the GDPR, we must notify the regulator within 72 hours of becoming aware of a breach, unless it is unlikely to result in a risk to people. If we do not have all the facts, we notify what we know and send the rest later. We notify </w:t>
      </w:r>
      <w:r>
        <w:rPr>
          <w:rFonts w:ascii="Nunito Sans" w:cs="Nunito Sans" w:eastAsia="Nunito Sans" w:hAnsi="Nunito Sans"/>
          <w:color w:val="102E3B"/>
          <w:sz w:val="20"/>
          <w:szCs w:val="20"/>
          <w:highlight w:val="yellow"/>
        </w:rPr>
        <w:t xml:space="preserve">[name of regulator]</w:t>
      </w:r>
      <w:r>
        <w:rPr>
          <w:rFonts w:ascii="Nunito Sans" w:cs="Nunito Sans" w:eastAsia="Nunito Sans" w:hAnsi="Nunito Sans"/>
          <w:color w:val="102E3B"/>
          <w:sz w:val="20"/>
          <w:szCs w:val="20"/>
        </w:rPr>
        <w:t xml:space="preserve"> through </w:t>
      </w:r>
      <w:r>
        <w:rPr>
          <w:rFonts w:ascii="Nunito Sans" w:cs="Nunito Sans" w:eastAsia="Nunito Sans" w:hAnsi="Nunito Sans"/>
          <w:color w:val="102E3B"/>
          <w:sz w:val="20"/>
          <w:szCs w:val="20"/>
          <w:highlight w:val="yellow"/>
        </w:rPr>
        <w:t xml:space="preserve">[their online form / email]</w:t>
      </w:r>
      <w:r>
        <w:rPr>
          <w:rFonts w:ascii="Nunito Sans" w:cs="Nunito Sans" w:eastAsia="Nunito Sans" w:hAnsi="Nunito Sans"/>
          <w:color w:val="102E3B"/>
          <w:sz w:val="20"/>
          <w:szCs w:val="20"/>
        </w:rPr>
        <w:t xml:space="preserve"> within </w:t>
      </w:r>
      <w:r>
        <w:rPr>
          <w:rFonts w:ascii="Nunito Sans" w:cs="Nunito Sans" w:eastAsia="Nunito Sans" w:hAnsi="Nunito Sans"/>
          <w:color w:val="102E3B"/>
          <w:sz w:val="20"/>
          <w:szCs w:val="20"/>
          <w:highlight w:val="yellow"/>
        </w:rPr>
        <w:t xml:space="preserve">[72 hours]</w:t>
      </w:r>
      <w:r>
        <w:rPr>
          <w:rFonts w:ascii="Nunito Sans" w:cs="Nunito Sans" w:eastAsia="Nunito Sans" w:hAnsi="Nunito Sans"/>
          <w:color w:val="102E3B"/>
          <w:sz w:val="20"/>
          <w:szCs w:val="20"/>
        </w:rPr>
        <w:t xml:space="preserve">.</w:t>
      </w:r>
    </w:p>
    <w:p>
      <w:pPr>
        <w:pStyle w:val="Heading2"/>
        <w:keepNext/>
        <w:spacing w:after="120" w:before="280"/>
      </w:pPr>
      <w:r>
        <w:rPr>
          <w:rFonts w:ascii="DM Serif Display" w:cs="DM Serif Display" w:eastAsia="DM Serif Display" w:hAnsi="DM Serif Display"/>
          <w:color w:val="123C48"/>
          <w:sz w:val="28"/>
          <w:szCs w:val="28"/>
        </w:rPr>
        <w:t xml:space="preserve">The people affected</w:t>
      </w:r>
    </w:p>
    <w:p>
      <w:pPr>
        <w:spacing w:after="120" w:before="0" w:line="300"/>
      </w:pPr>
      <w:r>
        <w:rPr>
          <w:rFonts w:ascii="Nunito Sans" w:cs="Nunito Sans" w:eastAsia="Nunito Sans" w:hAnsi="Nunito Sans"/>
          <w:color w:val="102E3B"/>
          <w:sz w:val="20"/>
          <w:szCs w:val="20"/>
        </w:rPr>
        <w:t xml:space="preserve">We tell the people affected without undue delay when the breach is likely to result in a high risk to them, so they can protect themselves. We may also tell them when the risk is lower, if it helps them. We use plain language, their own language, and a channel that reaches them safely: a phone call or visit may be better than a letter for people with low literacy or where post is not private.</w:t>
      </w:r>
    </w:p>
    <w:p>
      <w:pPr>
        <w:pStyle w:val="Heading2"/>
        <w:keepNext/>
        <w:spacing w:after="120" w:before="280"/>
      </w:pPr>
      <w:r>
        <w:rPr>
          <w:rFonts w:ascii="DM Serif Display" w:cs="DM Serif Display" w:eastAsia="DM Serif Display" w:hAnsi="DM Serif Display"/>
          <w:color w:val="123C48"/>
          <w:sz w:val="28"/>
          <w:szCs w:val="28"/>
        </w:rPr>
        <w:t xml:space="preserve">Funders, partners and others</w:t>
      </w:r>
    </w:p>
    <w:p>
      <w:pPr>
        <w:pStyle w:val="ListParagraph"/>
        <w:numPr>
          <w:ilvl w:val="0"/>
          <w:numId w:val="3"/>
        </w:numPr>
        <w:spacing w:after="80" w:line="290"/>
      </w:pPr>
      <w:r>
        <w:rPr>
          <w:rFonts w:ascii="Nunito Sans" w:cs="Nunito Sans" w:eastAsia="Nunito Sans" w:hAnsi="Nunito Sans"/>
          <w:b/>
          <w:bCs/>
          <w:color w:val="102E3B"/>
          <w:sz w:val="20"/>
          <w:szCs w:val="20"/>
        </w:rPr>
        <w:t xml:space="preserve">Funders:</w:t>
      </w:r>
      <w:r>
        <w:rPr>
          <w:rFonts w:ascii="Nunito Sans" w:cs="Nunito Sans" w:eastAsia="Nunito Sans" w:hAnsi="Nunito Sans"/>
          <w:color w:val="102E3B"/>
          <w:sz w:val="20"/>
          <w:szCs w:val="20"/>
        </w:rPr>
        <w:t xml:space="preserve"> many grant agreements require notice of a data breach within a set time, often </w:t>
      </w:r>
      <w:r>
        <w:rPr>
          <w:rFonts w:ascii="Nunito Sans" w:cs="Nunito Sans" w:eastAsia="Nunito Sans" w:hAnsi="Nunito Sans"/>
          <w:color w:val="102E3B"/>
          <w:sz w:val="20"/>
          <w:szCs w:val="20"/>
          <w:highlight w:val="yellow"/>
        </w:rPr>
        <w:t xml:space="preserve">[24 to 72 hours]</w:t>
      </w:r>
      <w:r>
        <w:rPr>
          <w:rFonts w:ascii="Nunito Sans" w:cs="Nunito Sans" w:eastAsia="Nunito Sans" w:hAnsi="Nunito Sans"/>
          <w:color w:val="102E3B"/>
          <w:sz w:val="20"/>
          <w:szCs w:val="20"/>
        </w:rPr>
        <w:t xml:space="preserve">. Check each agreement.</w:t>
      </w:r>
    </w:p>
    <w:p>
      <w:pPr>
        <w:pStyle w:val="ListParagraph"/>
        <w:numPr>
          <w:ilvl w:val="0"/>
          <w:numId w:val="3"/>
        </w:numPr>
        <w:spacing w:after="80" w:line="290"/>
      </w:pPr>
      <w:r>
        <w:rPr>
          <w:rFonts w:ascii="Nunito Sans" w:cs="Nunito Sans" w:eastAsia="Nunito Sans" w:hAnsi="Nunito Sans"/>
          <w:b/>
          <w:bCs/>
          <w:color w:val="102E3B"/>
          <w:sz w:val="20"/>
          <w:szCs w:val="20"/>
        </w:rPr>
        <w:t xml:space="preserve">Partners:</w:t>
      </w:r>
      <w:r>
        <w:rPr>
          <w:rFonts w:ascii="Nunito Sans" w:cs="Nunito Sans" w:eastAsia="Nunito Sans" w:hAnsi="Nunito Sans"/>
          <w:color w:val="102E3B"/>
          <w:sz w:val="20"/>
          <w:szCs w:val="20"/>
        </w:rPr>
        <w:t xml:space="preserve"> if a partner shared the data with us, our Data Sharing Agreement says how fast we must tell them. If we are acting on their behalf, they make the notification decisions and we support them.</w:t>
      </w:r>
    </w:p>
    <w:p>
      <w:pPr>
        <w:pStyle w:val="ListParagraph"/>
        <w:numPr>
          <w:ilvl w:val="0"/>
          <w:numId w:val="3"/>
        </w:numPr>
        <w:spacing w:after="80" w:line="290"/>
      </w:pPr>
      <w:r>
        <w:rPr>
          <w:rFonts w:ascii="Nunito Sans" w:cs="Nunito Sans" w:eastAsia="Nunito Sans" w:hAnsi="Nunito Sans"/>
          <w:b/>
          <w:bCs/>
          <w:color w:val="102E3B"/>
          <w:sz w:val="20"/>
          <w:szCs w:val="20"/>
        </w:rPr>
        <w:t xml:space="preserve">Police:</w:t>
      </w:r>
      <w:r>
        <w:rPr>
          <w:rFonts w:ascii="Nunito Sans" w:cs="Nunito Sans" w:eastAsia="Nunito Sans" w:hAnsi="Nunito Sans"/>
          <w:color w:val="102E3B"/>
          <w:sz w:val="20"/>
          <w:szCs w:val="20"/>
        </w:rPr>
        <w:t xml:space="preserve"> for theft, fraud, extortion or ransomware.</w:t>
      </w:r>
    </w:p>
    <w:p>
      <w:pPr>
        <w:pStyle w:val="ListParagraph"/>
        <w:numPr>
          <w:ilvl w:val="0"/>
          <w:numId w:val="3"/>
        </w:numPr>
        <w:spacing w:after="80" w:line="290"/>
      </w:pPr>
      <w:r>
        <w:rPr>
          <w:rFonts w:ascii="Nunito Sans" w:cs="Nunito Sans" w:eastAsia="Nunito Sans" w:hAnsi="Nunito Sans"/>
          <w:b/>
          <w:bCs/>
          <w:color w:val="102E3B"/>
          <w:sz w:val="20"/>
          <w:szCs w:val="20"/>
        </w:rPr>
        <w:t xml:space="preserve">Bank:</w:t>
      </w:r>
      <w:r>
        <w:rPr>
          <w:rFonts w:ascii="Nunito Sans" w:cs="Nunito Sans" w:eastAsia="Nunito Sans" w:hAnsi="Nunito Sans"/>
          <w:color w:val="102E3B"/>
          <w:sz w:val="20"/>
          <w:szCs w:val="20"/>
        </w:rPr>
        <w:t xml:space="preserve"> if financial details or accounts are involved.</w:t>
      </w:r>
    </w:p>
    <w:p>
      <w:pPr>
        <w:pStyle w:val="ListParagraph"/>
        <w:numPr>
          <w:ilvl w:val="0"/>
          <w:numId w:val="3"/>
        </w:numPr>
        <w:spacing w:after="80" w:line="290"/>
      </w:pPr>
      <w:r>
        <w:rPr>
          <w:rFonts w:ascii="Nunito Sans" w:cs="Nunito Sans" w:eastAsia="Nunito Sans" w:hAnsi="Nunito Sans"/>
          <w:b/>
          <w:bCs/>
          <w:color w:val="102E3B"/>
          <w:sz w:val="20"/>
          <w:szCs w:val="20"/>
        </w:rPr>
        <w:t xml:space="preserve">Insurer:</w:t>
      </w:r>
      <w:r>
        <w:rPr>
          <w:rFonts w:ascii="Nunito Sans" w:cs="Nunito Sans" w:eastAsia="Nunito Sans" w:hAnsi="Nunito Sans"/>
          <w:color w:val="102E3B"/>
          <w:sz w:val="20"/>
          <w:szCs w:val="20"/>
        </w:rPr>
        <w:t xml:space="preserve"> as the policy requires, often before taking other steps.</w:t>
      </w:r>
    </w:p>
    <w:p>
      <w:pPr>
        <w:pStyle w:val="ListParagraph"/>
        <w:numPr>
          <w:ilvl w:val="0"/>
          <w:numId w:val="3"/>
        </w:numPr>
        <w:spacing w:after="80" w:line="290"/>
      </w:pPr>
      <w:r>
        <w:rPr>
          <w:rFonts w:ascii="Nunito Sans" w:cs="Nunito Sans" w:eastAsia="Nunito Sans" w:hAnsi="Nunito Sans"/>
          <w:b/>
          <w:bCs/>
          <w:color w:val="102E3B"/>
          <w:sz w:val="20"/>
          <w:szCs w:val="20"/>
        </w:rPr>
        <w:t xml:space="preserve">Board:</w:t>
      </w:r>
      <w:r>
        <w:rPr>
          <w:rFonts w:ascii="Nunito Sans" w:cs="Nunito Sans" w:eastAsia="Nunito Sans" w:hAnsi="Nunito Sans"/>
          <w:color w:val="102E3B"/>
          <w:sz w:val="20"/>
          <w:szCs w:val="20"/>
        </w:rPr>
        <w:t xml:space="preserve"> the chair is told of every high-risk breach within </w:t>
      </w:r>
      <w:r>
        <w:rPr>
          <w:rFonts w:ascii="Nunito Sans" w:cs="Nunito Sans" w:eastAsia="Nunito Sans" w:hAnsi="Nunito Sans"/>
          <w:color w:val="102E3B"/>
          <w:sz w:val="20"/>
          <w:szCs w:val="20"/>
          <w:highlight w:val="yellow"/>
        </w:rPr>
        <w:t xml:space="preserve">[24 hours]</w:t>
      </w:r>
      <w:r>
        <w:rPr>
          <w:rFonts w:ascii="Nunito Sans" w:cs="Nunito Sans" w:eastAsia="Nunito Sans" w:hAnsi="Nunito Sans"/>
          <w:color w:val="102E3B"/>
          <w:sz w:val="20"/>
          <w:szCs w:val="20"/>
        </w:rPr>
        <w:t xml:space="preserv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NOTIFICATION RULES BY COUNTRY</w:t>
            </w:r>
          </w:p>
          <w:p>
            <w:pPr>
              <w:spacing w:after="120" w:before="0" w:line="300"/>
            </w:pPr>
            <w:r>
              <w:rPr>
                <w:rFonts w:ascii="Nunito Sans" w:cs="Nunito Sans" w:eastAsia="Nunito Sans" w:hAnsi="Nunito Sans"/>
                <w:color w:val="102E3B"/>
                <w:sz w:val="19"/>
                <w:szCs w:val="19"/>
              </w:rPr>
              <w:t xml:space="preserve">Check the deadlines and thresholds that apply to you. GDPR and UK GDPR: the regulator within 72 hours unless unlikely to result in a risk; people affected without undue delay if high risk. Kenya, Data Protection Act 2019: the Data Commissioner within 72 hours, and people affected within a reasonably practical period. Nigeria, Data Protection Act 2023: the Nigeria Data Protection Commission within 72 hours, and people affected immediately where the risk is high. South Africa, POPIA: the Information Regulator and the people affected as soon as reasonably possible, with no fixed number of hours. Brazil, LGPD: the ANPD and people affected where there is relevant risk; ANPD Resolution 15/2024 sets 3 working days from becoming aware, doubled for small processing agents. India, DPDP Act 2023 and its 2025 Rules: the Data Protection Board and each affected person, with a detailed report to the Board within 72 hours; these Rules were set to apply 18 months after their notification in November 2025, so check whether they are in force. Indonesia, Law 27 of 2022: written notice to people affected and the authority within 3 x 24 hours. Peru, Law 29733 and its 2024 regulation: the national authority within 48 hours of detecting the incident. Argentina: check current rules, which have been changing. If you hold data on donors in the United States, state breach laws may also apply.</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Step 5: Communicate</w:t>
      </w:r>
    </w:p>
    <w:p>
      <w:pPr>
        <w:pStyle w:val="ListParagraph"/>
        <w:numPr>
          <w:ilvl w:val="0"/>
          <w:numId w:val="3"/>
        </w:numPr>
        <w:spacing w:after="80" w:line="290"/>
      </w:pPr>
      <w:r>
        <w:rPr>
          <w:rFonts w:ascii="Nunito Sans" w:cs="Nunito Sans" w:eastAsia="Nunito Sans" w:hAnsi="Nunito Sans"/>
          <w:color w:val="102E3B"/>
          <w:sz w:val="20"/>
          <w:szCs w:val="20"/>
        </w:rPr>
        <w:t xml:space="preserve">Only the breach lead, or someone they authorise, speaks about a breach outside the organisation.</w:t>
      </w:r>
    </w:p>
    <w:p>
      <w:pPr>
        <w:pStyle w:val="ListParagraph"/>
        <w:numPr>
          <w:ilvl w:val="0"/>
          <w:numId w:val="3"/>
        </w:numPr>
        <w:spacing w:after="80" w:line="290"/>
      </w:pPr>
      <w:r>
        <w:rPr>
          <w:rFonts w:ascii="Nunito Sans" w:cs="Nunito Sans" w:eastAsia="Nunito Sans" w:hAnsi="Nunito Sans"/>
          <w:color w:val="102E3B"/>
          <w:sz w:val="20"/>
          <w:szCs w:val="20"/>
        </w:rPr>
        <w:t xml:space="preserve">Everyone involved keeps the details confidential, including on personal social media.</w:t>
      </w:r>
    </w:p>
    <w:p>
      <w:pPr>
        <w:pStyle w:val="ListParagraph"/>
        <w:numPr>
          <w:ilvl w:val="0"/>
          <w:numId w:val="3"/>
        </w:numPr>
        <w:spacing w:after="80" w:line="290"/>
      </w:pPr>
      <w:r>
        <w:rPr>
          <w:rFonts w:ascii="Nunito Sans" w:cs="Nunito Sans" w:eastAsia="Nunito Sans" w:hAnsi="Nunito Sans"/>
          <w:color w:val="102E3B"/>
          <w:sz w:val="20"/>
          <w:szCs w:val="20"/>
        </w:rPr>
        <w:t xml:space="preserve">Messages to people affected say what happened, what information was involved, what harm could follow, what we have done, what they can do, and who to contact. Annex C has wording.</w:t>
      </w:r>
    </w:p>
    <w:p>
      <w:pPr>
        <w:pStyle w:val="ListParagraph"/>
        <w:numPr>
          <w:ilvl w:val="0"/>
          <w:numId w:val="3"/>
        </w:numPr>
        <w:spacing w:after="80" w:line="290"/>
      </w:pPr>
      <w:r>
        <w:rPr>
          <w:rFonts w:ascii="Nunito Sans" w:cs="Nunito Sans" w:eastAsia="Nunito Sans" w:hAnsi="Nunito Sans"/>
          <w:color w:val="102E3B"/>
          <w:sz w:val="20"/>
          <w:szCs w:val="20"/>
        </w:rPr>
        <w:t xml:space="preserve">If the media ask, we use a short, honest holding statement agreed by </w:t>
      </w:r>
      <w:r>
        <w:rPr>
          <w:rFonts w:ascii="Nunito Sans" w:cs="Nunito Sans" w:eastAsia="Nunito Sans" w:hAnsi="Nunito Sans"/>
          <w:color w:val="102E3B"/>
          <w:sz w:val="20"/>
          <w:szCs w:val="20"/>
          <w:highlight w:val="yellow"/>
        </w:rPr>
        <w:t xml:space="preserve">[Name, role]</w:t>
      </w:r>
      <w:r>
        <w:rPr>
          <w:rFonts w:ascii="Nunito Sans" w:cs="Nunito Sans" w:eastAsia="Nunito Sans" w:hAnsi="Nunito Sans"/>
          <w:color w:val="102E3B"/>
          <w:sz w:val="20"/>
          <w:szCs w:val="20"/>
        </w:rPr>
        <w:t xml:space="preserve"> and do not name anyone affected.</w:t>
      </w:r>
    </w:p>
    <w:p>
      <w:pPr>
        <w:pStyle w:val="ListParagraph"/>
        <w:numPr>
          <w:ilvl w:val="0"/>
          <w:numId w:val="3"/>
        </w:numPr>
        <w:spacing w:after="80" w:line="290"/>
      </w:pPr>
      <w:r>
        <w:rPr>
          <w:rFonts w:ascii="Nunito Sans" w:cs="Nunito Sans" w:eastAsia="Nunito Sans" w:hAnsi="Nunito Sans"/>
          <w:color w:val="102E3B"/>
          <w:sz w:val="20"/>
          <w:szCs w:val="20"/>
        </w:rPr>
        <w:t xml:space="preserve">Where people could be at risk of physical harm, the safeguarding lead decides how and when they are told, so that the message itself does not put them in danger.</w:t>
      </w:r>
    </w:p>
    <w:p>
      <w:pPr>
        <w:pStyle w:val="Heading1"/>
        <w:keepNext/>
        <w:spacing w:after="160" w:before="360"/>
      </w:pPr>
      <w:r>
        <w:rPr>
          <w:rFonts w:ascii="DM Serif Display" w:cs="DM Serif Display" w:eastAsia="DM Serif Display" w:hAnsi="DM Serif Display"/>
          <w:color w:val="123C48"/>
          <w:sz w:val="40"/>
          <w:szCs w:val="40"/>
        </w:rPr>
        <w:t xml:space="preserve">Step 6: Recover</w:t>
      </w:r>
    </w:p>
    <w:p>
      <w:pPr>
        <w:spacing w:after="120" w:before="0" w:line="300"/>
      </w:pPr>
      <w:r>
        <w:rPr>
          <w:rFonts w:ascii="Nunito Sans" w:cs="Nunito Sans" w:eastAsia="Nunito Sans" w:hAnsi="Nunito Sans"/>
          <w:color w:val="102E3B"/>
          <w:sz w:val="20"/>
          <w:szCs w:val="20"/>
        </w:rPr>
        <w:t xml:space="preserve">Within </w:t>
      </w:r>
      <w:r>
        <w:rPr>
          <w:rFonts w:ascii="Nunito Sans" w:cs="Nunito Sans" w:eastAsia="Nunito Sans" w:hAnsi="Nunito Sans"/>
          <w:color w:val="102E3B"/>
          <w:sz w:val="20"/>
          <w:szCs w:val="20"/>
          <w:highlight w:val="yellow"/>
        </w:rPr>
        <w:t xml:space="preserve">[2 weeks]</w:t>
      </w:r>
      <w:r>
        <w:rPr>
          <w:rFonts w:ascii="Nunito Sans" w:cs="Nunito Sans" w:eastAsia="Nunito Sans" w:hAnsi="Nunito Sans"/>
          <w:color w:val="102E3B"/>
          <w:sz w:val="20"/>
          <w:szCs w:val="20"/>
        </w:rPr>
        <w:t xml:space="preserve">, or sooner for serious breaches, the breach lead makes sure that:</w:t>
      </w:r>
    </w:p>
    <w:p>
      <w:pPr>
        <w:pStyle w:val="ListParagraph"/>
        <w:numPr>
          <w:ilvl w:val="0"/>
          <w:numId w:val="3"/>
        </w:numPr>
        <w:spacing w:after="80" w:line="290"/>
      </w:pPr>
      <w:r>
        <w:rPr>
          <w:rFonts w:ascii="Nunito Sans" w:cs="Nunito Sans" w:eastAsia="Nunito Sans" w:hAnsi="Nunito Sans"/>
          <w:color w:val="102E3B"/>
          <w:sz w:val="20"/>
          <w:szCs w:val="20"/>
        </w:rPr>
        <w:t xml:space="preserve">systems are restored from clean backups and checked;</w:t>
      </w:r>
    </w:p>
    <w:p>
      <w:pPr>
        <w:pStyle w:val="ListParagraph"/>
        <w:numPr>
          <w:ilvl w:val="0"/>
          <w:numId w:val="3"/>
        </w:numPr>
        <w:spacing w:after="80" w:line="290"/>
      </w:pPr>
      <w:r>
        <w:rPr>
          <w:rFonts w:ascii="Nunito Sans" w:cs="Nunito Sans" w:eastAsia="Nunito Sans" w:hAnsi="Nunito Sans"/>
          <w:color w:val="102E3B"/>
          <w:sz w:val="20"/>
          <w:szCs w:val="20"/>
        </w:rPr>
        <w:t xml:space="preserve">passwords and access are reset and lost devices are replaced and set up securely;</w:t>
      </w:r>
    </w:p>
    <w:p>
      <w:pPr>
        <w:pStyle w:val="ListParagraph"/>
        <w:numPr>
          <w:ilvl w:val="0"/>
          <w:numId w:val="3"/>
        </w:numPr>
        <w:spacing w:after="80" w:line="290"/>
      </w:pPr>
      <w:r>
        <w:rPr>
          <w:rFonts w:ascii="Nunito Sans" w:cs="Nunito Sans" w:eastAsia="Nunito Sans" w:hAnsi="Nunito Sans"/>
          <w:color w:val="102E3B"/>
          <w:sz w:val="20"/>
          <w:szCs w:val="20"/>
        </w:rPr>
        <w:t xml:space="preserve">recipients have confirmed deletion, and we have checked for any misuse of the data;</w:t>
      </w:r>
    </w:p>
    <w:p>
      <w:pPr>
        <w:pStyle w:val="ListParagraph"/>
        <w:numPr>
          <w:ilvl w:val="0"/>
          <w:numId w:val="3"/>
        </w:numPr>
        <w:spacing w:after="80" w:line="290"/>
      </w:pPr>
      <w:r>
        <w:rPr>
          <w:rFonts w:ascii="Nunito Sans" w:cs="Nunito Sans" w:eastAsia="Nunito Sans" w:hAnsi="Nunito Sans"/>
          <w:color w:val="102E3B"/>
          <w:sz w:val="20"/>
          <w:szCs w:val="20"/>
        </w:rPr>
        <w:t xml:space="preserve">people affected have the support we promised, such as a call from a staff member they know.</w:t>
      </w:r>
    </w:p>
    <w:p>
      <w:pPr>
        <w:pStyle w:val="Heading1"/>
        <w:keepNext/>
        <w:spacing w:after="160" w:before="360"/>
      </w:pPr>
      <w:r>
        <w:rPr>
          <w:rFonts w:ascii="DM Serif Display" w:cs="DM Serif Display" w:eastAsia="DM Serif Display" w:hAnsi="DM Serif Display"/>
          <w:color w:val="123C48"/>
          <w:sz w:val="40"/>
          <w:szCs w:val="40"/>
        </w:rPr>
        <w:t xml:space="preserve">Step 7: Learn</w:t>
      </w:r>
    </w:p>
    <w:p>
      <w:pPr>
        <w:spacing w:after="120" w:before="0" w:line="300"/>
      </w:pPr>
      <w:r>
        <w:rPr>
          <w:rFonts w:ascii="Nunito Sans" w:cs="Nunito Sans" w:eastAsia="Nunito Sans" w:hAnsi="Nunito Sans"/>
          <w:color w:val="102E3B"/>
          <w:sz w:val="20"/>
          <w:szCs w:val="20"/>
        </w:rPr>
        <w:t xml:space="preserve">Within </w:t>
      </w:r>
      <w:r>
        <w:rPr>
          <w:rFonts w:ascii="Nunito Sans" w:cs="Nunito Sans" w:eastAsia="Nunito Sans" w:hAnsi="Nunito Sans"/>
          <w:color w:val="102E3B"/>
          <w:sz w:val="20"/>
          <w:szCs w:val="20"/>
          <w:highlight w:val="yellow"/>
        </w:rPr>
        <w:t xml:space="preserve">[30 days]</w:t>
      </w:r>
      <w:r>
        <w:rPr>
          <w:rFonts w:ascii="Nunito Sans" w:cs="Nunito Sans" w:eastAsia="Nunito Sans" w:hAnsi="Nunito Sans"/>
          <w:color w:val="102E3B"/>
          <w:sz w:val="20"/>
          <w:szCs w:val="20"/>
        </w:rPr>
        <w:t xml:space="preserve">, the breach lead reviews what happened with the people involved. The review asks what caused the breach, what worked and what did not, and what we will change. Actions are recorded in the log with an owner and a date, and added to the Risk Register where relevant. The board receives a summary of all breaches </w:t>
      </w:r>
      <w:r>
        <w:rPr>
          <w:rFonts w:ascii="Nunito Sans" w:cs="Nunito Sans" w:eastAsia="Nunito Sans" w:hAnsi="Nunito Sans"/>
          <w:color w:val="102E3B"/>
          <w:sz w:val="20"/>
          <w:szCs w:val="20"/>
          <w:highlight w:val="yellow"/>
        </w:rPr>
        <w:t xml:space="preserve">[every six months / once a year]</w:t>
      </w:r>
      <w:r>
        <w:rPr>
          <w:rFonts w:ascii="Nunito Sans" w:cs="Nunito Sans" w:eastAsia="Nunito Sans" w:hAnsi="Nunito Sans"/>
          <w:color w:val="102E3B"/>
          <w:sz w:val="20"/>
          <w:szCs w:val="20"/>
        </w:rPr>
        <w:t xml:space="preserve">, and a full report on any high-risk breach.</w:t>
      </w:r>
    </w:p>
    <w:p>
      <w:pPr>
        <w:pStyle w:val="Heading1"/>
        <w:keepNext/>
        <w:spacing w:after="160" w:before="360"/>
      </w:pPr>
      <w:r>
        <w:rPr>
          <w:rFonts w:ascii="DM Serif Display" w:cs="DM Serif Display" w:eastAsia="DM Serif Display" w:hAnsi="DM Serif Display"/>
          <w:color w:val="123C48"/>
          <w:sz w:val="40"/>
          <w:szCs w:val="40"/>
        </w:rPr>
        <w:t xml:space="preserve">Record every breach</w:t>
      </w:r>
    </w:p>
    <w:p>
      <w:pPr>
        <w:spacing w:after="120" w:before="0" w:line="300"/>
      </w:pPr>
      <w:r>
        <w:rPr>
          <w:rFonts w:ascii="Nunito Sans" w:cs="Nunito Sans" w:eastAsia="Nunito Sans" w:hAnsi="Nunito Sans"/>
          <w:color w:val="102E3B"/>
          <w:sz w:val="20"/>
          <w:szCs w:val="20"/>
        </w:rPr>
        <w:t xml:space="preserve">The breach lead records every breach and near miss in the breach log, whether or not anyone is notified. The record shows the facts, the effects, the actions taken and the reasons for each notification decision. Regulators can ask to see it. The log is kept for </w:t>
      </w:r>
      <w:r>
        <w:rPr>
          <w:rFonts w:ascii="Nunito Sans" w:cs="Nunito Sans" w:eastAsia="Nunito Sans" w:hAnsi="Nunito Sans"/>
          <w:color w:val="102E3B"/>
          <w:sz w:val="20"/>
          <w:szCs w:val="20"/>
          <w:highlight w:val="yellow"/>
        </w:rPr>
        <w:t xml:space="preserve">[6 years]</w:t>
      </w:r>
      <w:r>
        <w:rPr>
          <w:rFonts w:ascii="Nunito Sans" w:cs="Nunito Sans" w:eastAsia="Nunito Sans" w:hAnsi="Nunito Sans"/>
          <w:color w:val="102E3B"/>
          <w:sz w:val="20"/>
          <w:szCs w:val="20"/>
        </w:rPr>
        <w:t xml:space="preserve"> and is visible only to the breach lead, the deputy and the director.</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BREACH LOG STORAGE</w:t>
            </w:r>
          </w:p>
          <w:p>
            <w:pPr>
              <w:spacing w:after="120" w:before="0" w:line="300"/>
            </w:pPr>
            <w:r>
              <w:rPr>
                <w:rFonts w:ascii="Nunito Sans" w:cs="Nunito Sans" w:eastAsia="Nunito Sans" w:hAnsi="Nunito Sans"/>
                <w:color w:val="102E3B"/>
                <w:sz w:val="19"/>
                <w:szCs w:val="19"/>
              </w:rPr>
              <w:t xml:space="preserve">Keep the log somewhere that would survive the breach, for example not on the laptop that was stolen or the account that was hacked. A protected spreadsheet in a separate account, or a paper register in a locked drawer, works for a small team. Match the retention period to your Records Retention Schedule.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Example: Lost phone with participant contacts</w:t>
      </w:r>
    </w:p>
    <w:p>
      <w:pPr>
        <w:spacing w:after="120" w:before="0" w:line="300"/>
      </w:pPr>
      <w:r>
        <w:rPr>
          <w:rFonts w:ascii="Nunito Sans" w:cs="Nunito Sans" w:eastAsia="Nunito Sans" w:hAnsi="Nunito Sans"/>
          <w:color w:val="102E3B"/>
          <w:sz w:val="20"/>
          <w:szCs w:val="20"/>
        </w:rPr>
        <w:t xml:space="preserve">A field officer leaves a work phone in a taxi on Friday at 5pm. It holds the names and numbers of 40 programme participants, and a WhatsApp group for a support group for survivors of violence.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14"/>
        <w:gridCol w:w="5904"/>
        <w:gridCol w:w="1906"/>
      </w:tblGrid>
      <w:tr>
        <w:trPr>
          <w:cantSplit/>
          <w:tblHeader/>
        </w:trPr>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WHEN</w:t>
            </w:r>
          </w:p>
        </w:tc>
        <w:tc>
          <w:tcPr>
            <w:tcW w:type="dxa" w:w="590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WHAT HAPPENS</w:t>
            </w:r>
          </w:p>
        </w:tc>
        <w:tc>
          <w:tcPr>
            <w:tcW w:type="dxa" w:w="190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WHO</w:t>
            </w:r>
          </w:p>
        </w:tc>
      </w:tr>
      <w:tr>
        <w:trPr>
          <w:cantSplit/>
          <w:tblHeader w:val="off"/>
        </w:trPr>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5:40pm</w:t>
            </w:r>
          </w:p>
        </w:tc>
        <w:tc>
          <w:tcPr>
            <w:tcW w:type="dxa" w:w="5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Officer notices, tries calling the phone, then phones the breach lead</w:t>
            </w:r>
          </w:p>
        </w:tc>
        <w:tc>
          <w:tcPr>
            <w:tcW w:type="dxa" w:w="190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Field officer</w:t>
            </w:r>
          </w:p>
        </w:tc>
      </w:tr>
      <w:tr>
        <w:trPr>
          <w:cantSplit/>
          <w:tblHeader w:val="off"/>
        </w:trPr>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5:50pm</w:t>
            </w:r>
          </w:p>
        </w:tc>
        <w:tc>
          <w:tcPr>
            <w:tcW w:type="dxa" w:w="5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Breach lead opens a log entry; asks if the phone had a screen lock (yes, 4-digit PIN)</w:t>
            </w:r>
          </w:p>
        </w:tc>
        <w:tc>
          <w:tcPr>
            <w:tcW w:type="dxa" w:w="190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Breach lead</w:t>
            </w:r>
          </w:p>
        </w:tc>
      </w:tr>
      <w:tr>
        <w:trPr>
          <w:cantSplit/>
          <w:tblHeader w:val="off"/>
        </w:trPr>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6:00pm</w:t>
            </w:r>
          </w:p>
        </w:tc>
        <w:tc>
          <w:tcPr>
            <w:tcW w:type="dxa" w:w="5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Phone is located remotely, then locked and wiped; the officer's accounts are signed out and passwords changed; the officer's number is removed from the WhatsApp group by another admin</w:t>
            </w:r>
          </w:p>
        </w:tc>
        <w:tc>
          <w:tcPr>
            <w:tcW w:type="dxa" w:w="190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Breach lead, IT support</w:t>
            </w:r>
          </w:p>
        </w:tc>
      </w:tr>
      <w:tr>
        <w:trPr>
          <w:cantSplit/>
          <w:tblHeader w:val="off"/>
        </w:trPr>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Saturday</w:t>
            </w:r>
          </w:p>
        </w:tc>
        <w:tc>
          <w:tcPr>
            <w:tcW w:type="dxa" w:w="5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Risk assessed as high: a survivors' group could reveal who is in it, and a PIN is weak protection. Safeguarding lead joins</w:t>
            </w:r>
          </w:p>
        </w:tc>
        <w:tc>
          <w:tcPr>
            <w:tcW w:type="dxa" w:w="190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Breach lead, safeguarding lead</w:t>
            </w:r>
          </w:p>
        </w:tc>
      </w:tr>
      <w:tr>
        <w:trPr>
          <w:cantSplit/>
          <w:tblHeader w:val="off"/>
        </w:trPr>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Sunday</w:t>
            </w:r>
          </w:p>
        </w:tc>
        <w:tc>
          <w:tcPr>
            <w:tcW w:type="dxa" w:w="5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Chair informed. Decision to notify the regulator and the funder. Safeguarding lead plans how to tell group members safely</w:t>
            </w:r>
          </w:p>
        </w:tc>
        <w:tc>
          <w:tcPr>
            <w:tcW w:type="dxa" w:w="190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Breach lead</w:t>
            </w:r>
          </w:p>
        </w:tc>
      </w:tr>
      <w:tr>
        <w:trPr>
          <w:cantSplit/>
          <w:tblHeader w:val="off"/>
        </w:trPr>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Monday</w:t>
            </w:r>
          </w:p>
        </w:tc>
        <w:tc>
          <w:tcPr>
            <w:tcW w:type="dxa" w:w="5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Regulator notified within 72 hours; funder notified as the grant requires; theft or loss reported to the police for a reference</w:t>
            </w:r>
          </w:p>
        </w:tc>
        <w:tc>
          <w:tcPr>
            <w:tcW w:type="dxa" w:w="190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Breach lead</w:t>
            </w:r>
          </w:p>
        </w:tc>
      </w:tr>
      <w:tr>
        <w:trPr>
          <w:cantSplit/>
          <w:tblHeader w:val="off"/>
        </w:trPr>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Mon–Tue</w:t>
            </w:r>
          </w:p>
        </w:tc>
        <w:tc>
          <w:tcPr>
            <w:tcW w:type="dxa" w:w="5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Safeguarding lead and a trusted facilitator call each group member individually, explain, and agree any safety steps</w:t>
            </w:r>
          </w:p>
        </w:tc>
        <w:tc>
          <w:tcPr>
            <w:tcW w:type="dxa" w:w="190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Safeguarding lead</w:t>
            </w:r>
          </w:p>
        </w:tc>
      </w:tr>
      <w:tr>
        <w:trPr>
          <w:cantSplit/>
          <w:tblHeader w:val="off"/>
        </w:trPr>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Within 30 days</w:t>
            </w:r>
          </w:p>
        </w:tc>
        <w:tc>
          <w:tcPr>
            <w:tcW w:type="dxa" w:w="5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Review: all work phones get 6-digit PINs and remote wipe; sensitive groups move to a setting where members cannot see each other's numbers</w:t>
            </w:r>
          </w:p>
        </w:tc>
        <w:tc>
          <w:tcPr>
            <w:tcW w:type="dxa" w:w="190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Breach lead</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YOUR OWN EXAMPLE</w:t>
            </w:r>
          </w:p>
          <w:p>
            <w:pPr>
              <w:spacing w:after="120" w:before="0" w:line="300"/>
            </w:pPr>
            <w:r>
              <w:rPr>
                <w:rFonts w:ascii="Nunito Sans" w:cs="Nunito Sans" w:eastAsia="Nunito Sans" w:hAnsi="Nunito Sans"/>
                <w:color w:val="102E3B"/>
                <w:sz w:val="19"/>
                <w:szCs w:val="19"/>
              </w:rPr>
              <w:t xml:space="preserve">Replace this example with one that matches your work, for example paper forms from a community health survey, or a spreadsheet of donors sent to the wrong partner. Practise it once a year as a 30-minute desk exercise with the team.</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Timescales at a glance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85"/>
        <w:gridCol w:w="5239"/>
      </w:tblGrid>
      <w:tr>
        <w:trPr>
          <w:cantSplit/>
          <w:tblHeader/>
        </w:trPr>
        <w:tc>
          <w:tcPr>
            <w:tcW w:type="dxa" w:w="4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ACTION</w:t>
            </w:r>
          </w:p>
        </w:tc>
        <w:tc>
          <w:tcPr>
            <w:tcW w:type="dxa" w:w="523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TIME LIMIT</w:t>
            </w:r>
          </w:p>
        </w:tc>
      </w:tr>
      <w:tr>
        <w:trPr>
          <w:cantSplit/>
          <w:tblHeader w:val="off"/>
        </w:trPr>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Report a suspected breach</w:t>
            </w:r>
          </w:p>
        </w:tc>
        <w:tc>
          <w:tcPr>
            <w:tcW w:type="dxa" w:w="5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Within </w:t>
            </w:r>
            <w:r>
              <w:rPr>
                <w:rFonts w:ascii="Nunito Sans" w:cs="Nunito Sans" w:eastAsia="Nunito Sans" w:hAnsi="Nunito Sans"/>
                <w:color w:val="102E3B"/>
                <w:sz w:val="18"/>
                <w:szCs w:val="18"/>
                <w:highlight w:val="yellow"/>
              </w:rPr>
              <w:t xml:space="preserve">[1 hour]</w:t>
            </w:r>
            <w:r>
              <w:rPr>
                <w:rFonts w:ascii="Nunito Sans" w:cs="Nunito Sans" w:eastAsia="Nunito Sans" w:hAnsi="Nunito Sans"/>
                <w:color w:val="102E3B"/>
                <w:sz w:val="18"/>
                <w:szCs w:val="18"/>
              </w:rPr>
              <w:t xml:space="preserve"> of noticing it</w:t>
            </w:r>
          </w:p>
        </w:tc>
      </w:tr>
      <w:tr>
        <w:trPr>
          <w:cantSplit/>
          <w:tblHeader w:val="off"/>
        </w:trPr>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Contain and open the log</w:t>
            </w:r>
          </w:p>
        </w:tc>
        <w:tc>
          <w:tcPr>
            <w:tcW w:type="dxa" w:w="523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Within the first hour of the report</w:t>
            </w:r>
          </w:p>
        </w:tc>
      </w:tr>
      <w:tr>
        <w:trPr>
          <w:cantSplit/>
          <w:tblHeader w:val="off"/>
        </w:trPr>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Assess risk to people</w:t>
            </w:r>
          </w:p>
        </w:tc>
        <w:tc>
          <w:tcPr>
            <w:tcW w:type="dxa" w:w="5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Within </w:t>
            </w:r>
            <w:r>
              <w:rPr>
                <w:rFonts w:ascii="Nunito Sans" w:cs="Nunito Sans" w:eastAsia="Nunito Sans" w:hAnsi="Nunito Sans"/>
                <w:color w:val="102E3B"/>
                <w:sz w:val="18"/>
                <w:szCs w:val="18"/>
                <w:highlight w:val="yellow"/>
              </w:rPr>
              <w:t xml:space="preserve">[24 hours]</w:t>
            </w:r>
          </w:p>
        </w:tc>
      </w:tr>
      <w:tr>
        <w:trPr>
          <w:cantSplit/>
          <w:tblHeader w:val="off"/>
        </w:trPr>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Tell the chair of a high-risk breach</w:t>
            </w:r>
          </w:p>
        </w:tc>
        <w:tc>
          <w:tcPr>
            <w:tcW w:type="dxa" w:w="523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Within </w:t>
            </w:r>
            <w:r>
              <w:rPr>
                <w:rFonts w:ascii="Nunito Sans" w:cs="Nunito Sans" w:eastAsia="Nunito Sans" w:hAnsi="Nunito Sans"/>
                <w:color w:val="102E3B"/>
                <w:sz w:val="18"/>
                <w:szCs w:val="18"/>
                <w:highlight w:val="yellow"/>
              </w:rPr>
              <w:t xml:space="preserve">[24 hours]</w:t>
            </w:r>
          </w:p>
        </w:tc>
      </w:tr>
      <w:tr>
        <w:trPr>
          <w:cantSplit/>
          <w:tblHeader w:val="off"/>
        </w:trPr>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Decide and, where required, notify the regulator</w:t>
            </w:r>
          </w:p>
        </w:tc>
        <w:tc>
          <w:tcPr>
            <w:tcW w:type="dxa" w:w="5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Within </w:t>
            </w:r>
            <w:r>
              <w:rPr>
                <w:rFonts w:ascii="Nunito Sans" w:cs="Nunito Sans" w:eastAsia="Nunito Sans" w:hAnsi="Nunito Sans"/>
                <w:color w:val="102E3B"/>
                <w:sz w:val="18"/>
                <w:szCs w:val="18"/>
                <w:highlight w:val="yellow"/>
              </w:rPr>
              <w:t xml:space="preserve">[72 hours]</w:t>
            </w:r>
            <w:r>
              <w:rPr>
                <w:rFonts w:ascii="Nunito Sans" w:cs="Nunito Sans" w:eastAsia="Nunito Sans" w:hAnsi="Nunito Sans"/>
                <w:color w:val="102E3B"/>
                <w:sz w:val="18"/>
                <w:szCs w:val="18"/>
              </w:rPr>
              <w:t xml:space="preserve"> of becoming aware</w:t>
            </w:r>
          </w:p>
        </w:tc>
      </w:tr>
      <w:tr>
        <w:trPr>
          <w:cantSplit/>
          <w:tblHeader w:val="off"/>
        </w:trPr>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Tell people affected where risk is high</w:t>
            </w:r>
          </w:p>
        </w:tc>
        <w:tc>
          <w:tcPr>
            <w:tcW w:type="dxa" w:w="523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Without undue delay</w:t>
            </w:r>
          </w:p>
        </w:tc>
      </w:tr>
      <w:tr>
        <w:trPr>
          <w:cantSplit/>
          <w:tblHeader w:val="off"/>
        </w:trPr>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Tell funders and partners</w:t>
            </w:r>
          </w:p>
        </w:tc>
        <w:tc>
          <w:tcPr>
            <w:tcW w:type="dxa" w:w="5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As each agreement requires</w:t>
            </w:r>
          </w:p>
        </w:tc>
      </w:tr>
      <w:tr>
        <w:trPr>
          <w:cantSplit/>
          <w:tblHeader w:val="off"/>
        </w:trPr>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Recover</w:t>
            </w:r>
          </w:p>
        </w:tc>
        <w:tc>
          <w:tcPr>
            <w:tcW w:type="dxa" w:w="523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Within </w:t>
            </w:r>
            <w:r>
              <w:rPr>
                <w:rFonts w:ascii="Nunito Sans" w:cs="Nunito Sans" w:eastAsia="Nunito Sans" w:hAnsi="Nunito Sans"/>
                <w:color w:val="102E3B"/>
                <w:sz w:val="18"/>
                <w:szCs w:val="18"/>
                <w:highlight w:val="yellow"/>
              </w:rPr>
              <w:t xml:space="preserve">[2 weeks]</w:t>
            </w:r>
          </w:p>
        </w:tc>
      </w:tr>
      <w:tr>
        <w:trPr>
          <w:cantSplit/>
          <w:tblHeader w:val="off"/>
        </w:trPr>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Review and lessons learned</w:t>
            </w:r>
          </w:p>
        </w:tc>
        <w:tc>
          <w:tcPr>
            <w:tcW w:type="dxa" w:w="5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Within </w:t>
            </w:r>
            <w:r>
              <w:rPr>
                <w:rFonts w:ascii="Nunito Sans" w:cs="Nunito Sans" w:eastAsia="Nunito Sans" w:hAnsi="Nunito Sans"/>
                <w:color w:val="102E3B"/>
                <w:sz w:val="18"/>
                <w:szCs w:val="18"/>
                <w:highlight w:val="yellow"/>
              </w:rPr>
              <w:t xml:space="preserve">[30 days]</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Roles and responsibilities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81"/>
        <w:gridCol w:w="7143"/>
      </w:tblGrid>
      <w:tr>
        <w:trPr>
          <w:cantSplit/>
          <w:tblHeader/>
        </w:trPr>
        <w:tc>
          <w:tcPr>
            <w:tcW w:type="dxa" w:w="238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WHO</w:t>
            </w:r>
          </w:p>
        </w:tc>
        <w:tc>
          <w:tcPr>
            <w:tcW w:type="dxa" w:w="714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RESPONSIBILITIES</w:t>
            </w:r>
          </w:p>
        </w:tc>
      </w:tr>
      <w:tr>
        <w:trPr>
          <w:cantSplit/>
          <w:tblHeader w:val="off"/>
        </w:trPr>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Everyone</w:t>
            </w:r>
          </w:p>
        </w:tc>
        <w:tc>
          <w:tcPr>
            <w:tcW w:type="dxa" w:w="714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Reports suspected breaches within </w:t>
            </w:r>
            <w:r>
              <w:rPr>
                <w:rFonts w:ascii="Nunito Sans" w:cs="Nunito Sans" w:eastAsia="Nunito Sans" w:hAnsi="Nunito Sans"/>
                <w:color w:val="102E3B"/>
                <w:sz w:val="18"/>
                <w:szCs w:val="18"/>
                <w:highlight w:val="yellow"/>
              </w:rPr>
              <w:t xml:space="preserve">[1 hour]</w:t>
            </w:r>
            <w:r>
              <w:rPr>
                <w:rFonts w:ascii="Nunito Sans" w:cs="Nunito Sans" w:eastAsia="Nunito Sans" w:hAnsi="Nunito Sans"/>
                <w:color w:val="102E3B"/>
                <w:sz w:val="18"/>
                <w:szCs w:val="18"/>
              </w:rPr>
              <w:t xml:space="preserve">; follows containment instructions; keeps details confidential.</w:t>
            </w:r>
          </w:p>
        </w:tc>
      </w:tr>
      <w:tr>
        <w:trPr>
          <w:cantSplit/>
          <w:tblHeader w:val="off"/>
        </w:trPr>
        <w:tc>
          <w:tcPr>
            <w:tcW w:type="dxa" w:w="2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Breach lead</w:t>
            </w:r>
          </w:p>
        </w:tc>
        <w:tc>
          <w:tcPr>
            <w:tcW w:type="dxa" w:w="714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Leads the response; keeps the log; assesses risk; decides and makes notifications; leads the review.</w:t>
            </w:r>
          </w:p>
        </w:tc>
      </w:tr>
      <w:tr>
        <w:trPr>
          <w:cantSplit/>
          <w:tblHeader w:val="off"/>
        </w:trPr>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Deputy</w:t>
            </w:r>
          </w:p>
        </w:tc>
        <w:tc>
          <w:tcPr>
            <w:tcW w:type="dxa" w:w="714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Leads when the breach lead is unavailable or involved.</w:t>
            </w:r>
          </w:p>
        </w:tc>
      </w:tr>
      <w:tr>
        <w:trPr>
          <w:cantSplit/>
          <w:tblHeader w:val="off"/>
        </w:trPr>
        <w:tc>
          <w:tcPr>
            <w:tcW w:type="dxa" w:w="2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Safeguarding lead</w:t>
            </w:r>
          </w:p>
        </w:tc>
        <w:tc>
          <w:tcPr>
            <w:tcW w:type="dxa" w:w="714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Advises where people could be harmed, and leads contact with people at risk.</w:t>
            </w:r>
          </w:p>
        </w:tc>
      </w:tr>
      <w:tr>
        <w:trPr>
          <w:cantSplit/>
          <w:tblHeader w:val="off"/>
        </w:trPr>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Board</w:t>
            </w:r>
          </w:p>
        </w:tc>
        <w:tc>
          <w:tcPr>
            <w:tcW w:type="dxa" w:w="714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Is told of high-risk breaches; reviews the breach summary; checks that lessons are acted on.</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Related documents</w:t>
      </w:r>
    </w:p>
    <w:p>
      <w:pPr>
        <w:pStyle w:val="ListParagraph"/>
        <w:numPr>
          <w:ilvl w:val="0"/>
          <w:numId w:val="3"/>
        </w:numPr>
        <w:spacing w:after="80" w:line="290"/>
      </w:pPr>
      <w:r>
        <w:rPr>
          <w:rFonts w:ascii="Nunito Sans" w:cs="Nunito Sans" w:eastAsia="Nunito Sans" w:hAnsi="Nunito Sans"/>
          <w:color w:val="102E3B"/>
          <w:sz w:val="20"/>
          <w:szCs w:val="20"/>
        </w:rPr>
        <w:t xml:space="preserve">Data Protection Policy</w:t>
      </w:r>
    </w:p>
    <w:p>
      <w:pPr>
        <w:pStyle w:val="ListParagraph"/>
        <w:numPr>
          <w:ilvl w:val="0"/>
          <w:numId w:val="3"/>
        </w:numPr>
        <w:spacing w:after="80" w:line="290"/>
      </w:pPr>
      <w:r>
        <w:rPr>
          <w:rFonts w:ascii="Nunito Sans" w:cs="Nunito Sans" w:eastAsia="Nunito Sans" w:hAnsi="Nunito Sans"/>
          <w:color w:val="102E3B"/>
          <w:sz w:val="20"/>
          <w:szCs w:val="20"/>
        </w:rPr>
        <w:t xml:space="preserve">IT and Information Security Policy</w:t>
      </w:r>
    </w:p>
    <w:p>
      <w:pPr>
        <w:pStyle w:val="ListParagraph"/>
        <w:numPr>
          <w:ilvl w:val="0"/>
          <w:numId w:val="3"/>
        </w:numPr>
        <w:spacing w:after="80" w:line="290"/>
      </w:pPr>
      <w:r>
        <w:rPr>
          <w:rFonts w:ascii="Nunito Sans" w:cs="Nunito Sans" w:eastAsia="Nunito Sans" w:hAnsi="Nunito Sans"/>
          <w:color w:val="102E3B"/>
          <w:sz w:val="20"/>
          <w:szCs w:val="20"/>
        </w:rPr>
        <w:t xml:space="preserve">Incident Reporting Procedure</w:t>
      </w:r>
    </w:p>
    <w:p>
      <w:pPr>
        <w:pStyle w:val="ListParagraph"/>
        <w:numPr>
          <w:ilvl w:val="0"/>
          <w:numId w:val="3"/>
        </w:numPr>
        <w:spacing w:after="80" w:line="290"/>
      </w:pPr>
      <w:r>
        <w:rPr>
          <w:rFonts w:ascii="Nunito Sans" w:cs="Nunito Sans" w:eastAsia="Nunito Sans" w:hAnsi="Nunito Sans"/>
          <w:color w:val="102E3B"/>
          <w:sz w:val="20"/>
          <w:szCs w:val="20"/>
        </w:rPr>
        <w:t xml:space="preserve">Safeguarding Policy and Procedure</w:t>
      </w:r>
    </w:p>
    <w:p>
      <w:pPr>
        <w:pStyle w:val="ListParagraph"/>
        <w:numPr>
          <w:ilvl w:val="0"/>
          <w:numId w:val="3"/>
        </w:numPr>
        <w:spacing w:after="80" w:line="290"/>
      </w:pPr>
      <w:r>
        <w:rPr>
          <w:rFonts w:ascii="Nunito Sans" w:cs="Nunito Sans" w:eastAsia="Nunito Sans" w:hAnsi="Nunito Sans"/>
          <w:color w:val="102E3B"/>
          <w:sz w:val="20"/>
          <w:szCs w:val="20"/>
        </w:rPr>
        <w:t xml:space="preserve">Data Sharing Agreement</w:t>
      </w:r>
    </w:p>
    <w:p>
      <w:pPr>
        <w:pStyle w:val="ListParagraph"/>
        <w:numPr>
          <w:ilvl w:val="0"/>
          <w:numId w:val="3"/>
        </w:numPr>
        <w:spacing w:after="80" w:line="290"/>
      </w:pPr>
      <w:r>
        <w:rPr>
          <w:rFonts w:ascii="Nunito Sans" w:cs="Nunito Sans" w:eastAsia="Nunito Sans" w:hAnsi="Nunito Sans"/>
          <w:color w:val="102E3B"/>
          <w:sz w:val="20"/>
          <w:szCs w:val="20"/>
        </w:rPr>
        <w:t xml:space="preserve">Risk Register</w:t>
      </w:r>
    </w:p>
    <w:p>
      <w:r>
        <w:br w:type="page"/>
      </w:r>
    </w:p>
    <w:p>
      <w:pPr>
        <w:pStyle w:val="Heading1"/>
        <w:keepNext/>
        <w:spacing w:after="160" w:before="360"/>
      </w:pPr>
      <w:r>
        <w:rPr>
          <w:rFonts w:ascii="DM Serif Display" w:cs="DM Serif Display" w:eastAsia="DM Serif Display" w:hAnsi="DM Serif Display"/>
          <w:color w:val="123C48"/>
          <w:sz w:val="40"/>
          <w:szCs w:val="40"/>
        </w:rPr>
        <w:t xml:space="preserve">Annex A: Breach log</w:t>
      </w:r>
    </w:p>
    <w:p>
      <w:pPr>
        <w:spacing w:after="120" w:before="0" w:line="300"/>
      </w:pPr>
      <w:r>
        <w:rPr>
          <w:rFonts w:ascii="Nunito Sans" w:cs="Nunito Sans" w:eastAsia="Nunito Sans" w:hAnsi="Nunito Sans"/>
          <w:color w:val="102E3B"/>
          <w:sz w:val="20"/>
          <w:szCs w:val="20"/>
        </w:rPr>
        <w:t xml:space="preserve">Copy this table for each breach. Keep the log separate from the systems it records.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9"/>
        <w:gridCol w:w="5715"/>
      </w:tblGrid>
      <w:tr>
        <w:trPr>
          <w:cantSplit/>
          <w:tblHeader/>
        </w:trPr>
        <w:tc>
          <w:tcPr>
            <w:tcW w:type="dxa" w:w="380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FIELD</w:t>
            </w:r>
          </w:p>
        </w:tc>
        <w:tc>
          <w:tcPr>
            <w:tcW w:type="dxa" w:w="571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ENTRY</w:t>
            </w: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Reference</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[DB-2026-01]</w:t>
            </w: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Date and time we became aware; who reported</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What happened; when it started and ended</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Information and people affected (types, number, countries)</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Sensitive information involved? (health, safeguarding, children, location, financial)</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Systems, providers or partners involved</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Containment actions, with times</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Risk rating (no likely risk / risk / high risk) and reasons</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Regulator notified? When, reference, or reason not</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People affected told? When, how, or reason not</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Funders, partners, police, insurer told? When</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Lessons, actions, owner and due date</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Date closed; signed off by</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Annex B: Risk assessment questions</w:t>
      </w:r>
    </w:p>
    <w:p>
      <w:pPr>
        <w:pStyle w:val="ListParagraph"/>
        <w:numPr>
          <w:ilvl w:val="0"/>
          <w:numId w:val="5"/>
        </w:numPr>
        <w:spacing w:after="80" w:line="290"/>
      </w:pPr>
      <w:r>
        <w:rPr>
          <w:rFonts w:ascii="Nunito Sans" w:cs="Nunito Sans" w:eastAsia="Nunito Sans" w:hAnsi="Nunito Sans"/>
          <w:color w:val="102E3B"/>
          <w:sz w:val="20"/>
          <w:szCs w:val="20"/>
        </w:rPr>
        <w:t xml:space="preserve">What information is involved? Is any of it sensitive: health, sexual life, ethnicity, religion, political views, criminal records, immigration status, safeguarding or survivor information, biometric data, bank details?</w:t>
      </w:r>
    </w:p>
    <w:p>
      <w:pPr>
        <w:pStyle w:val="ListParagraph"/>
        <w:numPr>
          <w:ilvl w:val="0"/>
          <w:numId w:val="5"/>
        </w:numPr>
        <w:spacing w:after="80" w:line="290"/>
      </w:pPr>
      <w:r>
        <w:rPr>
          <w:rFonts w:ascii="Nunito Sans" w:cs="Nunito Sans" w:eastAsia="Nunito Sans" w:hAnsi="Nunito Sans"/>
          <w:color w:val="102E3B"/>
          <w:sz w:val="20"/>
          <w:szCs w:val="20"/>
        </w:rPr>
        <w:t xml:space="preserve">Whose information is it? Children, adults at risk, people in conflict or displacement, activists or others who could be targeted?</w:t>
      </w:r>
    </w:p>
    <w:p>
      <w:pPr>
        <w:pStyle w:val="ListParagraph"/>
        <w:numPr>
          <w:ilvl w:val="0"/>
          <w:numId w:val="5"/>
        </w:numPr>
        <w:spacing w:after="80" w:line="290"/>
      </w:pPr>
      <w:r>
        <w:rPr>
          <w:rFonts w:ascii="Nunito Sans" w:cs="Nunito Sans" w:eastAsia="Nunito Sans" w:hAnsi="Nunito Sans"/>
          <w:color w:val="102E3B"/>
          <w:sz w:val="20"/>
          <w:szCs w:val="20"/>
        </w:rPr>
        <w:t xml:space="preserve">How many people are affected?</w:t>
      </w:r>
    </w:p>
    <w:p>
      <w:pPr>
        <w:pStyle w:val="ListParagraph"/>
        <w:numPr>
          <w:ilvl w:val="0"/>
          <w:numId w:val="5"/>
        </w:numPr>
        <w:spacing w:after="80" w:line="290"/>
      </w:pPr>
      <w:r>
        <w:rPr>
          <w:rFonts w:ascii="Nunito Sans" w:cs="Nunito Sans" w:eastAsia="Nunito Sans" w:hAnsi="Nunito Sans"/>
          <w:color w:val="102E3B"/>
          <w:sz w:val="20"/>
          <w:szCs w:val="20"/>
        </w:rPr>
        <w:t xml:space="preserve">Was the information protected, for example by encryption or a strong password?</w:t>
      </w:r>
    </w:p>
    <w:p>
      <w:pPr>
        <w:pStyle w:val="ListParagraph"/>
        <w:numPr>
          <w:ilvl w:val="0"/>
          <w:numId w:val="5"/>
        </w:numPr>
        <w:spacing w:after="80" w:line="290"/>
      </w:pPr>
      <w:r>
        <w:rPr>
          <w:rFonts w:ascii="Nunito Sans" w:cs="Nunito Sans" w:eastAsia="Nunito Sans" w:hAnsi="Nunito Sans"/>
          <w:color w:val="102E3B"/>
          <w:sz w:val="20"/>
          <w:szCs w:val="20"/>
        </w:rPr>
        <w:t xml:space="preserve">Who now has it? A trusted partner who deleted it, a stranger, or someone who could misuse it?</w:t>
      </w:r>
    </w:p>
    <w:p>
      <w:pPr>
        <w:pStyle w:val="ListParagraph"/>
        <w:numPr>
          <w:ilvl w:val="0"/>
          <w:numId w:val="5"/>
        </w:numPr>
        <w:spacing w:after="80" w:line="290"/>
      </w:pPr>
      <w:r>
        <w:rPr>
          <w:rFonts w:ascii="Nunito Sans" w:cs="Nunito Sans" w:eastAsia="Nunito Sans" w:hAnsi="Nunito Sans"/>
          <w:color w:val="102E3B"/>
          <w:sz w:val="20"/>
          <w:szCs w:val="20"/>
        </w:rPr>
        <w:t xml:space="preserve">Can it be recovered or the exposure reversed?</w:t>
      </w:r>
    </w:p>
    <w:p>
      <w:pPr>
        <w:pStyle w:val="ListParagraph"/>
        <w:numPr>
          <w:ilvl w:val="0"/>
          <w:numId w:val="5"/>
        </w:numPr>
        <w:spacing w:after="80" w:line="290"/>
      </w:pPr>
      <w:r>
        <w:rPr>
          <w:rFonts w:ascii="Nunito Sans" w:cs="Nunito Sans" w:eastAsia="Nunito Sans" w:hAnsi="Nunito Sans"/>
          <w:color w:val="102E3B"/>
          <w:sz w:val="20"/>
          <w:szCs w:val="20"/>
        </w:rPr>
        <w:t xml:space="preserve">Could the people be identified from it, alone or combined with other information?</w:t>
      </w:r>
    </w:p>
    <w:p>
      <w:pPr>
        <w:pStyle w:val="ListParagraph"/>
        <w:numPr>
          <w:ilvl w:val="0"/>
          <w:numId w:val="5"/>
        </w:numPr>
        <w:spacing w:after="80" w:line="290"/>
      </w:pPr>
      <w:r>
        <w:rPr>
          <w:rFonts w:ascii="Nunito Sans" w:cs="Nunito Sans" w:eastAsia="Nunito Sans" w:hAnsi="Nunito Sans"/>
          <w:color w:val="102E3B"/>
          <w:sz w:val="20"/>
          <w:szCs w:val="20"/>
        </w:rPr>
        <w:t xml:space="preserve">What harm could follow, and how likely and how serious is it?</w:t>
      </w:r>
    </w:p>
    <w:p>
      <w:pPr>
        <w:pStyle w:val="ListParagraph"/>
        <w:numPr>
          <w:ilvl w:val="0"/>
          <w:numId w:val="5"/>
        </w:numPr>
        <w:spacing w:after="80" w:line="290"/>
      </w:pPr>
      <w:r>
        <w:rPr>
          <w:rFonts w:ascii="Nunito Sans" w:cs="Nunito Sans" w:eastAsia="Nunito Sans" w:hAnsi="Nunito Sans"/>
          <w:color w:val="102E3B"/>
          <w:sz w:val="20"/>
          <w:szCs w:val="20"/>
        </w:rPr>
        <w:t xml:space="preserve">Does the breach affect our ability to deliver services, for example lost case records?</w:t>
      </w:r>
    </w:p>
    <w:p>
      <w:pPr>
        <w:pStyle w:val="ListParagraph"/>
        <w:numPr>
          <w:ilvl w:val="0"/>
          <w:numId w:val="5"/>
        </w:numPr>
        <w:spacing w:after="80" w:line="290"/>
      </w:pPr>
      <w:r>
        <w:rPr>
          <w:rFonts w:ascii="Nunito Sans" w:cs="Nunito Sans" w:eastAsia="Nunito Sans" w:hAnsi="Nunito Sans"/>
          <w:color w:val="102E3B"/>
          <w:sz w:val="20"/>
          <w:szCs w:val="20"/>
        </w:rPr>
        <w:t xml:space="preserve">Do any laws, funder agreements or data sharing agreements set specific duties?</w:t>
      </w:r>
    </w:p>
    <w:p>
      <w:pPr>
        <w:pStyle w:val="Heading1"/>
        <w:keepNext/>
        <w:spacing w:after="160" w:before="360"/>
      </w:pPr>
      <w:r>
        <w:rPr>
          <w:rFonts w:ascii="DM Serif Display" w:cs="DM Serif Display" w:eastAsia="DM Serif Display" w:hAnsi="DM Serif Display"/>
          <w:color w:val="123C48"/>
          <w:sz w:val="40"/>
          <w:szCs w:val="40"/>
        </w:rPr>
        <w:t xml:space="preserve">Annex C: Notification text</w:t>
      </w:r>
    </w:p>
    <w:p>
      <w:pPr>
        <w:pStyle w:val="Heading3"/>
        <w:keepNext/>
        <w:spacing w:after="80" w:before="200"/>
      </w:pPr>
      <w:r>
        <w:rPr>
          <w:rFonts w:ascii="Nunito Sans" w:cs="Nunito Sans" w:eastAsia="Nunito Sans" w:hAnsi="Nunito Sans"/>
          <w:b/>
          <w:bCs/>
          <w:color w:val="16746E"/>
          <w:sz w:val="21"/>
          <w:szCs w:val="21"/>
        </w:rPr>
        <w:t xml:space="preserve">To the regulator</w:t>
      </w:r>
    </w:p>
    <w:p>
      <w:pPr>
        <w:spacing w:after="120" w:before="0" w:line="300"/>
      </w:pPr>
      <w:r>
        <w:rPr>
          <w:rFonts w:ascii="Nunito Sans" w:cs="Nunito Sans" w:eastAsia="Nunito Sans" w:hAnsi="Nunito Sans"/>
          <w:color w:val="102E3B"/>
          <w:sz w:val="20"/>
          <w:szCs w:val="20"/>
        </w:rPr>
        <w:t xml:space="preserve">Most regulators have an online form. Have this ready: our name and contact; the breach lead's name; what happened and when; when we became aware; the types and approximate number of people and records; likely consequences; measures taken and planned; whether people affected have been told; and, if late, the reasons for delay.</w:t>
      </w:r>
    </w:p>
    <w:p>
      <w:pPr>
        <w:pStyle w:val="Heading3"/>
        <w:keepNext/>
        <w:spacing w:after="80" w:before="200"/>
      </w:pPr>
      <w:r>
        <w:rPr>
          <w:rFonts w:ascii="Nunito Sans" w:cs="Nunito Sans" w:eastAsia="Nunito Sans" w:hAnsi="Nunito Sans"/>
          <w:b/>
          <w:bCs/>
          <w:color w:val="16746E"/>
          <w:sz w:val="21"/>
          <w:szCs w:val="21"/>
        </w:rPr>
        <w:t xml:space="preserve">To people affected</w:t>
      </w:r>
    </w:p>
    <w:p>
      <w:pPr>
        <w:spacing w:after="120" w:before="0" w:line="300"/>
      </w:pPr>
      <w:r>
        <w:rPr>
          <w:rFonts w:ascii="Nunito Sans" w:cs="Nunito Sans" w:eastAsia="Nunito Sans" w:hAnsi="Nunito Sans"/>
          <w:color w:val="102E3B"/>
          <w:sz w:val="20"/>
          <w:szCs w:val="20"/>
        </w:rPr>
        <w:t xml:space="preserve">Dear </w:t>
      </w:r>
      <w:r>
        <w:rPr>
          <w:rFonts w:ascii="Nunito Sans" w:cs="Nunito Sans" w:eastAsia="Nunito Sans" w:hAnsi="Nunito Sans"/>
          <w:color w:val="102E3B"/>
          <w:sz w:val="20"/>
          <w:szCs w:val="20"/>
          <w:highlight w:val="yellow"/>
        </w:rPr>
        <w:t xml:space="preserve">[Name]</w:t>
      </w:r>
      <w:r>
        <w:rPr>
          <w:rFonts w:ascii="Nunito Sans" w:cs="Nunito Sans" w:eastAsia="Nunito Sans" w:hAnsi="Nunito Sans"/>
          <w:color w:val="102E3B"/>
          <w:sz w:val="20"/>
          <w:szCs w:val="20"/>
        </w:rPr>
        <w:t xml:space="preserve">,</w:t>
      </w:r>
    </w:p>
    <w:p>
      <w:pPr>
        <w:spacing w:after="120" w:before="0" w:line="300"/>
      </w:pPr>
      <w:r>
        <w:rPr>
          <w:rFonts w:ascii="Nunito Sans" w:cs="Nunito Sans" w:eastAsia="Nunito Sans" w:hAnsi="Nunito Sans"/>
          <w:color w:val="102E3B"/>
          <w:sz w:val="20"/>
          <w:szCs w:val="20"/>
        </w:rPr>
        <w:t xml:space="preserve">We are writing to tell you about an incident involving your personal information. On </w:t>
      </w:r>
      <w:r>
        <w:rPr>
          <w:rFonts w:ascii="Nunito Sans" w:cs="Nunito Sans" w:eastAsia="Nunito Sans" w:hAnsi="Nunito Sans"/>
          <w:color w:val="102E3B"/>
          <w:sz w:val="20"/>
          <w:szCs w:val="20"/>
          <w:highlight w:val="yellow"/>
        </w:rPr>
        <w:t xml:space="preserve">[date]</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[describe what happened in one or two plain sentences]</w:t>
      </w:r>
      <w:r>
        <w:rPr>
          <w:rFonts w:ascii="Nunito Sans" w:cs="Nunito Sans" w:eastAsia="Nunito Sans" w:hAnsi="Nunito Sans"/>
          <w:color w:val="102E3B"/>
          <w:sz w:val="20"/>
          <w:szCs w:val="20"/>
        </w:rPr>
        <w:t xml:space="preserve">.</w:t>
      </w:r>
    </w:p>
    <w:p>
      <w:pPr>
        <w:spacing w:after="120" w:before="0" w:line="300"/>
      </w:pPr>
      <w:r>
        <w:rPr>
          <w:rFonts w:ascii="Nunito Sans" w:cs="Nunito Sans" w:eastAsia="Nunito Sans" w:hAnsi="Nunito Sans"/>
          <w:color w:val="102E3B"/>
          <w:sz w:val="20"/>
          <w:szCs w:val="20"/>
        </w:rPr>
        <w:t xml:space="preserve">The information involved was </w:t>
      </w:r>
      <w:r>
        <w:rPr>
          <w:rFonts w:ascii="Nunito Sans" w:cs="Nunito Sans" w:eastAsia="Nunito Sans" w:hAnsi="Nunito Sans"/>
          <w:color w:val="102E3B"/>
          <w:sz w:val="20"/>
          <w:szCs w:val="20"/>
          <w:highlight w:val="yellow"/>
        </w:rPr>
        <w:t xml:space="preserve">[list]</w:t>
      </w:r>
      <w:r>
        <w:rPr>
          <w:rFonts w:ascii="Nunito Sans" w:cs="Nunito Sans" w:eastAsia="Nunito Sans" w:hAnsi="Nunito Sans"/>
          <w:color w:val="102E3B"/>
          <w:sz w:val="20"/>
          <w:szCs w:val="20"/>
        </w:rPr>
        <w:t xml:space="preserve">. We do not believe </w:t>
      </w:r>
      <w:r>
        <w:rPr>
          <w:rFonts w:ascii="Nunito Sans" w:cs="Nunito Sans" w:eastAsia="Nunito Sans" w:hAnsi="Nunito Sans"/>
          <w:color w:val="102E3B"/>
          <w:sz w:val="20"/>
          <w:szCs w:val="20"/>
          <w:highlight w:val="yellow"/>
        </w:rPr>
        <w:t xml:space="preserve">[other information]</w:t>
      </w:r>
      <w:r>
        <w:rPr>
          <w:rFonts w:ascii="Nunito Sans" w:cs="Nunito Sans" w:eastAsia="Nunito Sans" w:hAnsi="Nunito Sans"/>
          <w:color w:val="102E3B"/>
          <w:sz w:val="20"/>
          <w:szCs w:val="20"/>
        </w:rPr>
        <w:t xml:space="preserve"> was involved.</w:t>
      </w:r>
    </w:p>
    <w:p>
      <w:pPr>
        <w:spacing w:after="120" w:before="0" w:line="300"/>
      </w:pPr>
      <w:r>
        <w:rPr>
          <w:rFonts w:ascii="Nunito Sans" w:cs="Nunito Sans" w:eastAsia="Nunito Sans" w:hAnsi="Nunito Sans"/>
          <w:color w:val="102E3B"/>
          <w:sz w:val="20"/>
          <w:szCs w:val="20"/>
        </w:rPr>
        <w:t xml:space="preserve">As soon as we found out, we </w:t>
      </w:r>
      <w:r>
        <w:rPr>
          <w:rFonts w:ascii="Nunito Sans" w:cs="Nunito Sans" w:eastAsia="Nunito Sans" w:hAnsi="Nunito Sans"/>
          <w:color w:val="102E3B"/>
          <w:sz w:val="20"/>
          <w:szCs w:val="20"/>
          <w:highlight w:val="yellow"/>
        </w:rPr>
        <w:t xml:space="preserve">[actions taken]</w:t>
      </w:r>
      <w:r>
        <w:rPr>
          <w:rFonts w:ascii="Nunito Sans" w:cs="Nunito Sans" w:eastAsia="Nunito Sans" w:hAnsi="Nunito Sans"/>
          <w:color w:val="102E3B"/>
          <w:sz w:val="20"/>
          <w:szCs w:val="20"/>
        </w:rPr>
        <w:t xml:space="preserve">. We have </w:t>
      </w:r>
      <w:r>
        <w:rPr>
          <w:rFonts w:ascii="Nunito Sans" w:cs="Nunito Sans" w:eastAsia="Nunito Sans" w:hAnsi="Nunito Sans"/>
          <w:color w:val="102E3B"/>
          <w:sz w:val="20"/>
          <w:szCs w:val="20"/>
          <w:highlight w:val="yellow"/>
        </w:rPr>
        <w:t xml:space="preserve">[reported this to name of regulator / the police]</w:t>
      </w:r>
      <w:r>
        <w:rPr>
          <w:rFonts w:ascii="Nunito Sans" w:cs="Nunito Sans" w:eastAsia="Nunito Sans" w:hAnsi="Nunito Sans"/>
          <w:color w:val="102E3B"/>
          <w:sz w:val="20"/>
          <w:szCs w:val="20"/>
        </w:rPr>
        <w:t xml:space="preserve">.</w:t>
      </w:r>
    </w:p>
    <w:p>
      <w:pPr>
        <w:spacing w:after="120" w:before="0" w:line="300"/>
      </w:pPr>
      <w:r>
        <w:rPr>
          <w:rFonts w:ascii="Nunito Sans" w:cs="Nunito Sans" w:eastAsia="Nunito Sans" w:hAnsi="Nunito Sans"/>
          <w:color w:val="102E3B"/>
          <w:sz w:val="20"/>
          <w:szCs w:val="20"/>
        </w:rPr>
        <w:t xml:space="preserve">This could mean that </w:t>
      </w:r>
      <w:r>
        <w:rPr>
          <w:rFonts w:ascii="Nunito Sans" w:cs="Nunito Sans" w:eastAsia="Nunito Sans" w:hAnsi="Nunito Sans"/>
          <w:color w:val="102E3B"/>
          <w:sz w:val="20"/>
          <w:szCs w:val="20"/>
          <w:highlight w:val="yellow"/>
        </w:rPr>
        <w:t xml:space="preserve">[possible effect]</w:t>
      </w:r>
      <w:r>
        <w:rPr>
          <w:rFonts w:ascii="Nunito Sans" w:cs="Nunito Sans" w:eastAsia="Nunito Sans" w:hAnsi="Nunito Sans"/>
          <w:color w:val="102E3B"/>
          <w:sz w:val="20"/>
          <w:szCs w:val="20"/>
        </w:rPr>
        <w:t xml:space="preserve">. To protect yourself, we suggest you </w:t>
      </w:r>
      <w:r>
        <w:rPr>
          <w:rFonts w:ascii="Nunito Sans" w:cs="Nunito Sans" w:eastAsia="Nunito Sans" w:hAnsi="Nunito Sans"/>
          <w:color w:val="102E3B"/>
          <w:sz w:val="20"/>
          <w:szCs w:val="20"/>
          <w:highlight w:val="yellow"/>
        </w:rPr>
        <w:t xml:space="preserve">[practical steps, for example: be careful of calls asking for personal details; change your password]</w:t>
      </w:r>
      <w:r>
        <w:rPr>
          <w:rFonts w:ascii="Nunito Sans" w:cs="Nunito Sans" w:eastAsia="Nunito Sans" w:hAnsi="Nunito Sans"/>
          <w:color w:val="102E3B"/>
          <w:sz w:val="20"/>
          <w:szCs w:val="20"/>
        </w:rPr>
        <w:t xml:space="preserve">.</w:t>
      </w:r>
    </w:p>
    <w:p>
      <w:pPr>
        <w:spacing w:after="120" w:before="0" w:line="300"/>
      </w:pPr>
      <w:r>
        <w:rPr>
          <w:rFonts w:ascii="Nunito Sans" w:cs="Nunito Sans" w:eastAsia="Nunito Sans" w:hAnsi="Nunito Sans"/>
          <w:color w:val="102E3B"/>
          <w:sz w:val="20"/>
          <w:szCs w:val="20"/>
        </w:rPr>
        <w:t xml:space="preserve">We are very sorry this has happened. If you have any questions or concerns, please contact </w:t>
      </w:r>
      <w:r>
        <w:rPr>
          <w:rFonts w:ascii="Nunito Sans" w:cs="Nunito Sans" w:eastAsia="Nunito Sans" w:hAnsi="Nunito Sans"/>
          <w:color w:val="102E3B"/>
          <w:sz w:val="20"/>
          <w:szCs w:val="20"/>
          <w:highlight w:val="yellow"/>
        </w:rPr>
        <w:t xml:space="preserve">[Name]</w:t>
      </w:r>
      <w:r>
        <w:rPr>
          <w:rFonts w:ascii="Nunito Sans" w:cs="Nunito Sans" w:eastAsia="Nunito Sans" w:hAnsi="Nunito Sans"/>
          <w:color w:val="102E3B"/>
          <w:sz w:val="20"/>
          <w:szCs w:val="20"/>
        </w:rPr>
        <w:t xml:space="preserve"> at </w:t>
      </w:r>
      <w:r>
        <w:rPr>
          <w:rFonts w:ascii="Nunito Sans" w:cs="Nunito Sans" w:eastAsia="Nunito Sans" w:hAnsi="Nunito Sans"/>
          <w:color w:val="102E3B"/>
          <w:sz w:val="20"/>
          <w:szCs w:val="20"/>
          <w:highlight w:val="yellow"/>
        </w:rPr>
        <w:t xml:space="preserve">[phone / email]</w:t>
      </w:r>
      <w:r>
        <w:rPr>
          <w:rFonts w:ascii="Nunito Sans" w:cs="Nunito Sans" w:eastAsia="Nunito Sans" w:hAnsi="Nunito Sans"/>
          <w:color w:val="102E3B"/>
          <w:sz w:val="20"/>
          <w:szCs w:val="20"/>
        </w:rPr>
        <w:t xml:space="preserve">. You can also contact </w:t>
      </w:r>
      <w:r>
        <w:rPr>
          <w:rFonts w:ascii="Nunito Sans" w:cs="Nunito Sans" w:eastAsia="Nunito Sans" w:hAnsi="Nunito Sans"/>
          <w:color w:val="102E3B"/>
          <w:sz w:val="20"/>
          <w:szCs w:val="20"/>
          <w:highlight w:val="yellow"/>
        </w:rPr>
        <w:t xml:space="preserve">[name of regulator]</w:t>
      </w:r>
      <w:r>
        <w:rPr>
          <w:rFonts w:ascii="Nunito Sans" w:cs="Nunito Sans" w:eastAsia="Nunito Sans" w:hAnsi="Nunito Sans"/>
          <w:color w:val="102E3B"/>
          <w:sz w:val="20"/>
          <w:szCs w:val="20"/>
        </w:rPr>
        <w:t xml:space="preserve"> at </w:t>
      </w:r>
      <w:r>
        <w:rPr>
          <w:rFonts w:ascii="Nunito Sans" w:cs="Nunito Sans" w:eastAsia="Nunito Sans" w:hAnsi="Nunito Sans"/>
          <w:color w:val="102E3B"/>
          <w:sz w:val="20"/>
          <w:szCs w:val="20"/>
          <w:highlight w:val="yellow"/>
        </w:rPr>
        <w:t xml:space="preserve">[website]</w:t>
      </w:r>
      <w:r>
        <w:rPr>
          <w:rFonts w:ascii="Nunito Sans" w:cs="Nunito Sans" w:eastAsia="Nunito Sans" w:hAnsi="Nunito Sans"/>
          <w:color w:val="102E3B"/>
          <w:sz w:val="20"/>
          <w:szCs w:val="20"/>
        </w:rPr>
        <w:t xml:space="preserve">.</w:t>
      </w:r>
    </w:p>
    <w:p>
      <w:pPr>
        <w:spacing w:after="120" w:before="0" w:line="300"/>
      </w:pPr>
      <w:r>
        <w:rPr>
          <w:rFonts w:ascii="Nunito Sans" w:cs="Nunito Sans" w:eastAsia="Nunito Sans" w:hAnsi="Nunito Sans"/>
          <w:color w:val="102E3B"/>
          <w:sz w:val="20"/>
          <w:szCs w:val="20"/>
        </w:rPr>
        <w:t xml:space="preserve">Kind regards, </w:t>
      </w:r>
      <w:r>
        <w:rPr>
          <w:rFonts w:ascii="Nunito Sans" w:cs="Nunito Sans" w:eastAsia="Nunito Sans" w:hAnsi="Nunito Sans"/>
          <w:color w:val="102E3B"/>
          <w:sz w:val="20"/>
          <w:szCs w:val="20"/>
          <w:highlight w:val="yellow"/>
        </w:rPr>
        <w:t xml:space="preserve">[Name, role]</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[Organisation name]</w:t>
      </w:r>
    </w:p>
    <w:p>
      <w:pPr>
        <w:pStyle w:val="Heading3"/>
        <w:keepNext/>
        <w:spacing w:after="80" w:before="200"/>
      </w:pPr>
      <w:r>
        <w:rPr>
          <w:rFonts w:ascii="Nunito Sans" w:cs="Nunito Sans" w:eastAsia="Nunito Sans" w:hAnsi="Nunito Sans"/>
          <w:b/>
          <w:bCs/>
          <w:color w:val="16746E"/>
          <w:sz w:val="21"/>
          <w:szCs w:val="21"/>
        </w:rPr>
        <w:t xml:space="preserve">To funders and partners</w:t>
      </w:r>
    </w:p>
    <w:p>
      <w:pPr>
        <w:spacing w:after="120" w:before="0" w:line="300"/>
      </w:pPr>
      <w:r>
        <w:rPr>
          <w:rFonts w:ascii="Nunito Sans" w:cs="Nunito Sans" w:eastAsia="Nunito Sans" w:hAnsi="Nunito Sans"/>
          <w:color w:val="102E3B"/>
          <w:sz w:val="20"/>
          <w:szCs w:val="20"/>
        </w:rPr>
        <w:t xml:space="preserve">On </w:t>
      </w:r>
      <w:r>
        <w:rPr>
          <w:rFonts w:ascii="Nunito Sans" w:cs="Nunito Sans" w:eastAsia="Nunito Sans" w:hAnsi="Nunito Sans"/>
          <w:color w:val="102E3B"/>
          <w:sz w:val="20"/>
          <w:szCs w:val="20"/>
          <w:highlight w:val="yellow"/>
        </w:rPr>
        <w:t xml:space="preserve">[date and time]</w:t>
      </w:r>
      <w:r>
        <w:rPr>
          <w:rFonts w:ascii="Nunito Sans" w:cs="Nunito Sans" w:eastAsia="Nunito Sans" w:hAnsi="Nunito Sans"/>
          <w:color w:val="102E3B"/>
          <w:sz w:val="20"/>
          <w:szCs w:val="20"/>
        </w:rPr>
        <w:t xml:space="preserve"> we became aware of a data breach involving </w:t>
      </w:r>
      <w:r>
        <w:rPr>
          <w:rFonts w:ascii="Nunito Sans" w:cs="Nunito Sans" w:eastAsia="Nunito Sans" w:hAnsi="Nunito Sans"/>
          <w:color w:val="102E3B"/>
          <w:sz w:val="20"/>
          <w:szCs w:val="20"/>
          <w:highlight w:val="yellow"/>
        </w:rPr>
        <w:t xml:space="preserve">[information]</w:t>
      </w:r>
      <w:r>
        <w:rPr>
          <w:rFonts w:ascii="Nunito Sans" w:cs="Nunito Sans" w:eastAsia="Nunito Sans" w:hAnsi="Nunito Sans"/>
          <w:color w:val="102E3B"/>
          <w:sz w:val="20"/>
          <w:szCs w:val="20"/>
        </w:rPr>
        <w:t xml:space="preserve"> relating to </w:t>
      </w:r>
      <w:r>
        <w:rPr>
          <w:rFonts w:ascii="Nunito Sans" w:cs="Nunito Sans" w:eastAsia="Nunito Sans" w:hAnsi="Nunito Sans"/>
          <w:color w:val="102E3B"/>
          <w:sz w:val="20"/>
          <w:szCs w:val="20"/>
          <w:highlight w:val="yellow"/>
        </w:rPr>
        <w:t xml:space="preserve">[project or agreement]</w:t>
      </w:r>
      <w:r>
        <w:rPr>
          <w:rFonts w:ascii="Nunito Sans" w:cs="Nunito Sans" w:eastAsia="Nunito Sans" w:hAnsi="Nunito Sans"/>
          <w:color w:val="102E3B"/>
          <w:sz w:val="20"/>
          <w:szCs w:val="20"/>
        </w:rPr>
        <w:t xml:space="preserve">. We have </w:t>
      </w:r>
      <w:r>
        <w:rPr>
          <w:rFonts w:ascii="Nunito Sans" w:cs="Nunito Sans" w:eastAsia="Nunito Sans" w:hAnsi="Nunito Sans"/>
          <w:color w:val="102E3B"/>
          <w:sz w:val="20"/>
          <w:szCs w:val="20"/>
          <w:highlight w:val="yellow"/>
        </w:rPr>
        <w:t xml:space="preserve">[containment actions]</w:t>
      </w:r>
      <w:r>
        <w:rPr>
          <w:rFonts w:ascii="Nunito Sans" w:cs="Nunito Sans" w:eastAsia="Nunito Sans" w:hAnsi="Nunito Sans"/>
          <w:color w:val="102E3B"/>
          <w:sz w:val="20"/>
          <w:szCs w:val="20"/>
        </w:rPr>
        <w:t xml:space="preserve"> and assessed the risk to people as </w:t>
      </w:r>
      <w:r>
        <w:rPr>
          <w:rFonts w:ascii="Nunito Sans" w:cs="Nunito Sans" w:eastAsia="Nunito Sans" w:hAnsi="Nunito Sans"/>
          <w:color w:val="102E3B"/>
          <w:sz w:val="20"/>
          <w:szCs w:val="20"/>
          <w:highlight w:val="yellow"/>
        </w:rPr>
        <w:t xml:space="preserve">[rating]</w:t>
      </w:r>
      <w:r>
        <w:rPr>
          <w:rFonts w:ascii="Nunito Sans" w:cs="Nunito Sans" w:eastAsia="Nunito Sans" w:hAnsi="Nunito Sans"/>
          <w:color w:val="102E3B"/>
          <w:sz w:val="20"/>
          <w:szCs w:val="20"/>
        </w:rPr>
        <w:t xml:space="preserve">. We </w:t>
      </w:r>
      <w:r>
        <w:rPr>
          <w:rFonts w:ascii="Nunito Sans" w:cs="Nunito Sans" w:eastAsia="Nunito Sans" w:hAnsi="Nunito Sans"/>
          <w:color w:val="102E3B"/>
          <w:sz w:val="20"/>
          <w:szCs w:val="20"/>
          <w:highlight w:val="yellow"/>
        </w:rPr>
        <w:t xml:space="preserve">[have / have not]</w:t>
      </w:r>
      <w:r>
        <w:rPr>
          <w:rFonts w:ascii="Nunito Sans" w:cs="Nunito Sans" w:eastAsia="Nunito Sans" w:hAnsi="Nunito Sans"/>
          <w:color w:val="102E3B"/>
          <w:sz w:val="20"/>
          <w:szCs w:val="20"/>
        </w:rPr>
        <w:t xml:space="preserve"> notified </w:t>
      </w:r>
      <w:r>
        <w:rPr>
          <w:rFonts w:ascii="Nunito Sans" w:cs="Nunito Sans" w:eastAsia="Nunito Sans" w:hAnsi="Nunito Sans"/>
          <w:color w:val="102E3B"/>
          <w:sz w:val="20"/>
          <w:szCs w:val="20"/>
          <w:highlight w:val="yellow"/>
        </w:rPr>
        <w:t xml:space="preserve">[regulator]</w:t>
      </w:r>
      <w:r>
        <w:rPr>
          <w:rFonts w:ascii="Nunito Sans" w:cs="Nunito Sans" w:eastAsia="Nunito Sans" w:hAnsi="Nunito Sans"/>
          <w:color w:val="102E3B"/>
          <w:sz w:val="20"/>
          <w:szCs w:val="20"/>
        </w:rPr>
        <w:t xml:space="preserve"> and </w:t>
      </w:r>
      <w:r>
        <w:rPr>
          <w:rFonts w:ascii="Nunito Sans" w:cs="Nunito Sans" w:eastAsia="Nunito Sans" w:hAnsi="Nunito Sans"/>
          <w:color w:val="102E3B"/>
          <w:sz w:val="20"/>
          <w:szCs w:val="20"/>
          <w:highlight w:val="yellow"/>
        </w:rPr>
        <w:t xml:space="preserve">[the people affected]</w:t>
      </w:r>
      <w:r>
        <w:rPr>
          <w:rFonts w:ascii="Nunito Sans" w:cs="Nunito Sans" w:eastAsia="Nunito Sans" w:hAnsi="Nunito Sans"/>
          <w:color w:val="102E3B"/>
          <w:sz w:val="20"/>
          <w:szCs w:val="20"/>
        </w:rPr>
        <w:t xml:space="preserve">. We will send an update by </w:t>
      </w:r>
      <w:r>
        <w:rPr>
          <w:rFonts w:ascii="Nunito Sans" w:cs="Nunito Sans" w:eastAsia="Nunito Sans" w:hAnsi="Nunito Sans"/>
          <w:color w:val="102E3B"/>
          <w:sz w:val="20"/>
          <w:szCs w:val="20"/>
          <w:highlight w:val="yellow"/>
        </w:rPr>
        <w:t xml:space="preserve">[date]</w:t>
      </w:r>
      <w:r>
        <w:rPr>
          <w:rFonts w:ascii="Nunito Sans" w:cs="Nunito Sans" w:eastAsia="Nunito Sans" w:hAnsi="Nunito Sans"/>
          <w:color w:val="102E3B"/>
          <w:sz w:val="20"/>
          <w:szCs w:val="20"/>
        </w:rPr>
        <w:t xml:space="preserve">. Contact: </w:t>
      </w:r>
      <w:r>
        <w:rPr>
          <w:rFonts w:ascii="Nunito Sans" w:cs="Nunito Sans" w:eastAsia="Nunito Sans" w:hAnsi="Nunito Sans"/>
          <w:color w:val="102E3B"/>
          <w:sz w:val="20"/>
          <w:szCs w:val="20"/>
          <w:highlight w:val="yellow"/>
        </w:rPr>
        <w:t xml:space="preserve">[Name, role, phone]</w:t>
      </w:r>
      <w:r>
        <w:rPr>
          <w:rFonts w:ascii="Nunito Sans" w:cs="Nunito Sans" w:eastAsia="Nunito Sans" w:hAnsi="Nunito Sans"/>
          <w:color w:val="102E3B"/>
          <w:sz w:val="20"/>
          <w:szCs w:val="20"/>
        </w:rPr>
        <w:t xml:space="preserve">.</w:t>
      </w:r>
    </w:p>
    <w:p>
      <w:pPr>
        <w:pStyle w:val="Heading1"/>
        <w:keepNext/>
        <w:spacing w:after="160" w:before="360"/>
      </w:pPr>
      <w:r>
        <w:rPr>
          <w:rFonts w:ascii="DM Serif Display" w:cs="DM Serif Display" w:eastAsia="DM Serif Display" w:hAnsi="DM Serif Display"/>
          <w:color w:val="123C48"/>
          <w:sz w:val="40"/>
          <w:szCs w:val="40"/>
        </w:rPr>
        <w:t xml:space="preserve">Document history</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42"/>
        <w:gridCol w:w="1714"/>
        <w:gridCol w:w="4285"/>
        <w:gridCol w:w="2383"/>
      </w:tblGrid>
      <w:tr>
        <w:trPr>
          <w:cantSplit/>
          <w:tblHeader/>
        </w:trPr>
        <w:tc>
          <w:tcPr>
            <w:tcW w:type="dxa" w:w="114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VERSION</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DATE</w:t>
            </w:r>
          </w:p>
        </w:tc>
        <w:tc>
          <w:tcPr>
            <w:tcW w:type="dxa" w:w="4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WHAT CHANGED</w:t>
            </w:r>
          </w:p>
        </w:tc>
        <w:tc>
          <w:tcPr>
            <w:tcW w:type="dxa" w:w="238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APPROVED BY</w:t>
            </w:r>
          </w:p>
        </w:tc>
      </w:tr>
      <w:tr>
        <w:trPr>
          <w:cantSplit/>
          <w:tblHeader w:val="off"/>
        </w:trPr>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[1.0]</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[DD Month YYYY]</w:t>
            </w:r>
          </w:p>
        </w:tc>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First version, adapted from the Method into Impact Data Breach Response Procedure template (v1.0)</w:t>
            </w:r>
          </w:p>
        </w:tc>
        <w:tc>
          <w:tcPr>
            <w:tcW w:type="dxa" w:w="238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 role]</w:t>
            </w:r>
          </w:p>
        </w:tc>
      </w:tr>
      <w:tr>
        <w:trPr>
          <w:cantSplit/>
          <w:tblHeader w:val="off"/>
        </w:trPr>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38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before="480"/>
        <w:jc w:val="center"/>
      </w:pPr>
      <w:r>
        <w:rPr>
          <w:rFonts w:ascii="Nunito Sans" w:cs="Nunito Sans" w:eastAsia="Nunito Sans" w:hAnsi="Nunito Sans"/>
          <w:color w:val="5B6F78"/>
          <w:sz w:val="15"/>
          <w:szCs w:val="15"/>
        </w:rPr>
        <w:t xml:space="preserve">Adapted from a Method into Impact template · Better foundations. Stronger organisations. · methodintoimpact.com</w:t>
      </w:r>
    </w:p>
    <w:sectPr>
      <w:headerReference w:type="default" r:id="rId6"/>
      <w:footerReference w:type="default" r:id="rId7"/>
      <w:pgSz w:w="11906" w:h="16838" w:orient="portrait"/>
      <w:pgMar w:top="1300" w:right="1191" w:bottom="1200" w:left="1191"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Sans">
    <w:family w:val="auto"/>
    <w:pitch w:val="variable"/>
    <w:sig w:usb0="E0002AFF" w:usb1="C000247B" w:usb2="00000009" w:usb3="00000000" w:csb0="000001FF" w:csb1="00000000"/>
    <w:embedRegular r:id="rId1" w:fontKey="{C61D6ED2-B1ED-1686-04AB-23BD4BA7BA5C}"/>
  </w:font>
  <w:font w:name="DM Serif Display">
    <w:family w:val="auto"/>
    <w:pitch w:val="variable"/>
    <w:sig w:usb0="E0002AFF" w:usb1="C000247B" w:usb2="00000009" w:usb3="00000000" w:csb0="000001FF" w:csb1="00000000"/>
    <w:embedRegular r:id="rId2" w:fontKey="{80B3592B-C9BC-9B12-4ED6-6BFF5EBC002D}"/>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8" w:sz="4" w:space="6"/>
      </w:pBdr>
      <w:tabs>
        <w:tab w:val="right" w:pos="9524"/>
      </w:tabs>
    </w:pPr>
    <w:r>
      <w:rPr>
        <w:rFonts w:ascii="Nunito Sans" w:cs="Nunito Sans" w:eastAsia="Nunito Sans" w:hAnsi="Nunito Sans"/>
        <w:color w:val="5B6F78"/>
        <w:sz w:val="14"/>
        <w:szCs w:val="14"/>
        <w:highlight w:val="yellow"/>
      </w:rPr>
      <w:t xml:space="preserve">[Organisation name]</w:t>
    </w:r>
    <w:r>
      <w:rPr>
        <w:rFonts w:ascii="Nunito Sans" w:cs="Nunito Sans" w:eastAsia="Nunito Sans" w:hAnsi="Nunito Sans"/>
        <w:color w:val="5B6F78"/>
        <w:sz w:val="14"/>
        <w:szCs w:val="14"/>
      </w:rPr>
      <w:t xml:space="preserve">  |  Data Breach Response Procedure  |  Version [1.0]  |  Method into Impact template, edition 2026-10</w:t>
    </w:r>
    <w:r>
      <w:rPr>
        <w:rFonts w:ascii="Nunito Sans" w:cs="Nunito Sans" w:eastAsia="Nunito Sans" w:hAnsi="Nunito Sans"/>
        <w:color w:val="5B6F78"/>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D8" w:sz="4" w:space="6"/>
      </w:pBdr>
      <w:tabs>
        <w:tab w:val="right" w:pos="9524"/>
      </w:tabs>
      <w:spacing w:after="0"/>
    </w:pPr>
    <w:r>
      <w:drawing>
        <wp:inline distT="0" distB="0" distL="0" distR="0">
          <wp:extent cx="1333500" cy="204788"/>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04788"/>
                  </a:xfrm>
                  <a:prstGeom prst="rect">
                    <a:avLst/>
                  </a:prstGeom>
                </pic:spPr>
              </pic:pic>
            </a:graphicData>
          </a:graphic>
        </wp:inline>
      </w:drawing>
    </w:r>
    <w:r>
      <w:rPr>
        <w:rFonts w:ascii="Nunito Sans" w:cs="Nunito Sans" w:eastAsia="Nunito Sans" w:hAnsi="Nunito Sans"/>
        <w:b/>
        <w:bCs/>
        <w:color w:val="5B6F78"/>
        <w:spacing w:val="30"/>
        <w:sz w:val="14"/>
        <w:szCs w:val="14"/>
      </w:rPr>
      <w:t xml:space="preserve">	DATA BREACH RESPONSE PROCEDURE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16746E"/>
      </w:rPr>
    </w:lvl>
    <w:lvl w:ilvl="1" w:tentative="1">
      <w:start w:val="1"/>
      <w:numFmt w:val="bullet"/>
      <w:lvlText w:val="–"/>
      <w:lvlJc w:val="left"/>
      <w:pPr>
        <w:ind w:left="720" w:hanging="260"/>
      </w:pPr>
      <w:rPr>
        <w:color w:val="16746E"/>
      </w:rPr>
    </w:lvl>
  </w:abstractNum>
  <w:abstractNum w:abstractNumId="3" w15:restartNumberingAfterBreak="0">
    <w:multiLevelType w:val="hybridMultilevel"/>
    <w:lvl w:ilvl="0" w:tentative="1">
      <w:start w:val="1"/>
      <w:numFmt w:val="decimal"/>
      <w:lvlText w:val="%1."/>
      <w:lvlJc w:val="left"/>
      <w:pPr>
        <w:ind w:left="400" w:hanging="340"/>
      </w:pPr>
      <w:rPr>
        <w:b/>
        <w:bCs/>
        <w:color w:val="16746E"/>
      </w:rPr>
    </w:lvl>
    <w:lvl w:ilvl="1" w:tentative="1">
      <w:start w:val="1"/>
      <w:numFmt w:val="lowerLetter"/>
      <w:lvlText w:val="(%2)"/>
      <w:lvlJc w:val="left"/>
      <w:pPr>
        <w:ind w:left="800" w:hanging="360"/>
      </w:pPr>
      <w:rPr>
        <w:color w:val="16746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02E3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M Serif Display" w:cs="DM Serif Display" w:eastAsia="DM Serif Display" w:hAnsi="DM Serif Display"/>
      <w:color w:val="123C48"/>
      <w:sz w:val="40"/>
      <w:szCs w:val="40"/>
    </w:rPr>
  </w:style>
  <w:style w:type="paragraph" w:styleId="Heading2">
    <w:name w:val="Heading 2"/>
    <w:basedOn w:val="Normal"/>
    <w:next w:val="Normal"/>
    <w:qFormat/>
    <w:pPr>
      <w:outlineLvl w:val="1"/>
    </w:pPr>
    <w:rPr>
      <w:rFonts w:ascii="DM Serif Display" w:cs="DM Serif Display" w:eastAsia="DM Serif Display" w:hAnsi="DM Serif Display"/>
      <w:color w:val="123C48"/>
      <w:sz w:val="28"/>
      <w:szCs w:val="28"/>
    </w:rPr>
  </w:style>
  <w:style w:type="paragraph" w:styleId="Heading3">
    <w:name w:val="Heading 3"/>
    <w:basedOn w:val="Normal"/>
    <w:next w:val="Normal"/>
    <w:qFormat/>
    <w:pPr>
      <w:outlineLvl w:val="2"/>
    </w:pPr>
    <w:rPr>
      <w:rFonts w:ascii="Nunito Sans" w:cs="Nunito Sans" w:eastAsia="Nunito Sans" w:hAnsi="Nunito Sans"/>
      <w:b/>
      <w:bCs/>
      <w:color w:val="16746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e2912a9826b8bfa61ff77f181f30906e653c6c77.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baf2bce2db023367740f277ae96b7322baa269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Breach Response Procedure</dc:title>
  <dc:creator>Method into Impact</dc:creator>
  <dc:description>What [[Organisation name]] does in the first hour, the first day and the first three days after personal information is lost, stolen, exposed or sent to the wrong person.</dc:description>
  <cp:lastModifiedBy>Un-named</cp:lastModifiedBy>
  <cp:revision>1</cp:revision>
  <dcterms:created xsi:type="dcterms:W3CDTF">2026-10-29T05:48:54.662Z</dcterms:created>
  <dcterms:modified xsi:type="dcterms:W3CDTF">2026-10-29T05:48:54.662Z</dcterms:modified>
</cp:coreProperties>
</file>

<file path=docProps/custom.xml><?xml version="1.0" encoding="utf-8"?>
<Properties xmlns="http://schemas.openxmlformats.org/officeDocument/2006/custom-properties" xmlns:vt="http://schemas.openxmlformats.org/officeDocument/2006/docPropsVTypes"/>
</file>