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ASSESSMENT TEMPLATE · DATA PROTECTION</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Data Protection Impact Assessment</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A short, step-by-step form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uses to spot and reduce privacy risks before starting a new project, system or data sharing arrangement.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data protection impact assessment, or DPIA, is a structured way to think through how a new activity could harm the people whose information you use, and what you will do about it. Many data protection laws require one for high-risk processing, and funders increasingly ask to see them, especially for work with children, health data or new technology. This form is short enough for a small team to complete in an afternoon.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regulators; institutional funders and UN agencies for projects involving sensitive data; research ethics committees; partners entering a data sharing agreement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hours to adapt the form; 2–4 hours to complete each assessment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Data Protection Policy · Privacy Notice · Data Sharing Agreement · Risk Register · Records Retention Schedule · IT and Information Security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Data Protection Impact Assessment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Assessment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Anyone at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planning a new project, system, tool or partnership that uses personal information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[privacy@yourorganisation.org]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The assessment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When we need a DPIA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Guidance notes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form</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p>
      <w:pPr>
        <w:pStyle w:val="Heading1"/>
        <w:keepNext/>
        <w:spacing w:after="160" w:before="360"/>
      </w:pPr>
      <w:r>
        <w:rPr>
          <w:rFonts w:ascii="DM Serif Display" w:cs="DM Serif Display" w:eastAsia="DM Serif Display" w:hAnsi="DM Serif Display"/>
          <w:color w:val="123C48"/>
          <w:sz w:val="40"/>
          <w:szCs w:val="40"/>
        </w:rPr>
        <w:t xml:space="preserve">Purpose</w:t>
      </w:r>
    </w:p>
    <w:p>
      <w:pPr>
        <w:spacing w:after="120" w:before="0" w:line="300"/>
      </w:pPr>
      <w:r>
        <w:rPr>
          <w:rFonts w:ascii="Nunito Sans" w:cs="Nunito Sans" w:eastAsia="Nunito Sans" w:hAnsi="Nunito Sans"/>
          <w:color w:val="102E3B"/>
          <w:sz w:val="20"/>
          <w:szCs w:val="20"/>
        </w:rPr>
        <w:t xml:space="preserve">A DPIA helps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look at a new activity from the point of view of the people whose information we will use. It asks four questions: what are we doing with their information, do we really need to, what could go wrong for them, and what will we do to prevent it. It is a planning tool, not a box-ticking exercise. Done early, it saves money and protects people.</w:t>
      </w:r>
    </w:p>
    <w:p>
      <w:pPr>
        <w:pStyle w:val="Heading1"/>
        <w:keepNext/>
        <w:spacing w:after="160" w:before="360"/>
      </w:pPr>
      <w:r>
        <w:rPr>
          <w:rFonts w:ascii="DM Serif Display" w:cs="DM Serif Display" w:eastAsia="DM Serif Display" w:hAnsi="DM Serif Display"/>
          <w:color w:val="123C48"/>
          <w:sz w:val="40"/>
          <w:szCs w:val="40"/>
        </w:rPr>
        <w:t xml:space="preserve">When we need a DPIA</w:t>
      </w:r>
    </w:p>
    <w:p>
      <w:pPr>
        <w:spacing w:after="120" w:before="0" w:line="300"/>
      </w:pPr>
      <w:r>
        <w:rPr>
          <w:rFonts w:ascii="Nunito Sans" w:cs="Nunito Sans" w:eastAsia="Nunito Sans" w:hAnsi="Nunito Sans"/>
          <w:color w:val="102E3B"/>
          <w:sz w:val="20"/>
          <w:szCs w:val="20"/>
        </w:rPr>
        <w:t xml:space="preserve">The project lead completes the screening questions below before any new activity that uses personal information. If the answer to any question is yes, they complete the full assessment before the activity starts, unless the data protection lead decides the risk is clearly low and records why. If all answers are no, they keep the screening with the project file.</w:t>
      </w:r>
    </w:p>
    <w:p>
      <w:pPr>
        <w:keepNext/>
        <w:spacing w:after="80" w:before="120"/>
      </w:pPr>
      <w:r>
        <w:rPr>
          <w:rFonts w:ascii="Nunito Sans" w:cs="Nunito Sans" w:eastAsia="Nunito Sans" w:hAnsi="Nunito Sans"/>
          <w:b/>
          <w:bCs/>
          <w:color w:val="16746E"/>
          <w:spacing w:val="30"/>
          <w:sz w:val="15"/>
          <w:szCs w:val="15"/>
        </w:rPr>
        <w:t xml:space="preserve">SCREENING QUESTIONS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introduce a new system, app, database or online tool that holds personal information.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collect sensitive information: health, HIV status, disability, sexual orientation, ethnicity, religion, political views, criminal records, immigration status, biometric data or survivor information.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collect information about children, or about adults who may be at risk.</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monitor people on a large scale or systematically, for example location tracking, CCTV or tracking online behaviour.</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use new technology, including AI tools that analyse, transcribe, translate, score or make decisions about people.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share personal information with a partner, funder, government body or researcher, or combine data sets from different sources.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We will transfer personal information to another country or to a provider abroad.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 decision that significantly affects people, such as eligibility for support, will be made or guided by automated means.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The people concerned would be surprised, or could be harmed, if they knew how we use their information.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WHEN A DPIA IS LEGALLY REQUIRED</w:t>
            </w:r>
          </w:p>
          <w:p>
            <w:pPr>
              <w:spacing w:after="120" w:before="0" w:line="300"/>
            </w:pPr>
            <w:r>
              <w:rPr>
                <w:rFonts w:ascii="Nunito Sans" w:cs="Nunito Sans" w:eastAsia="Nunito Sans" w:hAnsi="Nunito Sans"/>
                <w:color w:val="102E3B"/>
                <w:sz w:val="19"/>
                <w:szCs w:val="19"/>
              </w:rPr>
              <w:t xml:space="preserve">Under the GDPR, a DPIA is required where processing is likely to result in a high risk to people, and many national regulators publish lists of activities that always need one. Kenya's Data Protection Act 2019 requires a DPIA for processing likely to result in high risk, and its regulations require it to be shared with the Data Commissioner before processing starts; check the current timing. Nigeria's Data Protection Act 2023 requires one where processing is likely to result in high risk. Indonesia's Law 27 of 2022 requires an impact assessment for high-risk processing. In Brazil, the ANPD can ask for a data protection impact report under the LGPD. South Africa's POPIA regulations require the information officer to ensure a personal information impact assessment is done. India's DPDP Act 2023 requires periodic DPIAs only from organisations designated as significant data fiduciaries. Even where it is not required, a DPIA is good practice for the activities in the list above.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use this form</w:t>
      </w:r>
    </w:p>
    <w:p>
      <w:pPr>
        <w:pStyle w:val="ListParagraph"/>
        <w:numPr>
          <w:ilvl w:val="0"/>
          <w:numId w:val="3"/>
        </w:numPr>
        <w:spacing w:after="80" w:line="290"/>
      </w:pPr>
      <w:r>
        <w:rPr>
          <w:rFonts w:ascii="Nunito Sans" w:cs="Nunito Sans" w:eastAsia="Nunito Sans" w:hAnsi="Nunito Sans"/>
          <w:b/>
          <w:bCs/>
          <w:color w:val="102E3B"/>
          <w:sz w:val="20"/>
          <w:szCs w:val="20"/>
        </w:rPr>
        <w:t xml:space="preserve">Who completes it:</w:t>
      </w:r>
      <w:r>
        <w:rPr>
          <w:rFonts w:ascii="Nunito Sans" w:cs="Nunito Sans" w:eastAsia="Nunito Sans" w:hAnsi="Nunito Sans"/>
          <w:color w:val="102E3B"/>
          <w:sz w:val="20"/>
          <w:szCs w:val="20"/>
        </w:rPr>
        <w:t xml:space="preserve"> the project lead, with help from the data protection lead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When:</w:t>
      </w:r>
      <w:r>
        <w:rPr>
          <w:rFonts w:ascii="Nunito Sans" w:cs="Nunito Sans" w:eastAsia="Nunito Sans" w:hAnsi="Nunito Sans"/>
          <w:color w:val="102E3B"/>
          <w:sz w:val="20"/>
          <w:szCs w:val="20"/>
        </w:rPr>
        <w:t xml:space="preserve"> at the design stage, before data is collected or a contract is signed. Not after launch.</w:t>
      </w:r>
    </w:p>
    <w:p>
      <w:pPr>
        <w:pStyle w:val="ListParagraph"/>
        <w:numPr>
          <w:ilvl w:val="0"/>
          <w:numId w:val="3"/>
        </w:numPr>
        <w:spacing w:after="80" w:line="290"/>
      </w:pPr>
      <w:r>
        <w:rPr>
          <w:rFonts w:ascii="Nunito Sans" w:cs="Nunito Sans" w:eastAsia="Nunito Sans" w:hAnsi="Nunito Sans"/>
          <w:b/>
          <w:bCs/>
          <w:color w:val="102E3B"/>
          <w:sz w:val="20"/>
          <w:szCs w:val="20"/>
        </w:rPr>
        <w:t xml:space="preserve">How long:</w:t>
      </w:r>
      <w:r>
        <w:rPr>
          <w:rFonts w:ascii="Nunito Sans" w:cs="Nunito Sans" w:eastAsia="Nunito Sans" w:hAnsi="Nunito Sans"/>
          <w:color w:val="102E3B"/>
          <w:sz w:val="20"/>
          <w:szCs w:val="20"/>
        </w:rPr>
        <w:t xml:space="preserve"> keep answers short. A paragraph per question is usually enough.</w:t>
      </w:r>
    </w:p>
    <w:p>
      <w:pPr>
        <w:pStyle w:val="ListParagraph"/>
        <w:numPr>
          <w:ilvl w:val="0"/>
          <w:numId w:val="3"/>
        </w:numPr>
        <w:spacing w:after="80" w:line="290"/>
      </w:pPr>
      <w:r>
        <w:rPr>
          <w:rFonts w:ascii="Nunito Sans" w:cs="Nunito Sans" w:eastAsia="Nunito Sans" w:hAnsi="Nunito Sans"/>
          <w:b/>
          <w:bCs/>
          <w:color w:val="102E3B"/>
          <w:sz w:val="20"/>
          <w:szCs w:val="20"/>
        </w:rPr>
        <w:t xml:space="preserve">Who signs it:</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[the director / the data protection lead]</w:t>
      </w:r>
      <w:r>
        <w:rPr>
          <w:rFonts w:ascii="Nunito Sans" w:cs="Nunito Sans" w:eastAsia="Nunito Sans" w:hAnsi="Nunito Sans"/>
          <w:color w:val="102E3B"/>
          <w:sz w:val="20"/>
          <w:szCs w:val="20"/>
        </w:rPr>
        <w:t xml:space="preserve"> approves it. If the remaining risk is high, the board decides.</w:t>
      </w:r>
    </w:p>
    <w:p>
      <w:pPr>
        <w:pStyle w:val="ListParagraph"/>
        <w:numPr>
          <w:ilvl w:val="0"/>
          <w:numId w:val="3"/>
        </w:numPr>
        <w:spacing w:after="80" w:line="290"/>
      </w:pPr>
      <w:r>
        <w:rPr>
          <w:rFonts w:ascii="Nunito Sans" w:cs="Nunito Sans" w:eastAsia="Nunito Sans" w:hAnsi="Nunito Sans"/>
          <w:b/>
          <w:bCs/>
          <w:color w:val="102E3B"/>
          <w:sz w:val="20"/>
          <w:szCs w:val="20"/>
        </w:rPr>
        <w:t xml:space="preserve">Where it is kept:</w:t>
      </w:r>
      <w:r>
        <w:rPr>
          <w:rFonts w:ascii="Nunito Sans" w:cs="Nunito Sans" w:eastAsia="Nunito Sans" w:hAnsi="Nunito Sans"/>
          <w:color w:val="102E3B"/>
          <w:sz w:val="20"/>
          <w:szCs w:val="20"/>
        </w:rPr>
        <w:t xml:space="preserve"> with the project file and our record of processing, for the life of the activity plus </w:t>
      </w:r>
      <w:r>
        <w:rPr>
          <w:rFonts w:ascii="Nunito Sans" w:cs="Nunito Sans" w:eastAsia="Nunito Sans" w:hAnsi="Nunito Sans"/>
          <w:color w:val="102E3B"/>
          <w:sz w:val="20"/>
          <w:szCs w:val="20"/>
          <w:highlight w:val="yellow"/>
        </w:rPr>
        <w:t xml:space="preserve">[3 years]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Review:</w:t>
      </w:r>
      <w:r>
        <w:rPr>
          <w:rFonts w:ascii="Nunito Sans" w:cs="Nunito Sans" w:eastAsia="Nunito Sans" w:hAnsi="Nunito Sans"/>
          <w:color w:val="102E3B"/>
          <w:sz w:val="20"/>
          <w:szCs w:val="20"/>
        </w:rPr>
        <w:t xml:space="preserve"> at the date set in Part 8, and whenever the activity changes.</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The assessment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ENTRY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Activity or project name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Project lead</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started</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Version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1. Describe the processing</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is the activity and its purpose?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Whose information will we use, and roughly how many people?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information will we collect? Mark any sensitive information.</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will we collect it, and from whom?</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will it be stored, and in which systems or tools?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will have access, inside and outside </w:t>
            </w:r>
            <w:r>
              <w:rPr>
                <w:rFonts w:ascii="Nunito Sans" w:cs="Nunito Sans" w:eastAsia="Nunito Sans" w:hAnsi="Nunito Sans"/>
                <w:color w:val="102E3B"/>
                <w:sz w:val="18"/>
                <w:szCs w:val="18"/>
                <w:highlight w:val="yellow"/>
              </w:rPr>
              <w:t xml:space="preserve">[Organisation name]</w:t>
            </w:r>
            <w:r>
              <w:rPr>
                <w:rFonts w:ascii="Nunito Sans" w:cs="Nunito Sans" w:eastAsia="Nunito Sans" w:hAnsi="Nunito Sans"/>
                <w:color w:val="102E3B"/>
                <w:sz w:val="18"/>
                <w:szCs w:val="18"/>
              </w:rPr>
              <w:t xml:space="preserv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we share it, and with whom?</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Will it go to another country? Which, and with what safeguards?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long will we keep it, and how will we delete it?</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2. Necessity and proportionality</w:t>
      </w:r>
    </w:p>
    <w:p>
      <w:pPr>
        <w:spacing w:after="120" w:before="0" w:line="300"/>
      </w:pPr>
      <w:r>
        <w:rPr>
          <w:rFonts w:ascii="Nunito Sans" w:cs="Nunito Sans" w:eastAsia="Nunito Sans" w:hAnsi="Nunito Sans"/>
          <w:color w:val="102E3B"/>
          <w:sz w:val="20"/>
          <w:szCs w:val="20"/>
        </w:rPr>
        <w:t xml:space="preserve">Answer each question briefly.</w:t>
      </w:r>
    </w:p>
    <w:p>
      <w:pPr>
        <w:pStyle w:val="ListParagraph"/>
        <w:numPr>
          <w:ilvl w:val="0"/>
          <w:numId w:val="4"/>
        </w:numPr>
        <w:spacing w:after="80" w:line="290"/>
      </w:pPr>
      <w:r>
        <w:rPr>
          <w:rFonts w:ascii="Nunito Sans" w:cs="Nunito Sans" w:eastAsia="Nunito Sans" w:hAnsi="Nunito Sans"/>
          <w:color w:val="102E3B"/>
          <w:sz w:val="20"/>
          <w:szCs w:val="20"/>
        </w:rPr>
        <w:t xml:space="preserve">What is our lawful basis for each use, for example consent, contract, legal obligation or legitimate interests? If we rely on consent, can people say no without losing services?</w:t>
      </w:r>
    </w:p>
    <w:p>
      <w:pPr>
        <w:pStyle w:val="ListParagraph"/>
        <w:numPr>
          <w:ilvl w:val="0"/>
          <w:numId w:val="4"/>
        </w:numPr>
        <w:spacing w:after="80" w:line="290"/>
      </w:pPr>
      <w:r>
        <w:rPr>
          <w:rFonts w:ascii="Nunito Sans" w:cs="Nunito Sans" w:eastAsia="Nunito Sans" w:hAnsi="Nunito Sans"/>
          <w:color w:val="102E3B"/>
          <w:sz w:val="20"/>
          <w:szCs w:val="20"/>
        </w:rPr>
        <w:t xml:space="preserve">Could we achieve the purpose with less information, or with anonymous or aggregated data, meaning totals that do not identify anyone?</w:t>
      </w:r>
    </w:p>
    <w:p>
      <w:pPr>
        <w:pStyle w:val="ListParagraph"/>
        <w:numPr>
          <w:ilvl w:val="0"/>
          <w:numId w:val="4"/>
        </w:numPr>
        <w:spacing w:after="80" w:line="290"/>
      </w:pPr>
      <w:r>
        <w:rPr>
          <w:rFonts w:ascii="Nunito Sans" w:cs="Nunito Sans" w:eastAsia="Nunito Sans" w:hAnsi="Nunito Sans"/>
          <w:color w:val="102E3B"/>
          <w:sz w:val="20"/>
          <w:szCs w:val="20"/>
        </w:rPr>
        <w:t xml:space="preserve">How will we tell people about the processing, in their language and in a format they understand?</w:t>
      </w:r>
    </w:p>
    <w:p>
      <w:pPr>
        <w:pStyle w:val="ListParagraph"/>
        <w:numPr>
          <w:ilvl w:val="0"/>
          <w:numId w:val="4"/>
        </w:numPr>
        <w:spacing w:after="80" w:line="290"/>
      </w:pPr>
      <w:r>
        <w:rPr>
          <w:rFonts w:ascii="Nunito Sans" w:cs="Nunito Sans" w:eastAsia="Nunito Sans" w:hAnsi="Nunito Sans"/>
          <w:color w:val="102E3B"/>
          <w:sz w:val="20"/>
          <w:szCs w:val="20"/>
        </w:rPr>
        <w:t xml:space="preserve">How will people use their rights, such as access and deletion?</w:t>
      </w:r>
    </w:p>
    <w:p>
      <w:pPr>
        <w:pStyle w:val="ListParagraph"/>
        <w:numPr>
          <w:ilvl w:val="0"/>
          <w:numId w:val="4"/>
        </w:numPr>
        <w:spacing w:after="80" w:line="290"/>
      </w:pPr>
      <w:r>
        <w:rPr>
          <w:rFonts w:ascii="Nunito Sans" w:cs="Nunito Sans" w:eastAsia="Nunito Sans" w:hAnsi="Nunito Sans"/>
          <w:color w:val="102E3B"/>
          <w:sz w:val="20"/>
          <w:szCs w:val="20"/>
        </w:rPr>
        <w:t xml:space="preserve">How will we keep the information accurate?</w:t>
      </w:r>
    </w:p>
    <w:p>
      <w:pPr>
        <w:pStyle w:val="ListParagraph"/>
        <w:numPr>
          <w:ilvl w:val="0"/>
          <w:numId w:val="4"/>
        </w:numPr>
        <w:spacing w:after="80" w:line="290"/>
      </w:pPr>
      <w:r>
        <w:rPr>
          <w:rFonts w:ascii="Nunito Sans" w:cs="Nunito Sans" w:eastAsia="Nunito Sans" w:hAnsi="Nunito Sans"/>
          <w:color w:val="102E3B"/>
          <w:sz w:val="20"/>
          <w:szCs w:val="20"/>
        </w:rPr>
        <w:t xml:space="preserve">Do our service providers and partners have written agreements that protect the data?</w:t>
      </w:r>
    </w:p>
    <w:p>
      <w:pPr>
        <w:pStyle w:val="ListParagraph"/>
        <w:numPr>
          <w:ilvl w:val="0"/>
          <w:numId w:val="4"/>
        </w:numPr>
        <w:spacing w:after="80" w:line="290"/>
      </w:pPr>
      <w:r>
        <w:rPr>
          <w:rFonts w:ascii="Nunito Sans" w:cs="Nunito Sans" w:eastAsia="Nunito Sans" w:hAnsi="Nunito Sans"/>
          <w:color w:val="102E3B"/>
          <w:sz w:val="20"/>
          <w:szCs w:val="20"/>
        </w:rPr>
        <w:t xml:space="preserve">How long do we really need the data, and does this match our Records Retention Schedule?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LAWFUL BASIS AND CONSENT</w:t>
            </w:r>
          </w:p>
          <w:p>
            <w:pPr>
              <w:spacing w:after="120" w:before="0" w:line="300"/>
            </w:pPr>
            <w:r>
              <w:rPr>
                <w:rFonts w:ascii="Nunito Sans" w:cs="Nunito Sans" w:eastAsia="Nunito Sans" w:hAnsi="Nunito Sans"/>
                <w:color w:val="102E3B"/>
                <w:sz w:val="19"/>
                <w:szCs w:val="19"/>
              </w:rPr>
              <w:t xml:space="preserve">In many communities we serve, people may feel unable to refuse consent because they depend on our support. If so, consent is not freely given, and you should consider another lawful basis, with clear information and a real way to opt out. Name the lawful bases your local law provides, as they differ: for example, India's DPDP Act 2023 relies mainly on consent and a short list of "legitimate uses", rather than the GDPR's six bases.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3. Consult the people affected</w:t>
      </w:r>
    </w:p>
    <w:p>
      <w:pPr>
        <w:spacing w:after="120" w:before="0" w:line="300"/>
      </w:pPr>
      <w:r>
        <w:rPr>
          <w:rFonts w:ascii="Nunito Sans" w:cs="Nunito Sans" w:eastAsia="Nunito Sans" w:hAnsi="Nunito Sans"/>
          <w:color w:val="102E3B"/>
          <w:sz w:val="20"/>
          <w:szCs w:val="20"/>
        </w:rPr>
        <w:t xml:space="preserve">Where it is practical, ask the people whose information will be used, or people like them, what they think. A short conversation with a community group, participant representatives or staff can reveal risks we would not see.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did we consult, and how?</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concerns or ideas did they raise?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did we change as a result?</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we did not consult, why not?</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CONSULTING SAFELY</w:t>
            </w:r>
          </w:p>
          <w:p>
            <w:pPr>
              <w:spacing w:after="120" w:before="0" w:line="300"/>
            </w:pPr>
            <w:r>
              <w:rPr>
                <w:rFonts w:ascii="Nunito Sans" w:cs="Nunito Sans" w:eastAsia="Nunito Sans" w:hAnsi="Nunito Sans"/>
                <w:color w:val="102E3B"/>
                <w:sz w:val="19"/>
                <w:szCs w:val="19"/>
              </w:rPr>
              <w:t xml:space="preserve">Consult in a way that does not itself create risk. For survivors of violence or people in conflict settings, ask experienced partners or staff who work closely with them rather than the people directly. For a staff system, consult staff or their representatives. Record a short note of what was said.</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4. Identify the risks</w:t>
      </w:r>
    </w:p>
    <w:p>
      <w:pPr>
        <w:spacing w:after="120" w:before="0" w:line="300"/>
      </w:pPr>
      <w:r>
        <w:rPr>
          <w:rFonts w:ascii="Nunito Sans" w:cs="Nunito Sans" w:eastAsia="Nunito Sans" w:hAnsi="Nunito Sans"/>
          <w:color w:val="102E3B"/>
          <w:sz w:val="20"/>
          <w:szCs w:val="20"/>
        </w:rPr>
        <w:t xml:space="preserve">List the risks to people, not to the organisation. Consider physical harm, discrimination, identity theft, financial loss, loss of confidentiality, distress, and losing access to services. Then rate each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142"/>
        <w:gridCol w:w="3144"/>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LIKELIHOOD</w:t>
            </w:r>
          </w:p>
        </w:tc>
        <w:tc>
          <w:tcPr>
            <w:tcW w:type="dxa" w:w="3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SEVERITY</w:t>
            </w:r>
          </w:p>
        </w:tc>
        <w:tc>
          <w:tcPr>
            <w:tcW w:type="dxa" w:w="314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OVERALL</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Remote:</w:t>
            </w:r>
            <w:r>
              <w:rPr>
                <w:rFonts w:ascii="Nunito Sans" w:cs="Nunito Sans" w:eastAsia="Nunito Sans" w:hAnsi="Nunito Sans"/>
                <w:color w:val="102E3B"/>
                <w:sz w:val="18"/>
                <w:szCs w:val="18"/>
              </w:rPr>
              <w:t xml:space="preserve"> unlikely to happen</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Minimal:</w:t>
            </w:r>
            <w:r>
              <w:rPr>
                <w:rFonts w:ascii="Nunito Sans" w:cs="Nunito Sans" w:eastAsia="Nunito Sans" w:hAnsi="Nunito Sans"/>
                <w:color w:val="102E3B"/>
                <w:sz w:val="18"/>
                <w:szCs w:val="18"/>
              </w:rPr>
              <w:t xml:space="preserve"> short-term inconvenience</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Low</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Possible:</w:t>
            </w:r>
            <w:r>
              <w:rPr>
                <w:rFonts w:ascii="Nunito Sans" w:cs="Nunito Sans" w:eastAsia="Nunito Sans" w:hAnsi="Nunito Sans"/>
                <w:color w:val="102E3B"/>
                <w:sz w:val="18"/>
                <w:szCs w:val="18"/>
              </w:rPr>
              <w:t xml:space="preserve"> could happen</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Significant:</w:t>
            </w:r>
            <w:r>
              <w:rPr>
                <w:rFonts w:ascii="Nunito Sans" w:cs="Nunito Sans" w:eastAsia="Nunito Sans" w:hAnsi="Nunito Sans"/>
                <w:color w:val="102E3B"/>
                <w:sz w:val="18"/>
                <w:szCs w:val="18"/>
              </w:rPr>
              <w:t xml:space="preserve"> serious but recoverable harm</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Probable:</w:t>
            </w:r>
            <w:r>
              <w:rPr>
                <w:rFonts w:ascii="Nunito Sans" w:cs="Nunito Sans" w:eastAsia="Nunito Sans" w:hAnsi="Nunito Sans"/>
                <w:color w:val="102E3B"/>
                <w:sz w:val="18"/>
                <w:szCs w:val="18"/>
              </w:rPr>
              <w:t xml:space="preserve"> likely to happen</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Severe:</w:t>
            </w:r>
            <w:r>
              <w:rPr>
                <w:rFonts w:ascii="Nunito Sans" w:cs="Nunito Sans" w:eastAsia="Nunito Sans" w:hAnsi="Nunito Sans"/>
                <w:color w:val="102E3B"/>
                <w:sz w:val="18"/>
                <w:szCs w:val="18"/>
              </w:rPr>
              <w:t xml:space="preserve"> lasting or irreversible harm, or danger to safety</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r>
    </w:tbl>
    <w:p>
      <w:pPr>
        <w:spacing w:after="120"/>
      </w:pPr>
    </w:p>
    <w:p>
      <w:pPr>
        <w:spacing w:after="120" w:before="0" w:line="300"/>
      </w:pPr>
      <w:r>
        <w:rPr>
          <w:rFonts w:ascii="Nunito Sans" w:cs="Nunito Sans" w:eastAsia="Nunito Sans" w:hAnsi="Nunito Sans"/>
          <w:color w:val="102E3B"/>
          <w:sz w:val="20"/>
          <w:szCs w:val="20"/>
        </w:rPr>
        <w:t xml:space="preserve">Overall risk is high if either rating is at the top level and the other is at least in the middle, and low if both are at the lowest level. Otherwise it is medium. Use judgement where this does not fit.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81"/>
        <w:gridCol w:w="1714"/>
        <w:gridCol w:w="1714"/>
        <w:gridCol w:w="1715"/>
      </w:tblGrid>
      <w:tr>
        <w:trPr>
          <w:cantSplit/>
          <w:tblHeader/>
        </w:trPr>
        <w:tc>
          <w:tcPr>
            <w:tcW w:type="dxa" w:w="4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 TO PEOPLE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LIKELIHOOD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SEVERITY</w:t>
            </w:r>
          </w:p>
        </w:tc>
        <w:tc>
          <w:tcPr>
            <w:tcW w:type="dxa" w:w="1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OVERALL</w:t>
            </w: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interview recordings of young people are kept by the AI transcription provider and used to train its models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Possible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Significant</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 participant list shared with a partner is forwarded to local authorities, exposing people to arrest</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Remote</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Severe</w:t>
            </w: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w:t>
            </w: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field staff use personal phones, which are lost or shared with family</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Probable</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Significant</w:t>
            </w: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r>
      <w:tr>
        <w:trPr>
          <w:cantSplit/>
          <w:tblHeader w:val="off"/>
        </w:trPr>
        <w:tc>
          <w:tcPr>
            <w:tcW w:type="dxa" w:w="4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5. Measures to reduce the risks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3238"/>
        <w:gridCol w:w="1523"/>
        <w:gridCol w:w="190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RISK</w:t>
            </w:r>
          </w:p>
        </w:tc>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MEASURE</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OWNER</w:t>
            </w:r>
          </w:p>
        </w:tc>
        <w:tc>
          <w:tcPr>
            <w:tcW w:type="dxa" w:w="190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DONE BY</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AI transcription</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Choose a provider that contractually does not train on our data; delete audio within </w:t>
            </w:r>
            <w:r>
              <w:rPr>
                <w:rFonts w:ascii="Nunito Sans" w:cs="Nunito Sans" w:eastAsia="Nunito Sans" w:hAnsi="Nunito Sans"/>
                <w:color w:val="102E3B"/>
                <w:sz w:val="18"/>
                <w:szCs w:val="18"/>
                <w:highlight w:val="yellow"/>
              </w:rPr>
              <w:t xml:space="preserve">[30 days]</w:t>
            </w:r>
            <w:r>
              <w:rPr>
                <w:rFonts w:ascii="Nunito Sans" w:cs="Nunito Sans" w:eastAsia="Nunito Sans" w:hAnsi="Nunito Sans"/>
                <w:color w:val="102E3B"/>
                <w:sz w:val="18"/>
                <w:szCs w:val="18"/>
              </w:rPr>
              <w:t xml:space="preserve">; remove names before upload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partner list</w:t>
            </w: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Share only aggregated numbers; sign a Data Sharing Agreement limiting onward sharing</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personal phones</w:t>
            </w:r>
          </w:p>
        </w:tc>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Issue work phones with PIN and remote wipe; no participant data on personal devices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190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NEW TECHNOLOGY AND AI</w:t>
            </w:r>
          </w:p>
          <w:p>
            <w:pPr>
              <w:spacing w:after="120" w:before="0" w:line="300"/>
            </w:pPr>
            <w:r>
              <w:rPr>
                <w:rFonts w:ascii="Nunito Sans" w:cs="Nunito Sans" w:eastAsia="Nunito Sans" w:hAnsi="Nunito Sans"/>
                <w:color w:val="102E3B"/>
                <w:sz w:val="19"/>
                <w:szCs w:val="19"/>
              </w:rPr>
              <w:t xml:space="preserve">For AI tools, check: where the data is processed, whether the provider keeps or trains on it, whether outputs could be wrong or biased against some groups, and whether a person reviews every decision that affects someone. If you cannot get clear answers from a provider, do not put personal or sensitive information into the tool.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6. Residual risk and decision</w:t>
      </w:r>
    </w:p>
    <w:p>
      <w:pPr>
        <w:spacing w:after="120" w:before="0" w:line="300"/>
      </w:pPr>
      <w:r>
        <w:rPr>
          <w:rFonts w:ascii="Nunito Sans" w:cs="Nunito Sans" w:eastAsia="Nunito Sans" w:hAnsi="Nunito Sans"/>
          <w:color w:val="102E3B"/>
          <w:sz w:val="20"/>
          <w:szCs w:val="20"/>
        </w:rPr>
        <w:t xml:space="preserve">Residual risk is the risk that remains after the measures in Part 5.</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Overall residual risk (low / medium / high)</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 ] Proceed  [ ] Proceed with conditions  [ ] Do not proceed</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Conditions, if any</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If residual risk is still high: date the regulator was consulted, and its response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If the residual risk stays high, we do not start until we have reduced it or consulted the regulator. Under the GDPR this is called prior consultation.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PRIOR CONSULTATION</w:t>
            </w:r>
          </w:p>
          <w:p>
            <w:pPr>
              <w:spacing w:after="120" w:before="0" w:line="300"/>
            </w:pPr>
            <w:r>
              <w:rPr>
                <w:rFonts w:ascii="Nunito Sans" w:cs="Nunito Sans" w:eastAsia="Nunito Sans" w:hAnsi="Nunito Sans"/>
                <w:color w:val="102E3B"/>
                <w:sz w:val="19"/>
                <w:szCs w:val="19"/>
              </w:rPr>
              <w:t xml:space="preserve">The GDPR requires prior consultation with the regulator where a DPIA shows high risk that cannot be reduced. Several other laws contain similar duties, but the rules differ. Check your local law and your regulator's guidance on when and how to consult.</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7. Sign-off</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 COMMENTS AND DATE</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Project lead</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lead advice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officer advice, if we have one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Approved by</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Approved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Part 8. Review</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date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[Date, normally within 12 months]</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also when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activity, data, technology, partners or law change, or after a breach</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will review</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Guidance notes</w:t>
      </w:r>
    </w:p>
    <w:p>
      <w:pPr>
        <w:pStyle w:val="ListParagraph"/>
        <w:numPr>
          <w:ilvl w:val="0"/>
          <w:numId w:val="3"/>
        </w:numPr>
        <w:spacing w:after="80" w:line="290"/>
      </w:pPr>
      <w:r>
        <w:rPr>
          <w:rFonts w:ascii="Nunito Sans" w:cs="Nunito Sans" w:eastAsia="Nunito Sans" w:hAnsi="Nunito Sans"/>
          <w:b/>
          <w:bCs/>
          <w:color w:val="102E3B"/>
          <w:sz w:val="20"/>
          <w:szCs w:val="20"/>
        </w:rPr>
        <w:t xml:space="preserve">Start small.</w:t>
      </w:r>
      <w:r>
        <w:rPr>
          <w:rFonts w:ascii="Nunito Sans" w:cs="Nunito Sans" w:eastAsia="Nunito Sans" w:hAnsi="Nunito Sans"/>
          <w:color w:val="102E3B"/>
          <w:sz w:val="20"/>
          <w:szCs w:val="20"/>
        </w:rPr>
        <w:t xml:space="preserve"> A one-page DPIA done before launch is better than a long one done after a problem.</w:t>
      </w:r>
    </w:p>
    <w:p>
      <w:pPr>
        <w:pStyle w:val="ListParagraph"/>
        <w:numPr>
          <w:ilvl w:val="0"/>
          <w:numId w:val="3"/>
        </w:numPr>
        <w:spacing w:after="80" w:line="290"/>
      </w:pPr>
      <w:r>
        <w:rPr>
          <w:rFonts w:ascii="Nunito Sans" w:cs="Nunito Sans" w:eastAsia="Nunito Sans" w:hAnsi="Nunito Sans"/>
          <w:b/>
          <w:bCs/>
          <w:color w:val="102E3B"/>
          <w:sz w:val="20"/>
          <w:szCs w:val="20"/>
        </w:rPr>
        <w:t xml:space="preserve">Write for the reader.</w:t>
      </w:r>
      <w:r>
        <w:rPr>
          <w:rFonts w:ascii="Nunito Sans" w:cs="Nunito Sans" w:eastAsia="Nunito Sans" w:hAnsi="Nunito Sans"/>
          <w:color w:val="102E3B"/>
          <w:sz w:val="20"/>
          <w:szCs w:val="20"/>
        </w:rPr>
        <w:t xml:space="preserve"> A funder or regulator should understand what you do and why it is safe.</w:t>
      </w:r>
    </w:p>
    <w:p>
      <w:pPr>
        <w:pStyle w:val="ListParagraph"/>
        <w:numPr>
          <w:ilvl w:val="0"/>
          <w:numId w:val="3"/>
        </w:numPr>
        <w:spacing w:after="80" w:line="290"/>
      </w:pPr>
      <w:r>
        <w:rPr>
          <w:rFonts w:ascii="Nunito Sans" w:cs="Nunito Sans" w:eastAsia="Nunito Sans" w:hAnsi="Nunito Sans"/>
          <w:b/>
          <w:bCs/>
          <w:color w:val="102E3B"/>
          <w:sz w:val="20"/>
          <w:szCs w:val="20"/>
        </w:rPr>
        <w:t xml:space="preserve">Be honest about risk.</w:t>
      </w:r>
      <w:r>
        <w:rPr>
          <w:rFonts w:ascii="Nunito Sans" w:cs="Nunito Sans" w:eastAsia="Nunito Sans" w:hAnsi="Nunito Sans"/>
          <w:color w:val="102E3B"/>
          <w:sz w:val="20"/>
          <w:szCs w:val="20"/>
        </w:rPr>
        <w:t xml:space="preserve"> A DPIA that shows no risks at all is not credible.</w:t>
      </w:r>
    </w:p>
    <w:p>
      <w:pPr>
        <w:pStyle w:val="ListParagraph"/>
        <w:numPr>
          <w:ilvl w:val="0"/>
          <w:numId w:val="3"/>
        </w:numPr>
        <w:spacing w:after="80" w:line="290"/>
      </w:pPr>
      <w:r>
        <w:rPr>
          <w:rFonts w:ascii="Nunito Sans" w:cs="Nunito Sans" w:eastAsia="Nunito Sans" w:hAnsi="Nunito Sans"/>
          <w:b/>
          <w:bCs/>
          <w:color w:val="102E3B"/>
          <w:sz w:val="20"/>
          <w:szCs w:val="20"/>
        </w:rPr>
        <w:t xml:space="preserve">Link it to the rest of your system.</w:t>
      </w:r>
      <w:r>
        <w:rPr>
          <w:rFonts w:ascii="Nunito Sans" w:cs="Nunito Sans" w:eastAsia="Nunito Sans" w:hAnsi="Nunito Sans"/>
          <w:color w:val="102E3B"/>
          <w:sz w:val="20"/>
          <w:szCs w:val="20"/>
        </w:rPr>
        <w:t xml:space="preserve"> Add high risks to the Risk Register, update the Privacy Notice, and use a Data Sharing Agreement for partners.</w:t>
      </w:r>
    </w:p>
    <w:p>
      <w:pPr>
        <w:pStyle w:val="ListParagraph"/>
        <w:numPr>
          <w:ilvl w:val="0"/>
          <w:numId w:val="3"/>
        </w:numPr>
        <w:spacing w:after="80" w:line="290"/>
      </w:pPr>
      <w:r>
        <w:rPr>
          <w:rFonts w:ascii="Nunito Sans" w:cs="Nunito Sans" w:eastAsia="Nunito Sans" w:hAnsi="Nunito Sans"/>
          <w:b/>
          <w:bCs/>
          <w:color w:val="102E3B"/>
          <w:sz w:val="20"/>
          <w:szCs w:val="20"/>
        </w:rPr>
        <w:t xml:space="preserve">Keep it alive.</w:t>
      </w:r>
      <w:r>
        <w:rPr>
          <w:rFonts w:ascii="Nunito Sans" w:cs="Nunito Sans" w:eastAsia="Nunito Sans" w:hAnsi="Nunito Sans"/>
          <w:color w:val="102E3B"/>
          <w:sz w:val="20"/>
          <w:szCs w:val="20"/>
        </w:rPr>
        <w:t xml:space="preserve"> Review it when things change, and record what changed.</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Data Protection Impact Assessment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F2A4CB7A-5227-4D04-C43A-AE241AFB437D}"/>
  </w:font>
  <w:font w:name="DM Serif Display">
    <w:family w:val="auto"/>
    <w:pitch w:val="variable"/>
    <w:sig w:usb0="E0002AFF" w:usb1="C000247B" w:usb2="00000009" w:usb3="00000000" w:csb0="000001FF" w:csb1="00000000"/>
    <w:embedRegular r:id="rId2" w:fontKey="{AEBEC9F1-62AE-E1E2-9B12-D6813C13ED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Data Protection Impact Assessment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DATA PROTECTION IMPACT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dc:title>
  <dc:creator>Method into Impact</dc:creator>
  <dc:description>A short, step-by-step form [[Organisation name]] uses to spot and reduce privacy risks before starting a new project, system or data sharing arrangement.</dc:description>
  <cp:lastModifiedBy>Un-named</cp:lastModifiedBy>
  <cp:revision>1</cp:revision>
  <dcterms:created xsi:type="dcterms:W3CDTF">2026-10-29T05:48:54.754Z</dcterms:created>
  <dcterms:modified xsi:type="dcterms:W3CDTF">2026-10-29T05:48:54.755Z</dcterms:modified>
</cp:coreProperties>
</file>

<file path=docProps/custom.xml><?xml version="1.0" encoding="utf-8"?>
<Properties xmlns="http://schemas.openxmlformats.org/officeDocument/2006/custom-properties" xmlns:vt="http://schemas.openxmlformats.org/officeDocument/2006/docPropsVTypes"/>
</file>