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COMPLIANCE CHECKLIST · LEGAL HEALTH CHECK</w:t>
      </w:r>
    </w:p>
    <w:p>
      <w:pPr>
        <w:spacing w:after="360" w:line="360" w:lineRule="atLeast"/>
      </w:pPr>
      <w:r>
        <w:rPr>
          <w:rFonts w:ascii="Nunito Sans" w:cs="Nunito Sans" w:eastAsia="Nunito Sans" w:hAnsi="Nunito Sans"/>
          <w:b/>
          <w:bCs/>
          <w:color w:val="102E3B"/>
          <w:sz w:val="24"/>
          <w:szCs w:val="24"/>
          <w:highlight w:val="yellow"/>
        </w:rPr>
        <w:t xml:space="preserve">[Organisation name]</w:t>
      </w:r>
    </w:p>
    <w:p>
      <w:pPr>
        <w:spacing w:after="280" w:before="120" w:line="920" w:lineRule="atLeast"/>
      </w:pPr>
      <w:r>
        <w:rPr>
          <w:rFonts w:ascii="DM Serif Display" w:cs="DM Serif Display" w:eastAsia="DM Serif Display" w:hAnsi="DM Serif Display"/>
          <w:color w:val="FFFAF3"/>
          <w:sz w:val="76"/>
          <w:szCs w:val="76"/>
        </w:rPr>
        <w:t xml:space="preserve">Legal Review Checklist</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A yes-or-no checklist that </w:t>
      </w:r>
      <w:r>
        <w:rPr>
          <w:rFonts w:ascii="Nunito Sans" w:cs="Nunito Sans" w:eastAsia="Nunito Sans" w:hAnsi="Nunito Sans"/>
          <w:color w:val="102E3B"/>
          <w:sz w:val="21"/>
          <w:szCs w:val="21"/>
          <w:highlight w:val="yellow"/>
        </w:rPr>
        <w:t xml:space="preserve">[Organisation name]</w:t>
      </w:r>
      <w:r>
        <w:rPr>
          <w:rFonts w:ascii="Nunito Sans" w:cs="Nunito Sans" w:eastAsia="Nunito Sans" w:hAnsi="Nunito Sans"/>
          <w:color w:val="D8EEE2"/>
          <w:sz w:val="21"/>
          <w:szCs w:val="21"/>
        </w:rPr>
        <w:t xml:space="preserve"> completes before adopting a new document, and once a year as a legal health check, and then takes to a lawyer or adviser with a short brief of questions.</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Templates and good intentions are not enough: each organisation must fit its documents to the law where it is registered and works. This checklist shows you what to check, helps you spot gaps before a funder or regulator does, and makes an hour with a lawyer far more useful. It is not legal advice and does not replace it.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Your board; auditors; funders in due diligence (many ask whether your policies have had legal review); lawyers and pro bono advisers, who need a clear brief</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2–3 hours to complete; then 1–2 hours with an adviser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4 · Protect, Module 10 (Legal, compliance, policies and risk)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Governing Body Terms of Reference · Delegation of Authority Matrix · Risk Register · Records Retention Schedule · Data Protection Policy · Data Protection Impact Assessment · Partner Due Diligence and Sanctions Screening Policy · Partner Due Diligence Questionnaire · Employment Contract · Independent Contractor Agreement · Policy Approval and Review Procedure</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p>
      <w:pPr>
        <w:keepNext/>
        <w:spacing w:after="80" w:before="0"/>
      </w:pPr>
      <w:r>
        <w:rPr>
          <w:rFonts w:ascii="Nunito Sans" w:cs="Nunito Sans" w:eastAsia="Nunito Sans" w:hAnsi="Nunito Sans"/>
          <w:b/>
          <w:bCs/>
          <w:color w:val="16746E"/>
          <w:spacing w:val="30"/>
          <w:sz w:val="15"/>
          <w:szCs w:val="15"/>
        </w:rPr>
        <w:t xml:space="preserve">DOCUMENT CONTROL</w:t>
      </w:r>
    </w:p>
    <w:p>
      <w:pPr>
        <w:spacing w:after="200"/>
      </w:pPr>
      <w:r>
        <w:rPr>
          <w:rFonts w:ascii="DM Serif Display" w:cs="DM Serif Display" w:eastAsia="DM Serif Display" w:hAnsi="DM Serif Display"/>
          <w:color w:val="123C48"/>
          <w:sz w:val="40"/>
          <w:szCs w:val="40"/>
        </w:rPr>
        <w:t xml:space="preserve">About this document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Legal Review Checklist</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TYPE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Checklist</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OWNER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and role of the person responsible]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APPROVED BY</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role and body, e.g. the board of trustees]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DATE OF APPROVAL</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Month YYYY]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NEXT REVIEW</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[Month YYYY]</w:t>
            </w:r>
            <w:r>
              <w:rPr>
                <w:rFonts w:ascii="Nunito Sans" w:cs="Nunito Sans" w:eastAsia="Nunito Sans" w:hAnsi="Nunito Sans"/>
                <w:color w:val="102E3B"/>
                <w:sz w:val="19"/>
                <w:szCs w:val="19"/>
              </w:rPr>
              <w:t xml:space="preserve">, or sooner after a serious incident, a change in the law or a major change in how we work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APPLIES 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The </w:t>
            </w:r>
            <w:r>
              <w:rPr>
                <w:rFonts w:ascii="Nunito Sans" w:cs="Nunito Sans" w:eastAsia="Nunito Sans" w:hAnsi="Nunito Sans"/>
                <w:color w:val="102E3B"/>
                <w:sz w:val="19"/>
                <w:szCs w:val="19"/>
                <w:highlight w:val="yellow"/>
              </w:rPr>
              <w:t xml:space="preserve">[Executive Director / founder]</w:t>
            </w:r>
            <w:r>
              <w:rPr>
                <w:rFonts w:ascii="Nunito Sans" w:cs="Nunito Sans" w:eastAsia="Nunito Sans" w:hAnsi="Nunito Sans"/>
                <w:color w:val="102E3B"/>
                <w:sz w:val="19"/>
                <w:szCs w:val="19"/>
              </w:rPr>
              <w:t xml:space="preserve">, the board and anyone preparing a legal review for </w:t>
            </w:r>
            <w:r>
              <w:rPr>
                <w:rFonts w:ascii="Nunito Sans" w:cs="Nunito Sans" w:eastAsia="Nunito Sans" w:hAnsi="Nunito Sans"/>
                <w:color w:val="102E3B"/>
                <w:sz w:val="19"/>
                <w:szCs w:val="19"/>
                <w:highlight w:val="yellow"/>
              </w:rPr>
              <w:t xml:space="preserve">[Organisation name]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ORGANISATION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[Legal name, legal form, country of registration and registration number]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[hello@yourorganisation.org]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LANGUAGE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Translations: </w:t>
            </w:r>
            <w:r>
              <w:rPr>
                <w:rFonts w:ascii="Nunito Sans" w:cs="Nunito Sans" w:eastAsia="Nunito Sans" w:hAnsi="Nunito Sans"/>
                <w:color w:val="102E3B"/>
                <w:sz w:val="19"/>
                <w:szCs w:val="19"/>
                <w:highlight w:val="yellow"/>
              </w:rPr>
              <w:t xml:space="preserve">[languages, or “none”]</w:t>
            </w:r>
            <w:r>
              <w:rPr>
                <w:rFonts w:ascii="Nunito Sans" w:cs="Nunito Sans" w:eastAsia="Nunito Sans" w:hAnsi="Nunito Sans"/>
                <w:color w:val="102E3B"/>
                <w:sz w:val="19"/>
                <w:szCs w:val="19"/>
              </w:rPr>
              <w:t xml:space="preserve">. If versions differ, the </w:t>
            </w: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version applies.</w:t>
            </w:r>
          </w:p>
        </w:tc>
      </w:tr>
    </w:tbl>
    <w:p>
      <w:pPr>
        <w:keepNext/>
        <w:spacing w:after="100" w:before="360"/>
      </w:pPr>
      <w:r>
        <w:rPr>
          <w:rFonts w:ascii="Nunito Sans" w:cs="Nunito Sans" w:eastAsia="Nunito Sans" w:hAnsi="Nunito Sans"/>
          <w:b/>
          <w:bCs/>
          <w:color w:val="16746E"/>
          <w:spacing w:val="30"/>
          <w:sz w:val="15"/>
          <w:szCs w:val="15"/>
        </w:rPr>
        <w:t xml:space="preserve">CONTENTS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How to use this checklist</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Sign-off</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The checklist</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Guidance: getting low-cost legal advice</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Adviser brief</w:t>
            </w:r>
          </w:p>
        </w:tc>
        <w:tc>
          <w:tcPr>
            <w:tcW w:type="dxa" w:w="4762"/>
            <w:tcBorders>
              <w:top w:val="none" w:color="FFFFFF" w:sz="0"/>
              <w:left w:val="none" w:color="FFFFFF" w:sz="0"/>
              <w:bottom w:val="none" w:color="FFFFFF" w:sz="0"/>
              <w:right w:val="none" w:color="FFFFFF" w:sz="0"/>
            </w:tcBorders>
            <w:tcMar>
              <w:top w:type="dxa" w:w="60"/>
              <w:left w:type="dxa" w:w="300"/>
              <w:bottom w:type="dxa" w:w="60"/>
              <w:right w:type="dxa" w:w="120"/>
            </w:tcMar>
          </w:tcPr>
          <w:p>
            <w:pPr>
              <w:spacing w:after="0"/>
            </w:pP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PROPORTIONATE TO OUR SIZE</w:t>
            </w:r>
          </w:p>
          <w:p>
            <w:pPr>
              <w:spacing w:after="120" w:before="0" w:line="30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is a </w:t>
            </w:r>
            <w:r>
              <w:rPr>
                <w:rFonts w:ascii="Nunito Sans" w:cs="Nunito Sans" w:eastAsia="Nunito Sans" w:hAnsi="Nunito Sans"/>
                <w:color w:val="102E3B"/>
                <w:sz w:val="19"/>
                <w:szCs w:val="19"/>
                <w:highlight w:val="yellow"/>
              </w:rPr>
              <w:t xml:space="preserve">[small organisation of X people]</w:t>
            </w:r>
            <w:r>
              <w:rPr>
                <w:rFonts w:ascii="Nunito Sans" w:cs="Nunito Sans" w:eastAsia="Nunito Sans" w:hAnsi="Nunito Sans"/>
                <w:color w:val="102E3B"/>
                <w:sz w:val="19"/>
                <w:szCs w:val="19"/>
              </w:rPr>
              <w:t xml:space="preserve">. </w:t>
            </w: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color w:val="102E3B"/>
                <w:sz w:val="19"/>
                <w:szCs w:val="19"/>
              </w:rPr>
              <w:t xml:space="preserve"> completes this checklist each </w:t>
            </w:r>
            <w:r>
              <w:rPr>
                <w:rFonts w:ascii="Nunito Sans" w:cs="Nunito Sans" w:eastAsia="Nunito Sans" w:hAnsi="Nunito Sans"/>
                <w:color w:val="102E3B"/>
                <w:sz w:val="19"/>
                <w:szCs w:val="19"/>
                <w:highlight w:val="yellow"/>
              </w:rPr>
              <w:t xml:space="preserve">[year, in Month]</w:t>
            </w:r>
            <w:r>
              <w:rPr>
                <w:rFonts w:ascii="Nunito Sans" w:cs="Nunito Sans" w:eastAsia="Nunito Sans" w:hAnsi="Nunito Sans"/>
                <w:color w:val="102E3B"/>
                <w:sz w:val="19"/>
                <w:szCs w:val="19"/>
              </w:rPr>
              <w:t xml:space="preserve"> and before we adopt any new policy, agreement or form. </w:t>
            </w:r>
            <w:r>
              <w:rPr>
                <w:rFonts w:ascii="Nunito Sans" w:cs="Nunito Sans" w:eastAsia="Nunito Sans" w:hAnsi="Nunito Sans"/>
                <w:b/>
                <w:bCs/>
                <w:color w:val="102E3B"/>
                <w:sz w:val="19"/>
                <w:szCs w:val="19"/>
                <w:highlight w:val="yellow"/>
              </w:rPr>
              <w:t xml:space="preserve">[Name, board member]</w:t>
            </w:r>
            <w:r>
              <w:rPr>
                <w:rFonts w:ascii="Nunito Sans" w:cs="Nunito Sans" w:eastAsia="Nunito Sans" w:hAnsi="Nunito Sans"/>
                <w:color w:val="102E3B"/>
                <w:sz w:val="19"/>
                <w:szCs w:val="19"/>
              </w:rPr>
              <w:t xml:space="preserve"> reviews it with them and reports the main gaps to the board. We take the adviser brief to </w:t>
            </w:r>
            <w:r>
              <w:rPr>
                <w:rFonts w:ascii="Nunito Sans" w:cs="Nunito Sans" w:eastAsia="Nunito Sans" w:hAnsi="Nunito Sans"/>
                <w:color w:val="102E3B"/>
                <w:sz w:val="19"/>
                <w:szCs w:val="19"/>
                <w:highlight w:val="yellow"/>
              </w:rPr>
              <w:t xml:space="preserve">[our lawyer / a pro bono adviser]</w:t>
            </w:r>
            <w:r>
              <w:rPr>
                <w:rFonts w:ascii="Nunito Sans" w:cs="Nunito Sans" w:eastAsia="Nunito Sans" w:hAnsi="Nunito Sans"/>
                <w:color w:val="102E3B"/>
                <w:sz w:val="19"/>
                <w:szCs w:val="19"/>
              </w:rPr>
              <w:t xml:space="preserve"> and record the answers.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BEFORE YOU USE THIS CHECKLIST</w:t>
            </w:r>
          </w:p>
          <w:p>
            <w:pPr>
              <w:spacing w:after="120" w:before="0" w:line="300"/>
            </w:pPr>
            <w:r>
              <w:rPr>
                <w:rFonts w:ascii="Nunito Sans" w:cs="Nunito Sans" w:eastAsia="Nunito Sans" w:hAnsi="Nunito Sans"/>
                <w:color w:val="102E3B"/>
                <w:sz w:val="19"/>
                <w:szCs w:val="19"/>
              </w:rPr>
              <w:t xml:space="preserve">Delete any section that clearly does not apply (for example, consumer law if you sell nothing), but think twice before deleting: many small organisations find gaps where they least expect them. If you work in more than one country, complete the checklist once for the country of registration and once, more briefly, for each country where you run activities, employ people or hold a bank account. This checklist is a guide to what to ask, not a statement of the law in any country.</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How to use this checklist</w:t>
      </w:r>
    </w:p>
    <w:p>
      <w:pPr>
        <w:pStyle w:val="ListParagraph"/>
        <w:numPr>
          <w:ilvl w:val="0"/>
          <w:numId w:val="3"/>
        </w:numPr>
        <w:spacing w:after="80" w:line="290"/>
      </w:pPr>
      <w:r>
        <w:rPr>
          <w:rFonts w:ascii="Nunito Sans" w:cs="Nunito Sans" w:eastAsia="Nunito Sans" w:hAnsi="Nunito Sans"/>
          <w:color w:val="102E3B"/>
          <w:sz w:val="20"/>
          <w:szCs w:val="20"/>
        </w:rPr>
        <w:t xml:space="preserve">Tick each item that is </w:t>
      </w:r>
      <w:r>
        <w:rPr>
          <w:rFonts w:ascii="Nunito Sans" w:cs="Nunito Sans" w:eastAsia="Nunito Sans" w:hAnsi="Nunito Sans"/>
          <w:b/>
          <w:bCs/>
          <w:color w:val="102E3B"/>
          <w:sz w:val="20"/>
          <w:szCs w:val="20"/>
        </w:rPr>
        <w:t xml:space="preserve">true and you can show it</w:t>
      </w:r>
      <w:r>
        <w:rPr>
          <w:rFonts w:ascii="Nunito Sans" w:cs="Nunito Sans" w:eastAsia="Nunito Sans" w:hAnsi="Nunito Sans"/>
          <w:color w:val="102E3B"/>
          <w:sz w:val="20"/>
          <w:szCs w:val="20"/>
        </w:rPr>
        <w:t xml:space="preserve"> with a document, filing or record. Note where the evidence is kept.</w:t>
      </w:r>
    </w:p>
    <w:p>
      <w:pPr>
        <w:pStyle w:val="ListParagraph"/>
        <w:numPr>
          <w:ilvl w:val="0"/>
          <w:numId w:val="3"/>
        </w:numPr>
        <w:spacing w:after="80" w:line="290"/>
      </w:pPr>
      <w:r>
        <w:rPr>
          <w:rFonts w:ascii="Nunito Sans" w:cs="Nunito Sans" w:eastAsia="Nunito Sans" w:hAnsi="Nunito Sans"/>
          <w:color w:val="102E3B"/>
          <w:sz w:val="20"/>
          <w:szCs w:val="20"/>
        </w:rPr>
        <w:t xml:space="preserve">If the answer is no, or you are not sure, leave it unticked and copy it into the adviser brief at the end, as a question.</w:t>
      </w:r>
    </w:p>
    <w:p>
      <w:pPr>
        <w:pStyle w:val="ListParagraph"/>
        <w:numPr>
          <w:ilvl w:val="0"/>
          <w:numId w:val="3"/>
        </w:numPr>
        <w:spacing w:after="80" w:line="290"/>
      </w:pPr>
      <w:r>
        <w:rPr>
          <w:rFonts w:ascii="Nunito Sans" w:cs="Nunito Sans" w:eastAsia="Nunito Sans" w:hAnsi="Nunito Sans"/>
          <w:color w:val="102E3B"/>
          <w:sz w:val="20"/>
          <w:szCs w:val="20"/>
        </w:rPr>
        <w:t xml:space="preserve">Prioritise unticked items that could lead to a fine, loss of registration, harm to a person or loss of funding.</w:t>
      </w:r>
    </w:p>
    <w:p>
      <w:pPr>
        <w:pStyle w:val="ListParagraph"/>
        <w:numPr>
          <w:ilvl w:val="0"/>
          <w:numId w:val="3"/>
        </w:numPr>
        <w:spacing w:after="80" w:line="290"/>
      </w:pPr>
      <w:r>
        <w:rPr>
          <w:rFonts w:ascii="Nunito Sans" w:cs="Nunito Sans" w:eastAsia="Nunito Sans" w:hAnsi="Nunito Sans"/>
          <w:color w:val="102E3B"/>
          <w:sz w:val="20"/>
          <w:szCs w:val="20"/>
        </w:rPr>
        <w:t xml:space="preserve">Take the brief, your governing document and the documents in question to your adviser. Record their answers and the actions agreed.</w:t>
      </w:r>
    </w:p>
    <w:p>
      <w:pPr>
        <w:pStyle w:val="ListParagraph"/>
        <w:numPr>
          <w:ilvl w:val="0"/>
          <w:numId w:val="3"/>
        </w:numPr>
        <w:spacing w:after="80" w:line="290"/>
      </w:pPr>
      <w:r>
        <w:rPr>
          <w:rFonts w:ascii="Nunito Sans" w:cs="Nunito Sans" w:eastAsia="Nunito Sans" w:hAnsi="Nunito Sans"/>
          <w:color w:val="102E3B"/>
          <w:sz w:val="20"/>
          <w:szCs w:val="20"/>
        </w:rPr>
        <w:t xml:space="preserve">Report the result to the board, and add significant gaps to the Risk Register.</w:t>
      </w:r>
    </w:p>
    <w:p>
      <w:pPr>
        <w:pStyle w:val="Heading1"/>
        <w:keepNext/>
        <w:spacing w:after="160" w:before="360"/>
      </w:pPr>
      <w:r>
        <w:rPr>
          <w:rFonts w:ascii="DM Serif Display" w:cs="DM Serif Display" w:eastAsia="DM Serif Display" w:hAnsi="DM Serif Display"/>
          <w:color w:val="123C48"/>
          <w:sz w:val="40"/>
          <w:szCs w:val="40"/>
        </w:rPr>
        <w:t xml:space="preserve">The checklist</w:t>
      </w:r>
    </w:p>
    <w:p>
      <w:pPr>
        <w:pStyle w:val="Heading2"/>
        <w:keepNext/>
        <w:spacing w:after="120" w:before="280"/>
      </w:pPr>
      <w:r>
        <w:rPr>
          <w:rFonts w:ascii="DM Serif Display" w:cs="DM Serif Display" w:eastAsia="DM Serif Display" w:hAnsi="DM Serif Display"/>
          <w:color w:val="123C48"/>
          <w:sz w:val="28"/>
          <w:szCs w:val="28"/>
        </w:rPr>
        <w:t xml:space="preserve">1. Registration and legal form</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We know our exact legal form (for example association, trust, society, non-profit company, foundation, co-operative or social enterprise company) and it allows everything we do, including any trading.</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Our registration is current, and our registered name, address and purposes match what we actually do.</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We are registered, or have confirmed we do not need to be, in every country where we run activities, employ people or hold a bank account.</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We know which regulators supervise us and what changes we must report to them (for example a new board member, address or purpose).</w:t>
      </w:r>
    </w:p>
    <w:p>
      <w:pPr>
        <w:pStyle w:val="Heading2"/>
        <w:keepNext/>
        <w:spacing w:after="120" w:before="280"/>
      </w:pPr>
      <w:r>
        <w:rPr>
          <w:rFonts w:ascii="DM Serif Display" w:cs="DM Serif Display" w:eastAsia="DM Serif Display" w:hAnsi="DM Serif Display"/>
          <w:color w:val="123C48"/>
          <w:sz w:val="28"/>
          <w:szCs w:val="28"/>
        </w:rPr>
        <w:t xml:space="preserve">2. Annual filings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We keep a compliance calendar of every filing and renewal deadline (annual return, accounts, tax returns, regulator reports, registration renewal), each with a named owner.</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Our last annual return and accounts were filed on time with every authority that requires them.</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Our accounts are audited or independently examined where the law, our governing document or a funder requires it.</w:t>
      </w:r>
    </w:p>
    <w:p>
      <w:pPr>
        <w:pStyle w:val="Heading2"/>
        <w:keepNext/>
        <w:spacing w:after="120" w:before="280"/>
      </w:pPr>
      <w:r>
        <w:rPr>
          <w:rFonts w:ascii="DM Serif Display" w:cs="DM Serif Display" w:eastAsia="DM Serif Display" w:hAnsi="DM Serif Display"/>
          <w:color w:val="123C48"/>
          <w:sz w:val="28"/>
          <w:szCs w:val="28"/>
        </w:rPr>
        <w:t xml:space="preserve">3. Governing documents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We hold a signed, current copy of our governing document, and every amendment was approved and filed as required.</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Our purposes cover all current activities, including new programmes, countries and income streams.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Board appointments, terms of office, meetings and minutes follow the governing document and our Governing Body Terms of Reference.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Our core policies were approved by the body the governing document requires.</w:t>
      </w:r>
    </w:p>
    <w:p>
      <w:pPr>
        <w:pStyle w:val="Heading2"/>
        <w:keepNext/>
        <w:spacing w:after="120" w:before="280"/>
      </w:pPr>
      <w:r>
        <w:rPr>
          <w:rFonts w:ascii="DM Serif Display" w:cs="DM Serif Display" w:eastAsia="DM Serif Display" w:hAnsi="DM Serif Display"/>
          <w:color w:val="123C48"/>
          <w:sz w:val="28"/>
          <w:szCs w:val="28"/>
        </w:rPr>
        <w:t xml:space="preserve">4. Signing authority and banking</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We know who may sign contracts, open bank accounts and commit the organisation, and this matches the Delegation of Authority Matrix.</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Our bank mandates require </w:t>
      </w:r>
      <w:r>
        <w:rPr>
          <w:rFonts w:ascii="Nunito Sans" w:cs="Nunito Sans" w:eastAsia="Nunito Sans" w:hAnsi="Nunito Sans"/>
          <w:color w:val="102E3B"/>
          <w:sz w:val="20"/>
          <w:szCs w:val="20"/>
          <w:highlight w:val="yellow"/>
        </w:rPr>
        <w:t xml:space="preserve">[two]</w:t>
      </w:r>
      <w:r>
        <w:rPr>
          <w:rFonts w:ascii="Nunito Sans" w:cs="Nunito Sans" w:eastAsia="Nunito Sans" w:hAnsi="Nunito Sans"/>
          <w:color w:val="102E3B"/>
          <w:sz w:val="20"/>
          <w:szCs w:val="20"/>
        </w:rPr>
        <w:t xml:space="preserve"> authorised signatories and list only current people.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Any powers of attorney or letters of authority are recorded and withdrawn when the person leaves.</w:t>
      </w:r>
    </w:p>
    <w:p>
      <w:pPr>
        <w:pStyle w:val="Heading2"/>
        <w:keepNext/>
        <w:spacing w:after="120" w:before="280"/>
      </w:pPr>
      <w:r>
        <w:rPr>
          <w:rFonts w:ascii="DM Serif Display" w:cs="DM Serif Display" w:eastAsia="DM Serif Display" w:hAnsi="DM Serif Display"/>
          <w:color w:val="123C48"/>
          <w:sz w:val="28"/>
          <w:szCs w:val="28"/>
        </w:rPr>
        <w:t xml:space="preserve">5. Tax status and registration</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We know whether we are exempt from income or corporate tax, and we hold written confirmation.</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We are registered for, and pay, the taxes that apply to us: employer withholding on salaries, social security, and VAT or sales tax if our sales exceed the threshold.</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If we tell donors their gifts are tax-deductible, we hold the approval and issue receipts in the required form.</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We deduct and pay any withholding tax due on payments to contractors and foreign suppliers.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TAX COUNTRY NOTES</w:t>
            </w:r>
          </w:p>
          <w:p>
            <w:pPr>
              <w:spacing w:after="120" w:before="0" w:line="300"/>
            </w:pPr>
            <w:r>
              <w:rPr>
                <w:rFonts w:ascii="Nunito Sans" w:cs="Nunito Sans" w:eastAsia="Nunito Sans" w:hAnsi="Nunito Sans"/>
                <w:color w:val="102E3B"/>
                <w:sz w:val="19"/>
                <w:szCs w:val="19"/>
              </w:rPr>
              <w:t xml:space="preserve">Tax exemption and donor relief are separate approvals in many countries. Examples: in India, registration for exemption (long known as 12A or 12AB) and approval for donor deduction (80G), section numbers from the Income-tax Act 1961 that may differ under the Income-tax Act 2025, so check the current provisions; in South Africa, approval as a public benefit organisation and, separately, under section 18A for donor receipts; in the United States, 501(c)(3) status from the IRS for US donors. Tax law changes often, so ask a local accountant or tax adviser to confirm the current position and filing dates.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6. Foreign funding and NGO registration</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We have checked whether we need government approval to receive foreign funds, and we hold any approval required.</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Our NGO, non-profit or public benefit registration or permit renewal date is in the compliance calendar, and all reports under it are up to date.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We have checked the rules on moving money across borders, foreign exchange and passing funds to partners (sub-granting).</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FOREIGN FUNDING RULES</w:t>
            </w:r>
          </w:p>
          <w:p>
            <w:pPr>
              <w:spacing w:after="120" w:before="0" w:line="300"/>
            </w:pPr>
            <w:r>
              <w:rPr>
                <w:rFonts w:ascii="Nunito Sans" w:cs="Nunito Sans" w:eastAsia="Nunito Sans" w:hAnsi="Nunito Sans"/>
                <w:color w:val="102E3B"/>
                <w:sz w:val="19"/>
                <w:szCs w:val="19"/>
              </w:rPr>
              <w:t xml:space="preserve">Several countries regulate foreign funding closely. India is a well-known example: under the Foreign Contribution (Regulation) Act 2010, as amended in 2020, an organisation needs FCRA registration or prior permission to receive foreign funds, registration must be renewed every five years, foreign funds must first be received in a designated FCRA account at the State Bank of India, New Delhi Main Branch, and passing foreign funds to other organisations is restricted. Other countries require NGO permits that must be renewed regularly, for example under Uganda's NGO Act 2016, or set rules on foreign funding and registration categories, for example Ethiopia's civil society proclamation of 2019. Rules change and are sometimes applied strictly, so confirm current requirements with a local lawyer.</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7. Employment, volunteers and contractors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Every employee has a written contract that meets local legal minimums (pay, hours, leave, notice, probation).</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People we treat as contractors or volunteers are genuinely contractors or volunteers under local law, not employees in disguise.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We are registered as an employer and pay the required contributions (social security, pension, health, work injury).</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Anyone who is not a national has the right to work, and we hold copies of permits.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Our disciplinary, grievance and termination procedures follow local employment law.</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EMPLOYMENT STATUS</w:t>
            </w:r>
          </w:p>
          <w:p>
            <w:pPr>
              <w:spacing w:after="120" w:before="0" w:line="300"/>
            </w:pPr>
            <w:r>
              <w:rPr>
                <w:rFonts w:ascii="Nunito Sans" w:cs="Nunito Sans" w:eastAsia="Nunito Sans" w:hAnsi="Nunito Sans"/>
                <w:color w:val="102E3B"/>
                <w:sz w:val="19"/>
                <w:szCs w:val="19"/>
              </w:rPr>
              <w:t xml:space="preserve">Misclassifying staff as contractors or volunteers is one of the most common legal risks for small organisations. Courts usually look at the reality, not the label: who controls the work and hours, whether the person is part of the team, whether they work only for you, and who provides equipment. The ILO Employment Relationship Recommendation 2006 (No. 198) sets out these indicators. Volunteers who receive regular payments beyond real expenses may count as employees and be owed the minimum wage in some countries. Check your local employment law.</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8. Safeguarding legal duties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We know whether the law requires us to report abuse of children or adults at risk, to whom and how quickly.</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We know which background or criminal record checks we may, or must, carry out for roles with children or adults at risk, and we carry them out.</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We know the local law on age of majority, child labour and consent for children's photos and data.</w:t>
      </w:r>
    </w:p>
    <w:p>
      <w:pPr>
        <w:pStyle w:val="Heading2"/>
        <w:keepNext/>
        <w:spacing w:after="120" w:before="280"/>
      </w:pPr>
      <w:r>
        <w:rPr>
          <w:rFonts w:ascii="DM Serif Display" w:cs="DM Serif Display" w:eastAsia="DM Serif Display" w:hAnsi="DM Serif Display"/>
          <w:color w:val="123C48"/>
          <w:sz w:val="28"/>
          <w:szCs w:val="28"/>
        </w:rPr>
        <w:t xml:space="preserve">9. Data protection</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We know which data protection laws apply to us: where we are registered, where the people whose data we hold are, and where our data is stored.</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We have registered with the data protection authority, or paid any fee, where required.</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We have a Privacy Notice, a lawful basis for each use of personal data, and consent forms where we rely on consent.</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We know the rules on transferring data abroad and the deadline for reporting a data breach.</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DATA PROTECTION REGISTRATION</w:t>
            </w:r>
          </w:p>
          <w:p>
            <w:pPr>
              <w:spacing w:after="120" w:before="0" w:line="300"/>
            </w:pPr>
            <w:r>
              <w:rPr>
                <w:rFonts w:ascii="Nunito Sans" w:cs="Nunito Sans" w:eastAsia="Nunito Sans" w:hAnsi="Nunito Sans"/>
                <w:color w:val="102E3B"/>
                <w:sz w:val="19"/>
                <w:szCs w:val="19"/>
              </w:rPr>
              <w:t xml:space="preserve">Some laws require organisations to register or pay a fee, with exemptions that vary. Examples: Kenya requires registration with the Office of the Data Protection Commissioner under the Data Protection Act 2019 and its 2021 registration regulations; South Africa requires the information officer to be registered with the Information Regulator under POPIA; Nigeria requires data controllers and processors "of major importance" to register with the Nigeria Data Protection Commission under the Nigeria Data Protection Act 2023; in the UK most organisations pay a data protection fee to the Information Commissioner's Office, with some exemptions for not-for-profits. Check whether exemptions for small organisations apply to you.</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10. Sanctions and counter-terrorist financing</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We know which sanctions lists our funders require us to check (usually the UN Security Council consolidated list, and often US OFAC, EU and UK lists).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We screen partners, sub-grantees, major suppliers and </w:t>
      </w:r>
      <w:r>
        <w:rPr>
          <w:rFonts w:ascii="Nunito Sans" w:cs="Nunito Sans" w:eastAsia="Nunito Sans" w:hAnsi="Nunito Sans"/>
          <w:color w:val="102E3B"/>
          <w:sz w:val="20"/>
          <w:szCs w:val="20"/>
          <w:highlight w:val="yellow"/>
        </w:rPr>
        <w:t xml:space="preserve">[staff]</w:t>
      </w:r>
      <w:r>
        <w:rPr>
          <w:rFonts w:ascii="Nunito Sans" w:cs="Nunito Sans" w:eastAsia="Nunito Sans" w:hAnsi="Nunito Sans"/>
          <w:color w:val="102E3B"/>
          <w:sz w:val="20"/>
          <w:szCs w:val="20"/>
        </w:rPr>
        <w:t xml:space="preserve"> before contracting, and record the result, as set out in our Partner Due Diligence and Sanctions Screening Policy.</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We understand the counter-terrorism clauses in our grant agreements and apply a risk-based approach, as FATF Recommendation 8 expects.</w:t>
      </w:r>
    </w:p>
    <w:p>
      <w:pPr>
        <w:pStyle w:val="Heading2"/>
        <w:keepNext/>
        <w:spacing w:after="120" w:before="280"/>
      </w:pPr>
      <w:r>
        <w:rPr>
          <w:rFonts w:ascii="DM Serif Display" w:cs="DM Serif Display" w:eastAsia="DM Serif Display" w:hAnsi="DM Serif Display"/>
          <w:color w:val="123C48"/>
          <w:sz w:val="28"/>
          <w:szCs w:val="28"/>
        </w:rPr>
        <w:t xml:space="preserve">11. Funder conditions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We have mapped the conditions of every current grant (eligible costs, procurement, reporting, audit, branding, data, safeguarding, notification of incidents) with deadlines and owners.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We pass on ("flow down") funder conditions to partners in our Sub-grant Agreement where the funder requires it.</w:t>
      </w:r>
    </w:p>
    <w:p>
      <w:pPr>
        <w:pStyle w:val="Heading2"/>
        <w:keepNext/>
        <w:spacing w:after="120" w:before="280"/>
      </w:pPr>
      <w:r>
        <w:rPr>
          <w:rFonts w:ascii="DM Serif Display" w:cs="DM Serif Display" w:eastAsia="DM Serif Display" w:hAnsi="DM Serif Display"/>
          <w:color w:val="123C48"/>
          <w:sz w:val="28"/>
          <w:szCs w:val="28"/>
        </w:rPr>
        <w:t xml:space="preserve">12. Contracts register</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We keep a register of all contracts, leases, memoranda of understanding and grant agreements, with renewal and termination dates.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Our key contracts have been checked for governing law, liability, indemnities, intellectual property, data and termination.</w:t>
      </w:r>
    </w:p>
    <w:p>
      <w:pPr>
        <w:pStyle w:val="Heading2"/>
        <w:keepNext/>
        <w:spacing w:after="120" w:before="280"/>
      </w:pPr>
      <w:r>
        <w:rPr>
          <w:rFonts w:ascii="DM Serif Display" w:cs="DM Serif Display" w:eastAsia="DM Serif Display" w:hAnsi="DM Serif Display"/>
          <w:color w:val="123C48"/>
          <w:sz w:val="28"/>
          <w:szCs w:val="28"/>
        </w:rPr>
        <w:t xml:space="preserve">13. Insurance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We hold every insurance the law requires (for example employer's liability or workers' compensation, and vehicle third-party cover).</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We have considered, and decided in writing, on public liability, professional indemnity, trustee or directors' liability, property and equipment, travel and medical evacuation, and cyber insurance.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Our policies cover volunteers, all the countries where we work and all our activities, including events and work with children.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INSURANCE</w:t>
            </w:r>
          </w:p>
          <w:p>
            <w:pPr>
              <w:spacing w:after="120" w:before="0" w:line="300"/>
            </w:pPr>
            <w:r>
              <w:rPr>
                <w:rFonts w:ascii="Nunito Sans" w:cs="Nunito Sans" w:eastAsia="Nunito Sans" w:hAnsi="Nunito Sans"/>
                <w:color w:val="102E3B"/>
                <w:sz w:val="19"/>
                <w:szCs w:val="19"/>
              </w:rPr>
              <w:t xml:space="preserve">Compulsory cover varies. For example, employer's liability insurance is compulsory for most employers in Great Britain; Kenya's Work Injury Benefits Act 2007 requires employers to insure employees; in South Africa employers register under the Compensation for Occupational Injuries and Diseases Act 1993. Trustee or directors' liability (sometimes called D&amp;O) is optional but protects board members personally. Travel and medical evacuation cover matters most where staff travel to areas with limited health care. Some funders specify minimum cover in the grant agreement. Ask a broker for quotes and record decisions not to insure.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14. Intellectual property and brand</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We have checked that our name and logo do not conflict with others, and registered them as trade marks where useful, and our domain names are held in the organisation's name.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We own, or have a licence for, materials created by staff, contractors and volunteers, and we hold licences for the software, images, music and fonts we use.</w:t>
      </w:r>
    </w:p>
    <w:p>
      <w:pPr>
        <w:pStyle w:val="Heading2"/>
        <w:keepNext/>
        <w:spacing w:after="120" w:before="280"/>
      </w:pPr>
      <w:r>
        <w:rPr>
          <w:rFonts w:ascii="DM Serif Display" w:cs="DM Serif Display" w:eastAsia="DM Serif Display" w:hAnsi="DM Serif Display"/>
          <w:color w:val="123C48"/>
          <w:sz w:val="28"/>
          <w:szCs w:val="28"/>
        </w:rPr>
        <w:t xml:space="preserve">15. Fundraising</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We hold any permits needed for public collections, raffles, lotteries or fundraising events, and follow any fundraising code or registration that applies.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Our fundraising claims are accurate, and we follow the law on contacting donors and using their data.</w:t>
      </w:r>
    </w:p>
    <w:p>
      <w:pPr>
        <w:pStyle w:val="Heading2"/>
        <w:keepNext/>
        <w:spacing w:after="120" w:before="280"/>
      </w:pPr>
      <w:r>
        <w:rPr>
          <w:rFonts w:ascii="DM Serif Display" w:cs="DM Serif Display" w:eastAsia="DM Serif Display" w:hAnsi="DM Serif Display"/>
          <w:color w:val="123C48"/>
          <w:sz w:val="28"/>
          <w:szCs w:val="28"/>
        </w:rPr>
        <w:t xml:space="preserve">16. Selling goods or services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If we sell goods or services, our terms of sale, refunds, product safety, labelling and pricing (including tax) meet consumer law.</w:t>
      </w:r>
    </w:p>
    <w:p>
      <w:pPr>
        <w:pStyle w:val="Heading2"/>
        <w:keepNext/>
        <w:spacing w:after="120" w:before="280"/>
      </w:pPr>
      <w:r>
        <w:rPr>
          <w:rFonts w:ascii="DM Serif Display" w:cs="DM Serif Display" w:eastAsia="DM Serif Display" w:hAnsi="DM Serif Display"/>
          <w:color w:val="123C48"/>
          <w:sz w:val="28"/>
          <w:szCs w:val="28"/>
        </w:rPr>
        <w:t xml:space="preserve">17. Records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Our Records Retention Schedule meets the legal minimum periods for accounting, tax, employment and safeguarding records, and our records are stored securely.</w:t>
      </w:r>
    </w:p>
    <w:p>
      <w:pPr>
        <w:pStyle w:val="Heading1"/>
        <w:keepNext/>
        <w:spacing w:after="160" w:before="360"/>
      </w:pPr>
      <w:r>
        <w:rPr>
          <w:rFonts w:ascii="DM Serif Display" w:cs="DM Serif Display" w:eastAsia="DM Serif Display" w:hAnsi="DM Serif Display"/>
          <w:color w:val="123C48"/>
          <w:sz w:val="40"/>
          <w:szCs w:val="40"/>
        </w:rPr>
        <w:t xml:space="preserve">Adviser brief</w:t>
      </w:r>
    </w:p>
    <w:p>
      <w:pPr>
        <w:spacing w:after="120" w:before="0" w:line="300"/>
      </w:pPr>
      <w:r>
        <w:rPr>
          <w:rFonts w:ascii="Nunito Sans" w:cs="Nunito Sans" w:eastAsia="Nunito Sans" w:hAnsi="Nunito Sans"/>
          <w:color w:val="102E3B"/>
          <w:sz w:val="20"/>
          <w:szCs w:val="20"/>
        </w:rPr>
        <w:t xml:space="preserve">Copy every unticked item here as a question. Add questions about any new document you plan to adopt. Send the brief to your adviser before the meeting.</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2476"/>
        <w:gridCol w:w="2285"/>
        <w:gridCol w:w="2097"/>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QUESTION</w:t>
            </w:r>
          </w:p>
        </w:tc>
        <w:tc>
          <w:tcPr>
            <w:tcW w:type="dxa" w:w="247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WHY IT MATTERS</w:t>
            </w:r>
          </w:p>
        </w:tc>
        <w:tc>
          <w:tcPr>
            <w:tcW w:type="dxa" w:w="2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ANSWER</w:t>
            </w:r>
          </w:p>
        </w:tc>
        <w:tc>
          <w:tcPr>
            <w:tcW w:type="dxa" w:w="209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ACTION AND OWNER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Are our two field facilitators employees under local law, though their contracts say "consultant"?</w:t>
            </w: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Back pay, social security penalties, unfair dismissal claims</w:t>
            </w:r>
          </w:p>
        </w:tc>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09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Issue employment contracts by June; Name]</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Do we need to register with the data protection authority, and by when?</w:t>
            </w:r>
          </w:p>
        </w:tc>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Fines; funder data clauses</w:t>
            </w:r>
          </w:p>
        </w:tc>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09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Does our constitution allow us to sell training to other organisations?</w:t>
            </w: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Activity outside our purposes; tax exemption</w:t>
            </w:r>
          </w:p>
        </w:tc>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09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Can we sub-grant part of the new grant to a partner in </w:t>
            </w:r>
            <w:r>
              <w:rPr>
                <w:rFonts w:ascii="Nunito Sans" w:cs="Nunito Sans" w:eastAsia="Nunito Sans" w:hAnsi="Nunito Sans"/>
                <w:color w:val="102E3B"/>
                <w:sz w:val="18"/>
                <w:szCs w:val="18"/>
                <w:highlight w:val="yellow"/>
              </w:rPr>
              <w:t xml:space="preserve">[country]</w:t>
            </w:r>
            <w:r>
              <w:rPr>
                <w:rFonts w:ascii="Nunito Sans" w:cs="Nunito Sans" w:eastAsia="Nunito Sans" w:hAnsi="Nunito Sans"/>
                <w:color w:val="102E3B"/>
                <w:sz w:val="18"/>
                <w:szCs w:val="18"/>
              </w:rPr>
              <w:t xml:space="preserve">?</w:t>
            </w:r>
          </w:p>
        </w:tc>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Foreign funding and exchange rules; funder approval</w:t>
            </w:r>
          </w:p>
        </w:tc>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09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Does the law require us to report suspected child abuse, and to which authority?</w:t>
            </w: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Legal duty; safety of children</w:t>
            </w:r>
          </w:p>
        </w:tc>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09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Is this new Volunteer Agreement consistent with local employment law?</w:t>
            </w:r>
          </w:p>
        </w:tc>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Risk that volunteers become employees</w:t>
            </w:r>
          </w:p>
        </w:tc>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09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09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09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bl>
    <w:p>
      <w:pPr>
        <w:spacing w:after="120"/>
      </w:pPr>
    </w:p>
    <w:p>
      <w:pPr>
        <w:spacing w:after="120" w:before="0" w:line="300"/>
      </w:pPr>
      <w:r>
        <w:rPr>
          <w:rFonts w:ascii="Nunito Sans" w:cs="Nunito Sans" w:eastAsia="Nunito Sans" w:hAnsi="Nunito Sans"/>
          <w:color w:val="102E3B"/>
          <w:sz w:val="20"/>
          <w:szCs w:val="20"/>
        </w:rPr>
        <w:t xml:space="preserve">The example rows show the kind of question to ask. Replace them with your own.</w:t>
      </w:r>
    </w:p>
    <w:p>
      <w:pPr>
        <w:pStyle w:val="Heading1"/>
        <w:keepNext/>
        <w:spacing w:after="160" w:before="360"/>
      </w:pPr>
      <w:r>
        <w:rPr>
          <w:rFonts w:ascii="DM Serif Display" w:cs="DM Serif Display" w:eastAsia="DM Serif Display" w:hAnsi="DM Serif Display"/>
          <w:color w:val="123C48"/>
          <w:sz w:val="40"/>
          <w:szCs w:val="40"/>
        </w:rPr>
        <w:t xml:space="preserve">Sign-off</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Completed by: name and role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Reviewed by (adviser): name and organisation</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Reported to the board on</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Board minute reference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Guidance: getting low-cost legal advice</w:t>
      </w:r>
    </w:p>
    <w:p>
      <w:pPr>
        <w:spacing w:after="120" w:before="0" w:line="300"/>
      </w:pPr>
      <w:r>
        <w:rPr>
          <w:rFonts w:ascii="Nunito Sans" w:cs="Nunito Sans" w:eastAsia="Nunito Sans" w:hAnsi="Nunito Sans"/>
          <w:color w:val="102E3B"/>
          <w:sz w:val="20"/>
          <w:szCs w:val="20"/>
        </w:rPr>
        <w:t xml:space="preserve">You do not need an expensive retainer to get good advice. Prepare well, ask specific questions and use these routes:</w:t>
      </w:r>
    </w:p>
    <w:p>
      <w:pPr>
        <w:pStyle w:val="ListParagraph"/>
        <w:numPr>
          <w:ilvl w:val="0"/>
          <w:numId w:val="4"/>
        </w:numPr>
        <w:spacing w:after="80" w:line="290"/>
      </w:pPr>
      <w:r>
        <w:rPr>
          <w:rFonts w:ascii="Nunito Sans" w:cs="Nunito Sans" w:eastAsia="Nunito Sans" w:hAnsi="Nunito Sans"/>
          <w:b/>
          <w:bCs/>
          <w:color w:val="102E3B"/>
          <w:sz w:val="20"/>
          <w:szCs w:val="20"/>
        </w:rPr>
        <w:t xml:space="preserve">Pro bono programmes.</w:t>
      </w:r>
      <w:r>
        <w:rPr>
          <w:rFonts w:ascii="Nunito Sans" w:cs="Nunito Sans" w:eastAsia="Nunito Sans" w:hAnsi="Nunito Sans"/>
          <w:color w:val="102E3B"/>
          <w:sz w:val="20"/>
          <w:szCs w:val="20"/>
        </w:rPr>
        <w:t xml:space="preserve"> TrustLaw, run by the Thomson Reuters Foundation, connects NGOs and social enterprises in many countries with law firms that give free advice. Advocates for International Development (A4ID) brokers free legal help for organisations working on development. PILnet supports pro bono networks in several regions. Each has eligibility criteria; check them before applying.</w:t>
      </w:r>
    </w:p>
    <w:p>
      <w:pPr>
        <w:pStyle w:val="ListParagraph"/>
        <w:numPr>
          <w:ilvl w:val="0"/>
          <w:numId w:val="4"/>
        </w:numPr>
        <w:spacing w:after="80" w:line="290"/>
      </w:pPr>
      <w:r>
        <w:rPr>
          <w:rFonts w:ascii="Nunito Sans" w:cs="Nunito Sans" w:eastAsia="Nunito Sans" w:hAnsi="Nunito Sans"/>
          <w:b/>
          <w:bCs/>
          <w:color w:val="102E3B"/>
          <w:sz w:val="20"/>
          <w:szCs w:val="20"/>
        </w:rPr>
        <w:t xml:space="preserve">University law clinics.</w:t>
      </w:r>
      <w:r>
        <w:rPr>
          <w:rFonts w:ascii="Nunito Sans" w:cs="Nunito Sans" w:eastAsia="Nunito Sans" w:hAnsi="Nunito Sans"/>
          <w:color w:val="102E3B"/>
          <w:sz w:val="20"/>
          <w:szCs w:val="20"/>
        </w:rPr>
        <w:t xml:space="preserve"> Many law faculties run clinics where supervised students help non-profits with registration, governance documents and employment questions.</w:t>
      </w:r>
    </w:p>
    <w:p>
      <w:pPr>
        <w:pStyle w:val="ListParagraph"/>
        <w:numPr>
          <w:ilvl w:val="0"/>
          <w:numId w:val="4"/>
        </w:numPr>
        <w:spacing w:after="80" w:line="290"/>
      </w:pPr>
      <w:r>
        <w:rPr>
          <w:rFonts w:ascii="Nunito Sans" w:cs="Nunito Sans" w:eastAsia="Nunito Sans" w:hAnsi="Nunito Sans"/>
          <w:b/>
          <w:bCs/>
          <w:color w:val="102E3B"/>
          <w:sz w:val="20"/>
          <w:szCs w:val="20"/>
        </w:rPr>
        <w:t xml:space="preserve">National NGO umbrella bodies and networks.</w:t>
      </w:r>
      <w:r>
        <w:rPr>
          <w:rFonts w:ascii="Nunito Sans" w:cs="Nunito Sans" w:eastAsia="Nunito Sans" w:hAnsi="Nunito Sans"/>
          <w:color w:val="102E3B"/>
          <w:sz w:val="20"/>
          <w:szCs w:val="20"/>
        </w:rPr>
        <w:t xml:space="preserve"> They often offer template reviews, legal helplines, training on new laws and collective advice, and know how regulators apply the rules in practice.</w:t>
      </w:r>
    </w:p>
    <w:p>
      <w:pPr>
        <w:pStyle w:val="ListParagraph"/>
        <w:numPr>
          <w:ilvl w:val="0"/>
          <w:numId w:val="4"/>
        </w:numPr>
        <w:spacing w:after="80" w:line="290"/>
      </w:pPr>
      <w:r>
        <w:rPr>
          <w:rFonts w:ascii="Nunito Sans" w:cs="Nunito Sans" w:eastAsia="Nunito Sans" w:hAnsi="Nunito Sans"/>
          <w:b/>
          <w:bCs/>
          <w:color w:val="102E3B"/>
          <w:sz w:val="20"/>
          <w:szCs w:val="20"/>
        </w:rPr>
        <w:t xml:space="preserve">Bar associations and law societies.</w:t>
      </w:r>
      <w:r>
        <w:rPr>
          <w:rFonts w:ascii="Nunito Sans" w:cs="Nunito Sans" w:eastAsia="Nunito Sans" w:hAnsi="Nunito Sans"/>
          <w:color w:val="102E3B"/>
          <w:sz w:val="20"/>
          <w:szCs w:val="20"/>
        </w:rPr>
        <w:t xml:space="preserve"> Some run pro bono schemes or referral services.</w:t>
      </w:r>
    </w:p>
    <w:p>
      <w:pPr>
        <w:pStyle w:val="ListParagraph"/>
        <w:numPr>
          <w:ilvl w:val="0"/>
          <w:numId w:val="4"/>
        </w:numPr>
        <w:spacing w:after="80" w:line="290"/>
      </w:pPr>
      <w:r>
        <w:rPr>
          <w:rFonts w:ascii="Nunito Sans" w:cs="Nunito Sans" w:eastAsia="Nunito Sans" w:hAnsi="Nunito Sans"/>
          <w:b/>
          <w:bCs/>
          <w:color w:val="102E3B"/>
          <w:sz w:val="20"/>
          <w:szCs w:val="20"/>
        </w:rPr>
        <w:t xml:space="preserve">Reference sources.</w:t>
      </w:r>
      <w:r>
        <w:rPr>
          <w:rFonts w:ascii="Nunito Sans" w:cs="Nunito Sans" w:eastAsia="Nunito Sans" w:hAnsi="Nunito Sans"/>
          <w:color w:val="102E3B"/>
          <w:sz w:val="20"/>
          <w:szCs w:val="20"/>
        </w:rPr>
        <w:t xml:space="preserve"> The International Center for Not-for-Profit Law (ICNL) publishes country information on the laws that govern civil society.</w:t>
      </w:r>
    </w:p>
    <w:p>
      <w:pPr>
        <w:pStyle w:val="ListParagraph"/>
        <w:numPr>
          <w:ilvl w:val="0"/>
          <w:numId w:val="4"/>
        </w:numPr>
        <w:spacing w:after="80" w:line="290"/>
      </w:pPr>
      <w:r>
        <w:rPr>
          <w:rFonts w:ascii="Nunito Sans" w:cs="Nunito Sans" w:eastAsia="Nunito Sans" w:hAnsi="Nunito Sans"/>
          <w:b/>
          <w:bCs/>
          <w:color w:val="102E3B"/>
          <w:sz w:val="20"/>
          <w:szCs w:val="20"/>
        </w:rPr>
        <w:t xml:space="preserve">Accountants and auditors</w:t>
      </w:r>
      <w:r>
        <w:rPr>
          <w:rFonts w:ascii="Nunito Sans" w:cs="Nunito Sans" w:eastAsia="Nunito Sans" w:hAnsi="Nunito Sans"/>
          <w:color w:val="102E3B"/>
          <w:sz w:val="20"/>
          <w:szCs w:val="20"/>
        </w:rPr>
        <w:t xml:space="preserve"> for tax and filing questions, and </w:t>
      </w:r>
      <w:r>
        <w:rPr>
          <w:rFonts w:ascii="Nunito Sans" w:cs="Nunito Sans" w:eastAsia="Nunito Sans" w:hAnsi="Nunito Sans"/>
          <w:b/>
          <w:bCs/>
          <w:color w:val="102E3B"/>
          <w:sz w:val="20"/>
          <w:szCs w:val="20"/>
        </w:rPr>
        <w:t xml:space="preserve">insurance brokers</w:t>
      </w:r>
      <w:r>
        <w:rPr>
          <w:rFonts w:ascii="Nunito Sans" w:cs="Nunito Sans" w:eastAsia="Nunito Sans" w:hAnsi="Nunito Sans"/>
          <w:color w:val="102E3B"/>
          <w:sz w:val="20"/>
          <w:szCs w:val="20"/>
        </w:rPr>
        <w:t xml:space="preserve"> for cover.</w:t>
      </w:r>
    </w:p>
    <w:p>
      <w:pPr>
        <w:spacing w:after="120" w:before="0" w:line="300"/>
      </w:pPr>
      <w:r>
        <w:rPr>
          <w:rFonts w:ascii="Nunito Sans" w:cs="Nunito Sans" w:eastAsia="Nunito Sans" w:hAnsi="Nunito Sans"/>
          <w:color w:val="102E3B"/>
          <w:sz w:val="20"/>
          <w:szCs w:val="20"/>
        </w:rPr>
        <w:t xml:space="preserve">When you use free advice, write down the answers, confirm them by email with the adviser, and note the date: the law changes. For anything with high stakes, such as dismissal, a dispute, a regulator's investigation or a serious safeguarding case, pay for specialist advice if you must.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ADVISERS IN YOUR COUNTRY</w:t>
            </w:r>
          </w:p>
          <w:p>
            <w:pPr>
              <w:spacing w:after="120" w:before="0" w:line="300"/>
            </w:pPr>
            <w:r>
              <w:rPr>
                <w:rFonts w:ascii="Nunito Sans" w:cs="Nunito Sans" w:eastAsia="Nunito Sans" w:hAnsi="Nunito Sans"/>
                <w:color w:val="102E3B"/>
                <w:sz w:val="19"/>
                <w:szCs w:val="19"/>
              </w:rPr>
              <w:t xml:space="preserve">Add the names and contacts of advisers, clinics and umbrella bodies you have used or plan to use in each country where you work. Keep this list up to date and share it with the board.</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Document history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VERSION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CHANGED</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APPROVED BY</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Month YYYY]</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First version, adapted from the Method into Impact Legal Review Checklist template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C32020F6-EFDA-4CA6-094A-99816085CCE7}"/>
  </w:font>
  <w:font w:name="DM Serif Display">
    <w:family w:val="auto"/>
    <w:pitch w:val="variable"/>
    <w:sig w:usb0="E0002AFF" w:usb1="C000247B" w:usb2="00000009" w:usb3="00000000" w:csb0="000001FF" w:csb1="00000000"/>
    <w:embedRegular r:id="rId2" w:fontKey="{FF52DA94-8170-ED3B-C2B6-F834FBE468E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Legal Review Checklist  |  Version [1.0]  |  Method into Impact template, edition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LEGAL REVIEW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Review Checklist</dc:title>
  <dc:creator>Method into Impact</dc:creator>
  <dc:description>A yes-or-no checklist that [[Organisation name]] completes before adopting a new document, and once a year as a legal health check, and then takes to a lawyer or adviser with a short brief of questions.</dc:description>
  <cp:lastModifiedBy>Un-named</cp:lastModifiedBy>
  <cp:revision>1</cp:revision>
  <dcterms:created xsi:type="dcterms:W3CDTF">2026-10-29T05:48:57.068Z</dcterms:created>
  <dcterms:modified xsi:type="dcterms:W3CDTF">2026-10-29T05:48:57.068Z</dcterms:modified>
</cp:coreProperties>
</file>

<file path=docProps/custom.xml><?xml version="1.0" encoding="utf-8"?>
<Properties xmlns="http://schemas.openxmlformats.org/officeDocument/2006/custom-properties" xmlns:vt="http://schemas.openxmlformats.org/officeDocument/2006/docPropsVTypes"/>
</file>