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PROTECCIÓN DE DATOS Y PRIVACIDAD</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Protección de Datos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recoge, usa, comparte, protege y elimina la información personal de las personas a las que servimos, de nuestro equipo y de nuestros simpatizantes.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política de protección de datos muestra cómo tratas la información personal de forma lícita y segura, desde una lista de inscripción en una reunión comunitaria hasta una base de datos de donantes en la nube. La mayoría de los países tienen ya una ley de protección de datos, y los financiadores, los socios y los bancos piden cada vez más ver esta política en sus procesos de debida diligencia. Esta plantilla usa como referencia ampliamente reconocida los principios del Reglamento General de Protección de Datos (RGPD) de la UE, con notas sobre otras leyes nacionales.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procesos de debida diligencia; ONG internacionales y agencias de la ONU antes de compartir datos; autoridades de protección de datos; proveedores de pagos y bancos; tu órgano de gobierno y tu equipo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3–5 horas para adaptarla, más 2–3 horas para completar el inventario de datos del Anexo 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Aviso de Privacidad · Política de Cookies · Política de TI y Seguridad de la Información · Procedimiento de Solicitudes de Derechos sobre los Datos · Procedimiento de Respuesta ante Brechas de Datos · Acuerdo de Intercambio de Datos · Calendario de Conservación de Registros · Evaluación de Impacto en la Protección de Datos · Formulario de Consentimiento para Compartir Información · Formulario de Consentimiento para Fotos e Historias · Código de Conducta</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Protección de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cualquier otra persona que trate información personal por cuenta de </w:t>
            </w:r>
            <w:r>
              <w:rPr>
                <w:rFonts w:ascii="Nunito Sans" w:cs="Nunito Sans" w:eastAsia="Nunito Sans" w:hAnsi="Nunito Sans"/>
                <w:color w:val="102E3B"/>
                <w:sz w:val="19"/>
                <w:szCs w:val="19"/>
                <w:highlight w:val="yellow"/>
              </w:rPr>
              <w:t xml:space="preserve">[Nombre de la organización]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[privacidad@tuorganizacion.org]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Confirmación de lectura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Formación y sensibilización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Inventario de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Encargados del tratamiento y servicios en la nube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establece lo que hacemos ahora y quién lo hace. La ampliaremos a medida que crezcamos. Hasta entonces: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protección de datos.</w:t>
            </w:r>
            <w:r>
              <w:rPr>
                <w:rFonts w:ascii="Nunito Sans" w:cs="Nunito Sans" w:eastAsia="Nunito Sans" w:hAnsi="Nunito Sans"/>
                <w:color w:val="102E3B"/>
                <w:sz w:val="19"/>
                <w:szCs w:val="19"/>
              </w:rPr>
              <w:t xml:space="preserve"> Es la responsable de esta política, mantiene el inventario de datos del Anexo A, gestiona las solicitudes de las personas y dirige la respuesta ante cualquier brecha de datos.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su suplente.</w:t>
            </w:r>
            <w:r>
              <w:rPr>
                <w:rFonts w:ascii="Nunito Sans" w:cs="Nunito Sans" w:eastAsia="Nunito Sans" w:hAnsi="Nunito Sans"/>
                <w:color w:val="102E3B"/>
                <w:sz w:val="19"/>
                <w:szCs w:val="19"/>
              </w:rPr>
              <w:t xml:space="preserve"> Cubre a la persona responsable cuando no se la puede localizar en un plazo de </w:t>
            </w:r>
            <w:r>
              <w:rPr>
                <w:rFonts w:ascii="Nunito Sans" w:cs="Nunito Sans" w:eastAsia="Nunito Sans" w:hAnsi="Nunito Sans"/>
                <w:color w:val="102E3B"/>
                <w:sz w:val="19"/>
                <w:szCs w:val="19"/>
                <w:highlight w:val="yellow"/>
              </w:rPr>
              <w:t xml:space="preserve">[2 horas]</w:t>
            </w:r>
            <w:r>
              <w:rPr>
                <w:rFonts w:ascii="Nunito Sans" w:cs="Nunito Sans" w:eastAsia="Nunito Sans" w:hAnsi="Nunito Sans"/>
                <w:color w:val="102E3B"/>
                <w:sz w:val="19"/>
                <w:szCs w:val="19"/>
              </w:rPr>
              <w:t xml:space="preserve"> ante una sospecha de brecha, o durante más de </w:t>
            </w:r>
            <w:r>
              <w:rPr>
                <w:rFonts w:ascii="Nunito Sans" w:cs="Nunito Sans" w:eastAsia="Nunito Sans" w:hAnsi="Nunito Sans"/>
                <w:color w:val="102E3B"/>
                <w:sz w:val="19"/>
                <w:szCs w:val="19"/>
                <w:highlight w:val="yellow"/>
              </w:rPr>
              <w:t xml:space="preserve">[24 horas / 48 horas]</w:t>
            </w:r>
            <w:r>
              <w:rPr>
                <w:rFonts w:ascii="Nunito Sans" w:cs="Nunito Sans" w:eastAsia="Nunito Sans" w:hAnsi="Nunito Sans"/>
                <w:color w:val="102E3B"/>
                <w:sz w:val="19"/>
                <w:szCs w:val="19"/>
              </w:rPr>
              <w:t xml:space="preserve"> en los demás casos, y gestiona cualquier solicitud o brecha que afecte a la persona responsable.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y antes si iniciamos una nueva actividad o un nuevo sistema, si se produce una brecha grave o si cambia la ley.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ESTAS FUNCIONES</w:t>
            </w:r>
          </w:p>
          <w:p>
            <w:pPr>
              <w:spacing w:after="120" w:before="0" w:line="300"/>
            </w:pPr>
            <w:r>
              <w:rPr>
                <w:rFonts w:ascii="Nunito Sans" w:cs="Nunito Sans" w:eastAsia="Nunito Sans" w:hAnsi="Nunito Sans"/>
                <w:color w:val="102E3B"/>
                <w:sz w:val="19"/>
                <w:szCs w:val="19"/>
              </w:rPr>
              <w:t xml:space="preserve">Nombra a personas reales. La persona responsable de protección de datos suele ser la persona fundadora o la responsable de operaciones. No necesita ser abogada, pero debe ser organizada, de confianza y disponer de tiempo para esta función. La persona suplente debería ser alguien a quien la persona responsable no supervise, como un miembro del órgano de gobierno. No llames "delegado de protección de datos" a la persona responsable salvo que la nombres formalmente: en varios países ese título conlleva obligaciones legales (consulta "Delegado de protección de datos" en Funciones y responsabilidades).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Solo recogemos la información personal que necesitamos, con una finalidad clara, y explicamos a las personas por qué.</w:t>
            </w:r>
          </w:p>
          <w:p>
            <w:pPr>
              <w:pStyle w:val="ListParagraph"/>
              <w:numPr>
                <w:ilvl w:val="0"/>
                <w:numId w:val="3"/>
              </w:numPr>
              <w:spacing w:after="80" w:line="290"/>
            </w:pPr>
            <w:r>
              <w:rPr>
                <w:rFonts w:ascii="Nunito Sans" w:cs="Nunito Sans" w:eastAsia="Nunito Sans" w:hAnsi="Nunito Sans"/>
                <w:color w:val="102E3B"/>
                <w:sz w:val="19"/>
                <w:szCs w:val="19"/>
              </w:rPr>
              <w:t xml:space="preserve">Todo uso de información personal tiene una base legal, registrada en nuestro inventario de datos (Anexo A).</w:t>
            </w:r>
          </w:p>
          <w:p>
            <w:pPr>
              <w:pStyle w:val="ListParagraph"/>
              <w:numPr>
                <w:ilvl w:val="0"/>
                <w:numId w:val="3"/>
              </w:numPr>
              <w:spacing w:after="80" w:line="290"/>
            </w:pPr>
            <w:r>
              <w:rPr>
                <w:rFonts w:ascii="Nunito Sans" w:cs="Nunito Sans" w:eastAsia="Nunito Sans" w:hAnsi="Nunito Sans"/>
                <w:color w:val="102E3B"/>
                <w:sz w:val="19"/>
                <w:szCs w:val="19"/>
              </w:rPr>
              <w:t xml:space="preserve">La información sensible, como la salud, el origen étnico, la religión o los antecedentes penales, y la información sobre niñas y niños reciben una protección adicional.</w:t>
            </w:r>
          </w:p>
          <w:p>
            <w:pPr>
              <w:pStyle w:val="ListParagraph"/>
              <w:numPr>
                <w:ilvl w:val="0"/>
                <w:numId w:val="3"/>
              </w:numPr>
              <w:spacing w:after="80" w:line="290"/>
            </w:pPr>
            <w:r>
              <w:rPr>
                <w:rFonts w:ascii="Nunito Sans" w:cs="Nunito Sans" w:eastAsia="Nunito Sans" w:hAnsi="Nunito Sans"/>
                <w:color w:val="102E3B"/>
                <w:sz w:val="19"/>
                <w:szCs w:val="19"/>
              </w:rPr>
              <w:t xml:space="preserve">Nunca vendemos información personal y solo compartimos lo mínimo, en virtud de un acuerdo escrito.</w:t>
            </w:r>
          </w:p>
          <w:p>
            <w:pPr>
              <w:pStyle w:val="ListParagraph"/>
              <w:numPr>
                <w:ilvl w:val="0"/>
                <w:numId w:val="3"/>
              </w:numPr>
              <w:spacing w:after="80" w:line="290"/>
            </w:pPr>
            <w:r>
              <w:rPr>
                <w:rFonts w:ascii="Nunito Sans" w:cs="Nunito Sans" w:eastAsia="Nunito Sans" w:hAnsi="Nunito Sans"/>
                <w:color w:val="102E3B"/>
                <w:sz w:val="19"/>
                <w:szCs w:val="19"/>
              </w:rPr>
              <w:t xml:space="preserve">Las personas pueden pedir ver, corregir o eliminar su información. Respondemos en un plazo de </w:t>
            </w:r>
            <w:r>
              <w:rPr>
                <w:rFonts w:ascii="Nunito Sans" w:cs="Nunito Sans" w:eastAsia="Nunito Sans" w:hAnsi="Nunito Sans"/>
                <w:color w:val="102E3B"/>
                <w:sz w:val="19"/>
                <w:szCs w:val="19"/>
                <w:highlight w:val="yellow"/>
              </w:rPr>
              <w:t xml:space="preserve">[un mes]</w:t>
            </w:r>
            <w:r>
              <w:rPr>
                <w:rFonts w:ascii="Nunito Sans" w:cs="Nunito Sans" w:eastAsia="Nunito Sans" w:hAnsi="Nunito Sans"/>
                <w:color w:val="102E3B"/>
                <w:sz w:val="19"/>
                <w:szCs w:val="19"/>
              </w:rPr>
              <w:t xml:space="preserve"> y registramos cada solicitud.</w:t>
            </w:r>
          </w:p>
          <w:p>
            <w:pPr>
              <w:pStyle w:val="ListParagraph"/>
              <w:numPr>
                <w:ilvl w:val="0"/>
                <w:numId w:val="3"/>
              </w:numPr>
              <w:spacing w:after="80" w:line="290"/>
            </w:pPr>
            <w:r>
              <w:rPr>
                <w:rFonts w:ascii="Nunito Sans" w:cs="Nunito Sans" w:eastAsia="Nunito Sans" w:hAnsi="Nunito Sans"/>
                <w:color w:val="102E3B"/>
                <w:sz w:val="19"/>
                <w:szCs w:val="19"/>
              </w:rPr>
              <w:t xml:space="preserve">Protegemos la información con contraseñas robustas, verificación en varios pasos, dispositivos cifrados y acceso limitado.</w:t>
            </w:r>
          </w:p>
          <w:p>
            <w:pPr>
              <w:pStyle w:val="ListParagraph"/>
              <w:numPr>
                <w:ilvl w:val="0"/>
                <w:numId w:val="3"/>
              </w:numPr>
              <w:spacing w:after="80" w:line="290"/>
            </w:pPr>
            <w:r>
              <w:rPr>
                <w:rFonts w:ascii="Nunito Sans" w:cs="Nunito Sans" w:eastAsia="Nunito Sans" w:hAnsi="Nunito Sans"/>
                <w:color w:val="102E3B"/>
                <w:sz w:val="19"/>
                <w:szCs w:val="19"/>
              </w:rPr>
              <w:t xml:space="preserve">Conservamos la información solo durante el tiempo que indica nuestro Calendario de Conservación de Registros y después la eliminamos de forma segura.</w:t>
            </w:r>
          </w:p>
          <w:p>
            <w:pPr>
              <w:pStyle w:val="ListParagraph"/>
              <w:numPr>
                <w:ilvl w:val="0"/>
                <w:numId w:val="3"/>
              </w:numPr>
              <w:spacing w:after="80" w:line="290"/>
            </w:pPr>
            <w:r>
              <w:rPr>
                <w:rFonts w:ascii="Nunito Sans" w:cs="Nunito Sans" w:eastAsia="Nunito Sans" w:hAnsi="Nunito Sans"/>
                <w:color w:val="102E3B"/>
                <w:sz w:val="19"/>
                <w:szCs w:val="19"/>
              </w:rPr>
              <w:t xml:space="preserve">Notifique cualquier sospecha de brecha de datos a la persona responsable de protección de datos de inmediato, y como máximo en el plazo de </w:t>
            </w:r>
            <w:r>
              <w:rPr>
                <w:rFonts w:ascii="Nunito Sans" w:cs="Nunito Sans" w:eastAsia="Nunito Sans" w:hAnsi="Nunito Sans"/>
                <w:color w:val="102E3B"/>
                <w:sz w:val="19"/>
                <w:szCs w:val="19"/>
                <w:highlight w:val="yellow"/>
              </w:rPr>
              <w:t xml:space="preserve">[1 hora]</w:t>
            </w:r>
            <w:r>
              <w:rPr>
                <w:rFonts w:ascii="Nunito Sans" w:cs="Nunito Sans" w:eastAsia="Nunito Sans" w:hAnsi="Nunito Sans"/>
                <w:color w:val="102E3B"/>
                <w:sz w:val="19"/>
                <w:szCs w:val="19"/>
              </w:rPr>
              <w:t xml:space="preserve"> desde que la detecte.</w:t>
            </w:r>
          </w:p>
          <w:p>
            <w:pPr>
              <w:pStyle w:val="ListParagraph"/>
              <w:numPr>
                <w:ilvl w:val="0"/>
                <w:numId w:val="3"/>
              </w:numPr>
              <w:spacing w:after="80" w:line="290"/>
            </w:pPr>
            <w:r>
              <w:rPr>
                <w:rFonts w:ascii="Nunito Sans" w:cs="Nunito Sans" w:eastAsia="Nunito Sans" w:hAnsi="Nunito Sans"/>
                <w:color w:val="102E3B"/>
                <w:sz w:val="19"/>
                <w:szCs w:val="19"/>
              </w:rPr>
              <w:t xml:space="preserve">Nadie introduce información personal o confidencial en una herramienta de IA que no hayamos aprobado.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tratan información personal por cuenta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personal, personas voluntarias, personas en prácticas, miembros del órgano de gobierno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contratistas y consultores. Los contratistas y proveedores la cumplen a través de su contrato.</w:t>
      </w:r>
    </w:p>
    <w:p>
      <w:pPr>
        <w:spacing w:after="120" w:before="0" w:line="300"/>
      </w:pPr>
      <w:r>
        <w:rPr>
          <w:rFonts w:ascii="Nunito Sans" w:cs="Nunito Sans" w:eastAsia="Nunito Sans" w:hAnsi="Nunito Sans"/>
          <w:color w:val="102E3B"/>
          <w:sz w:val="20"/>
          <w:szCs w:val="20"/>
        </w:rPr>
        <w:t xml:space="preserve">Abarca la información personal en cualquier formato: bases de datos, hojas de cálculo, correo electrónico, aplicaciones de mensajería, unidades en la nube, papel, fotos, notas de voz y video. Se aplica en la oficina, en el terreno, en casa y en los dispositivos personales que se usan para trabajar.</w:t>
      </w:r>
    </w:p>
    <w:p>
      <w:pPr>
        <w:spacing w:after="120" w:before="0" w:line="300"/>
      </w:pPr>
      <w:r>
        <w:rPr>
          <w:rFonts w:ascii="Nunito Sans" w:cs="Nunito Sans" w:eastAsia="Nunito Sans" w:hAnsi="Nunito Sans"/>
          <w:color w:val="102E3B"/>
          <w:sz w:val="20"/>
          <w:szCs w:val="20"/>
        </w:rPr>
        <w:t xml:space="preserve">La </w:t>
      </w:r>
      <w:r>
        <w:rPr>
          <w:rFonts w:ascii="Nunito Sans" w:cs="Nunito Sans" w:eastAsia="Nunito Sans" w:hAnsi="Nunito Sans"/>
          <w:b/>
          <w:bCs/>
          <w:color w:val="102E3B"/>
          <w:sz w:val="20"/>
          <w:szCs w:val="20"/>
        </w:rPr>
        <w:t xml:space="preserve">información personal</w:t>
      </w:r>
      <w:r>
        <w:rPr>
          <w:rFonts w:ascii="Nunito Sans" w:cs="Nunito Sans" w:eastAsia="Nunito Sans" w:hAnsi="Nunito Sans"/>
          <w:color w:val="102E3B"/>
          <w:sz w:val="20"/>
          <w:szCs w:val="20"/>
        </w:rPr>
        <w:t xml:space="preserve"> (también llamada datos personales) es cualquier información que identifica a una persona viva, por sí sola o combinada con otra información: un nombre, un número de teléfono, una foto, una grabación de voz, un número de identificación, una ubicación, una nota de un caso o una historia con suficiente detalle como para que los vecinos reconozcan a la persona.</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 ley de protección de datos, </w:t>
      </w:r>
      <w:r>
        <w:rPr>
          <w:rFonts w:ascii="Nunito Sans" w:cs="Nunito Sans" w:eastAsia="Nunito Sans" w:hAnsi="Nunito Sans"/>
          <w:color w:val="102E3B"/>
          <w:sz w:val="20"/>
          <w:szCs w:val="20"/>
          <w:highlight w:val="yellow"/>
        </w:rPr>
        <w:t xml:space="preserve">[nombre y año de la ley]</w:t>
      </w:r>
      <w:r>
        <w:rPr>
          <w:rFonts w:ascii="Nunito Sans" w:cs="Nunito Sans" w:eastAsia="Nunito Sans" w:hAnsi="Nunito Sans"/>
          <w:color w:val="102E3B"/>
          <w:sz w:val="20"/>
          <w:szCs w:val="20"/>
        </w:rPr>
        <w:t xml:space="preserve">. Cuando trabajamos en otros países, o recogemos información de personas que están en ellos, también cumplimos la ley que se aplica allí. Cuando las normas difieren, seguimos la que ofrece más protección a las personas. Usamos como referencia los principios del Reglamento General de Protección de Datos (RGPD) de la UE, porque los financiadores y los socios lo reconocen ampliamente.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NOTAS POR PAÍS: QUÉ LEY SE APLICA</w:t>
            </w:r>
          </w:p>
          <w:p>
            <w:pPr>
              <w:spacing w:after="120" w:before="0" w:line="300"/>
            </w:pPr>
            <w:r>
              <w:rPr>
                <w:rFonts w:ascii="Nunito Sans" w:cs="Nunito Sans" w:eastAsia="Nunito Sans" w:hAnsi="Nunito Sans"/>
                <w:color w:val="102E3B"/>
                <w:sz w:val="19"/>
                <w:szCs w:val="19"/>
              </w:rPr>
              <w:t xml:space="preserve">Indica tu ley principal y elimina las filas que no correspondan. También puede aplicársete una ley extranjera, por ejemplo cuando ofreces servicios a personas de ese país o cuando un socio de allí comparte datos contigo. Estas notas son solo un punto de partida: las leyes y las normas de las autoridades cambian a menudo, así que consulta el sitio web de la autoridad de control y busca asesoramiento local.</w:t>
            </w:r>
          </w:p>
          <w:tbl>
            <w:tblPr>
              <w:tblW w:type="dxa" w:w="89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3"/>
              <w:gridCol w:w="2226"/>
              <w:gridCol w:w="1691"/>
              <w:gridCol w:w="3474"/>
            </w:tblGrid>
            <w:tr>
              <w:trPr>
                <w:cantSplit/>
                <w:tblHeader/>
              </w:trPr>
              <w:tc>
                <w:tcPr>
                  <w:tcW w:type="dxa" w:w="151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PAÍS O REGIÓN</w:t>
                  </w:r>
                </w:p>
              </w:tc>
              <w:tc>
                <w:tcPr>
                  <w:tcW w:type="dxa" w:w="22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LEY PRINCIPAL</w:t>
                  </w:r>
                </w:p>
              </w:tc>
              <w:tc>
                <w:tcPr>
                  <w:tcW w:type="dxa" w:w="16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AUTORIDAD DE CONTROL</w:t>
                  </w:r>
                </w:p>
              </w:tc>
              <w:tc>
                <w:tcPr>
                  <w:tcW w:type="dxa" w:w="34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ASPECTOS QUE COMPROBAR</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Unión Europea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Reglamento General de Protección de Datos (UE) 2016/679 (RGPD)</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 nacional de control</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Notificación de brechas en un plazo de 72 horas cuando hay un riesgo para las personas. Las organizaciones de fuera de la UE que se dirigen a personas que están allí pueden necesitar un representante en la UE.</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Reino Unido</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UK GDPR y Data Protection Act 2018, modificados por la Data (Use and Access) Act 2025</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Commissioner's Office (ICO)</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Notificación de brechas en un plazo de 72 horas. La mayoría de las organizaciones pagan a la ICO una tasa de protección de datos salvo que estén exentas; comprueba la exención para entidades sin fines de lucro. La mayoría de los cambios de 2025 se aplican desde el 5 de febrero de 2026; la obligación de gestionar las reclamaciones sobre protección de datos (acusar recibo en un plazo de 30 días) se aplica desde el 19 de junio de 2026.</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Kenia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Act, 2019</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Office of the Data Protection Commissioner (ODPC)</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 responsables y encargados del tratamiento deben registrarse salvo que estén exentos; comprueba los umbrales de tamaño y los sectores que deben registrarse sea cual sea su tamaño. Notificación de brechas en un plazo de 72 horas.</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Nigeria</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Nigeria Data Protection Act, 2023</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Nigeria Data Protection Commission (NDPC)</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Notificación de brechas en un plazo de 72 horas. Los responsables y encargados del tratamiento "de gran importancia" deben registrarse. Comprueba las directivas vigentes de la NDPC sobre auditorías y tasas.</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Sudáfrica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Protection of Personal Information Act 4 of 2013 (POPIA)</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Information Regulator</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 organización tiene un information officer (por defecto, su máxima autoridad), que debe estar registrado. Las vulneraciones de seguridad deben notificarse tan pronto como sea razonablemente posible.</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Brasil</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Ley 13.709/2018 (LGPD)</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Autoridade Nacional de Proteção de Dados (ANPD)</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Nombrar un encarregado (persona encargada de los datos); las organizaciones pequeñas tienen un régimen flexibilizado, pero deben ofrecer un canal de contacto. Notificación de brechas a la ANPD y a las personas afectadas en un plazo de 3 días hábiles (Resolución 15/2024 de la ANPD), plazo que se duplica para los agentes de tratamiento de pequeño porte; compruébalo.</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India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Digital Personal Data Protection Act, 2023</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Protection Board of India</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Abarca los datos digitales. Se basa principalmente en el consentimiento, más una breve lista de "usos legítimos". Consentimiento parental para menores de 18 años. Las DPDP Rules 2025, publicadas en noviembre de 2025, se aplican por fases, y la mayoría de las obligaciones serán exigibles 18 meses después; comprueba cuáles están en vigor.</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Indonesia</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Ley n.º 27 de 2022 sobre Protección de Datos Personales</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Agencia prevista en la ley; comprueba su situación</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vigor desde octubre de 2024. Notificación de brechas en un plazo de 3 x 24 horas. Algunas organizaciones necesitan un delegado de protección de datos.</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Argentina</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Ley de Protección de los Datos Personales n.º 25.326</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Agencia de Acceso a la Información Pública (AAIP)</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Prevé la inscripción de las bases de datos en el registro nacional; comprueba si la tuya debe inscribirse. La UE la reconoce como adecuada. Se ha debatido una reforma; compruébalo.</w:t>
                  </w:r>
                </w:p>
              </w:tc>
            </w:tr>
            <w:tr>
              <w:trPr>
                <w:cantSplit/>
                <w:tblHeader w:val="off"/>
              </w:trPr>
              <w:tc>
                <w:tcPr>
                  <w:tcW w:type="dxa" w:w="151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Perú</w:t>
                  </w:r>
                </w:p>
              </w:tc>
              <w:tc>
                <w:tcPr>
                  <w:tcW w:type="dxa" w:w="22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Ley de Protección de Datos Personales n.º 29733 y su reglamento</w:t>
                  </w:r>
                </w:p>
              </w:tc>
              <w:tc>
                <w:tcPr>
                  <w:tcW w:type="dxa" w:w="16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Autoridad Nacional de Protección de Datos Personales (Ministerio de Justicia)</w:t>
                  </w:r>
                </w:p>
              </w:tc>
              <w:tc>
                <w:tcPr>
                  <w:tcW w:type="dxa" w:w="34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 bancos de datos personales deben inscribirse; comprueba las normas vigentes. Un nuevo reglamento en vigor desde marzo de 2025 exige notificar las brechas a la autoridad en un plazo de 48 horas y, en algunos casos, nombrar un delegado de protección de datos (de forma gradual según el tamaño).</w:t>
                  </w:r>
                </w:p>
              </w:tc>
            </w:tr>
            <w:tr>
              <w:trPr>
                <w:cantSplit/>
                <w:tblHeader w:val="off"/>
              </w:trPr>
              <w:tc>
                <w:tcPr>
                  <w:tcW w:type="dxa" w:w="151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Otros países</w:t>
                  </w:r>
                </w:p>
              </w:tc>
              <w:tc>
                <w:tcPr>
                  <w:tcW w:type="dxa" w:w="22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Comprueba si existe una ley</w:t>
                  </w:r>
                </w:p>
              </w:tc>
              <w:tc>
                <w:tcPr>
                  <w:tcW w:type="dxa" w:w="16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Comprueba</w:t>
                  </w:r>
                </w:p>
              </w:tc>
              <w:tc>
                <w:tcPr>
                  <w:tcW w:type="dxa" w:w="34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 no existe, sigue esta política como buena práctica y cumple los requisitos de tus financiadores.</w:t>
                  </w:r>
                </w:p>
              </w:tc>
            </w:tr>
          </w:tbl>
          <w:p>
            <w:pPr>
              <w:spacing w:after="12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pStyle w:val="Heading2"/>
        <w:keepNext/>
        <w:spacing w:after="120" w:before="280"/>
      </w:pPr>
      <w:r>
        <w:rPr>
          <w:rFonts w:ascii="DM Serif Display" w:cs="DM Serif Display" w:eastAsia="DM Serif Display" w:hAnsi="DM Serif Display"/>
          <w:color w:val="123C48"/>
          <w:sz w:val="28"/>
          <w:szCs w:val="28"/>
        </w:rPr>
        <w:t xml:space="preserve">1. Los principios que seguimos</w:t>
      </w:r>
    </w:p>
    <w:p>
      <w:pPr>
        <w:spacing w:after="120" w:before="0" w:line="300"/>
      </w:pPr>
      <w:r>
        <w:rPr>
          <w:rFonts w:ascii="Nunito Sans" w:cs="Nunito Sans" w:eastAsia="Nunito Sans" w:hAnsi="Nunito Sans"/>
          <w:color w:val="102E3B"/>
          <w:sz w:val="20"/>
          <w:szCs w:val="20"/>
        </w:rPr>
        <w:t xml:space="preserve">Todo uso de información personal sigue estos siete principios, y conservamos registros que lo demuestran.</w:t>
      </w:r>
    </w:p>
    <w:p>
      <w:pPr>
        <w:pStyle w:val="ListParagraph"/>
        <w:numPr>
          <w:ilvl w:val="0"/>
          <w:numId w:val="4"/>
        </w:numPr>
        <w:spacing w:after="80" w:line="290"/>
      </w:pPr>
      <w:r>
        <w:rPr>
          <w:rFonts w:ascii="Nunito Sans" w:cs="Nunito Sans" w:eastAsia="Nunito Sans" w:hAnsi="Nunito Sans"/>
          <w:b/>
          <w:bCs/>
          <w:color w:val="102E3B"/>
          <w:sz w:val="20"/>
          <w:szCs w:val="20"/>
        </w:rPr>
        <w:t xml:space="preserve">Licitud, lealtad y transparencia.</w:t>
      </w:r>
      <w:r>
        <w:rPr>
          <w:rFonts w:ascii="Nunito Sans" w:cs="Nunito Sans" w:eastAsia="Nunito Sans" w:hAnsi="Nunito Sans"/>
          <w:color w:val="102E3B"/>
          <w:sz w:val="20"/>
          <w:szCs w:val="20"/>
        </w:rPr>
        <w:t xml:space="preserve"> Tenemos una base legal para cada uso (sección 2), evitamos los usos que las personas no esperarían y explicamos lo que hacemos en nuestro Aviso de Privacidad.</w:t>
      </w:r>
    </w:p>
    <w:p>
      <w:pPr>
        <w:pStyle w:val="ListParagraph"/>
        <w:numPr>
          <w:ilvl w:val="0"/>
          <w:numId w:val="4"/>
        </w:numPr>
        <w:spacing w:after="80" w:line="290"/>
      </w:pPr>
      <w:r>
        <w:rPr>
          <w:rFonts w:ascii="Nunito Sans" w:cs="Nunito Sans" w:eastAsia="Nunito Sans" w:hAnsi="Nunito Sans"/>
          <w:b/>
          <w:bCs/>
          <w:color w:val="102E3B"/>
          <w:sz w:val="20"/>
          <w:szCs w:val="20"/>
        </w:rPr>
        <w:t xml:space="preserve">Limitación de la finalidad.</w:t>
      </w:r>
      <w:r>
        <w:rPr>
          <w:rFonts w:ascii="Nunito Sans" w:cs="Nunito Sans" w:eastAsia="Nunito Sans" w:hAnsi="Nunito Sans"/>
          <w:color w:val="102E3B"/>
          <w:sz w:val="20"/>
          <w:szCs w:val="20"/>
        </w:rPr>
        <w:t xml:space="preserve"> Recogemos la información con una finalidad concreta y no la reutilizamos para otra que no guarde relación. Nunca vendemos información personal.</w:t>
      </w:r>
    </w:p>
    <w:p>
      <w:pPr>
        <w:pStyle w:val="ListParagraph"/>
        <w:numPr>
          <w:ilvl w:val="0"/>
          <w:numId w:val="4"/>
        </w:numPr>
        <w:spacing w:after="80" w:line="290"/>
      </w:pPr>
      <w:r>
        <w:rPr>
          <w:rFonts w:ascii="Nunito Sans" w:cs="Nunito Sans" w:eastAsia="Nunito Sans" w:hAnsi="Nunito Sans"/>
          <w:b/>
          <w:bCs/>
          <w:color w:val="102E3B"/>
          <w:sz w:val="20"/>
          <w:szCs w:val="20"/>
        </w:rPr>
        <w:t xml:space="preserve">Minimización de datos.</w:t>
      </w:r>
      <w:r>
        <w:rPr>
          <w:rFonts w:ascii="Nunito Sans" w:cs="Nunito Sans" w:eastAsia="Nunito Sans" w:hAnsi="Nunito Sans"/>
          <w:color w:val="102E3B"/>
          <w:sz w:val="20"/>
          <w:szCs w:val="20"/>
        </w:rPr>
        <w:t xml:space="preserve"> Recogemos solo lo que cada actividad necesita. Si basta con un total, un rango de edad o un código anónimo, no recogemos nombres ni fechas de nacimiento exactas.</w:t>
      </w:r>
    </w:p>
    <w:p>
      <w:pPr>
        <w:pStyle w:val="ListParagraph"/>
        <w:numPr>
          <w:ilvl w:val="0"/>
          <w:numId w:val="4"/>
        </w:numPr>
        <w:spacing w:after="80" w:line="290"/>
      </w:pPr>
      <w:r>
        <w:rPr>
          <w:rFonts w:ascii="Nunito Sans" w:cs="Nunito Sans" w:eastAsia="Nunito Sans" w:hAnsi="Nunito Sans"/>
          <w:b/>
          <w:bCs/>
          <w:color w:val="102E3B"/>
          <w:sz w:val="20"/>
          <w:szCs w:val="20"/>
        </w:rPr>
        <w:t xml:space="preserve">Exactitud.</w:t>
      </w:r>
      <w:r>
        <w:rPr>
          <w:rFonts w:ascii="Nunito Sans" w:cs="Nunito Sans" w:eastAsia="Nunito Sans" w:hAnsi="Nunito Sans"/>
          <w:color w:val="102E3B"/>
          <w:sz w:val="20"/>
          <w:szCs w:val="20"/>
        </w:rPr>
        <w:t xml:space="preserve"> Mantenemos la información actualizada y corregimos los errores con rapidez.</w:t>
      </w:r>
    </w:p>
    <w:p>
      <w:pPr>
        <w:pStyle w:val="ListParagraph"/>
        <w:numPr>
          <w:ilvl w:val="0"/>
          <w:numId w:val="4"/>
        </w:numPr>
        <w:spacing w:after="80" w:line="290"/>
      </w:pPr>
      <w:r>
        <w:rPr>
          <w:rFonts w:ascii="Nunito Sans" w:cs="Nunito Sans" w:eastAsia="Nunito Sans" w:hAnsi="Nunito Sans"/>
          <w:b/>
          <w:bCs/>
          <w:color w:val="102E3B"/>
          <w:sz w:val="20"/>
          <w:szCs w:val="20"/>
        </w:rPr>
        <w:t xml:space="preserve">Limitación del plazo de conservación.</w:t>
      </w:r>
      <w:r>
        <w:rPr>
          <w:rFonts w:ascii="Nunito Sans" w:cs="Nunito Sans" w:eastAsia="Nunito Sans" w:hAnsi="Nunito Sans"/>
          <w:color w:val="102E3B"/>
          <w:sz w:val="20"/>
          <w:szCs w:val="20"/>
        </w:rPr>
        <w:t xml:space="preserve"> Conservamos la información solo mientras la necesitamos, siguiendo nuestro Calendario de Conservación de Registros, y después la eliminamos o la anonimizamos.</w:t>
      </w:r>
    </w:p>
    <w:p>
      <w:pPr>
        <w:pStyle w:val="ListParagraph"/>
        <w:numPr>
          <w:ilvl w:val="0"/>
          <w:numId w:val="4"/>
        </w:numPr>
        <w:spacing w:after="80" w:line="290"/>
      </w:pPr>
      <w:r>
        <w:rPr>
          <w:rFonts w:ascii="Nunito Sans" w:cs="Nunito Sans" w:eastAsia="Nunito Sans" w:hAnsi="Nunito Sans"/>
          <w:b/>
          <w:bCs/>
          <w:color w:val="102E3B"/>
          <w:sz w:val="20"/>
          <w:szCs w:val="20"/>
        </w:rPr>
        <w:t xml:space="preserve">Seguridad.</w:t>
      </w:r>
      <w:r>
        <w:rPr>
          <w:rFonts w:ascii="Nunito Sans" w:cs="Nunito Sans" w:eastAsia="Nunito Sans" w:hAnsi="Nunito Sans"/>
          <w:color w:val="102E3B"/>
          <w:sz w:val="20"/>
          <w:szCs w:val="20"/>
        </w:rPr>
        <w:t xml:space="preserve"> Protegemos la información frente a la pérdida, el robo y el uso indebido (sección 11 y nuestra Política de TI y Seguridad de la Información).</w:t>
      </w:r>
    </w:p>
    <w:p>
      <w:pPr>
        <w:pStyle w:val="ListParagraph"/>
        <w:numPr>
          <w:ilvl w:val="0"/>
          <w:numId w:val="4"/>
        </w:numPr>
        <w:spacing w:after="80" w:line="290"/>
      </w:pPr>
      <w:r>
        <w:rPr>
          <w:rFonts w:ascii="Nunito Sans" w:cs="Nunito Sans" w:eastAsia="Nunito Sans" w:hAnsi="Nunito Sans"/>
          <w:b/>
          <w:bCs/>
          <w:color w:val="102E3B"/>
          <w:sz w:val="20"/>
          <w:szCs w:val="20"/>
        </w:rPr>
        <w:t xml:space="preserve">Responsabilidad proactiva.</w:t>
      </w:r>
      <w:r>
        <w:rPr>
          <w:rFonts w:ascii="Nunito Sans" w:cs="Nunito Sans" w:eastAsia="Nunito Sans" w:hAnsi="Nunito Sans"/>
          <w:color w:val="102E3B"/>
          <w:sz w:val="20"/>
          <w:szCs w:val="20"/>
        </w:rPr>
        <w:t xml:space="preserve"> Documentamos nuestras decisiones: el inventario de datos (Anexo A), nuestra lista de encargados del tratamiento (Anexo B), las evaluaciones de impacto en la protección de datos (EIPD), el registro de solicitudes de derechos y el registro de brechas.</w:t>
      </w:r>
    </w:p>
    <w:p>
      <w:pPr>
        <w:pStyle w:val="Heading2"/>
        <w:keepNext/>
        <w:spacing w:after="120" w:before="280"/>
      </w:pPr>
      <w:r>
        <w:rPr>
          <w:rFonts w:ascii="DM Serif Display" w:cs="DM Serif Display" w:eastAsia="DM Serif Display" w:hAnsi="DM Serif Display"/>
          <w:color w:val="123C48"/>
          <w:sz w:val="28"/>
          <w:szCs w:val="28"/>
        </w:rPr>
        <w:t xml:space="preserve">2. Nuestras bases legales para usar información personal</w:t>
      </w:r>
    </w:p>
    <w:p>
      <w:pPr>
        <w:spacing w:after="120" w:before="0" w:line="300"/>
      </w:pPr>
      <w:r>
        <w:rPr>
          <w:rFonts w:ascii="Nunito Sans" w:cs="Nunito Sans" w:eastAsia="Nunito Sans" w:hAnsi="Nunito Sans"/>
          <w:color w:val="102E3B"/>
          <w:sz w:val="20"/>
          <w:szCs w:val="20"/>
        </w:rPr>
        <w:t xml:space="preserve">Cada uso de información personal necesita una base legal principal, a veces llamada base de legitimación. La registramos en el Anexo A antes de que empiece la actividad.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3809"/>
        <w:gridCol w:w="3239"/>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BASE LEGAL</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 PALABRAS SENCILLAS</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Consentimiento</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ha aceptado libremente, después de una explicación clara, y puede retirar su consentimiento en cualquier momento.</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Boletines; fotos e historias; investigaciones voluntarias.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necesitamos para cumplir un acuerdo con la persona, o para dar los pasos que ella pide antes de firmarlo.</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Contratos de trabajo y acuerdos de voluntariado; un servicio en el que alguien se ha inscrito.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Obligación legal</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ley nos exige usarla o conservarla.</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Registros fiscales, de nóminas y financieros.</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Intereses vitales</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necesitamos para proteger la vida o la integridad física de alguien, y esa persona no puede dar su consentimiento.</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Compartir datos médicos con los servicios de emergencia después de un accidente.</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Misión de interés público</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Realizamos una tarea establecida por la ley o por encargo de una autoridad pública.</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Servicios obligatorios por ley que prestamos para el gobierno.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Intereses legítimos</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Tenemos un motivo real, el uso es necesario y no prevalece sobre los derechos de la persona.</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Proteger nuestros sistemas; gestionar una queja.</w:t>
            </w:r>
          </w:p>
        </w:tc>
      </w:tr>
    </w:tbl>
    <w:p>
      <w:pPr>
        <w:spacing w:after="120"/>
      </w:pPr>
    </w:p>
    <w:p>
      <w:pPr>
        <w:spacing w:after="120" w:before="0" w:line="300"/>
      </w:pPr>
      <w:r>
        <w:rPr>
          <w:rFonts w:ascii="Nunito Sans" w:cs="Nunito Sans" w:eastAsia="Nunito Sans" w:hAnsi="Nunito Sans"/>
          <w:b/>
          <w:bCs/>
          <w:color w:val="102E3B"/>
          <w:sz w:val="20"/>
          <w:szCs w:val="20"/>
        </w:rPr>
        <w:t xml:space="preserve">El consentimiento debe ser real.</w:t>
      </w:r>
      <w:r>
        <w:rPr>
          <w:rFonts w:ascii="Nunito Sans" w:cs="Nunito Sans" w:eastAsia="Nunito Sans" w:hAnsi="Nunito Sans"/>
          <w:color w:val="102E3B"/>
          <w:sz w:val="20"/>
          <w:szCs w:val="20"/>
        </w:rPr>
        <w:t xml:space="preserve"> Cuando nos basamos en el consentimiento, este consiste en una acción clara y separada: una casilla que no esté marcada de antemano, una firma o un acuerdo verbal registrado. Registramos quién aceptó, cuándo, cómo y qué aceptó. Retirar el consentimiento debe ser tan fácil como darlo. El consentimiento no es libre si negarse supone perder un servicio, así que nunca condicionamos la asistencia a que se acepten fotos, historias o investigaciones. Usamos nuestro Formulario de Consentimiento para Fotos e Historias, nuestro Formulario de Consentimiento para Participar en una Investigación y nuestro Formulario de Consentimiento para Recaudación de Fondos y Comunicaciones.</w:t>
      </w:r>
    </w:p>
    <w:p>
      <w:pPr>
        <w:spacing w:after="120" w:before="0" w:line="300"/>
      </w:pPr>
      <w:r>
        <w:rPr>
          <w:rFonts w:ascii="Nunito Sans" w:cs="Nunito Sans" w:eastAsia="Nunito Sans" w:hAnsi="Nunito Sans"/>
          <w:b/>
          <w:bCs/>
          <w:color w:val="102E3B"/>
          <w:sz w:val="20"/>
          <w:szCs w:val="20"/>
        </w:rPr>
        <w:t xml:space="preserve">Los intereses legítimos requieren una comprobación.</w:t>
      </w:r>
      <w:r>
        <w:rPr>
          <w:rFonts w:ascii="Nunito Sans" w:cs="Nunito Sans" w:eastAsia="Nunito Sans" w:hAnsi="Nunito Sans"/>
          <w:color w:val="102E3B"/>
          <w:sz w:val="20"/>
          <w:szCs w:val="20"/>
        </w:rPr>
        <w:t xml:space="preserve"> La persona responsable de protección de datos redacta primero una breve nota: por qué lo necesitamos, si existe una forma menos invasiva, cuál es el impacto en las personas y qué garantías aplicamos. La nota se conserva junto con el Anexo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BASES LEGALES: LOS NOMBRES VARÍAN SEGÚN EL PAÍS</w:t>
            </w:r>
          </w:p>
          <w:p>
            <w:pPr>
              <w:spacing w:after="120" w:before="0" w:line="300"/>
            </w:pPr>
            <w:r>
              <w:rPr>
                <w:rFonts w:ascii="Nunito Sans" w:cs="Nunito Sans" w:eastAsia="Nunito Sans" w:hAnsi="Nunito Sans"/>
                <w:color w:val="102E3B"/>
                <w:sz w:val="19"/>
                <w:szCs w:val="19"/>
              </w:rPr>
              <w:t xml:space="preserve">Las seis bases siguen el RGPD. Muchas leyes usan bases similares, pero los nombres y las listas varían según el país. Por ejemplo, la LGPD de Brasil tiene diez bases legales, entre ellas la protección del crédito y la tutela de la salud. La DPDP Act de la India se basa principalmente en el consentimiento y en una breve lista de "usos legítimos", y no tiene una base general de intereses legítimos. La POPIA de Sudáfrica establece motivos similares en su artículo 11. Comprueba la lista de tu propia ley y cambia el nombre de las bases de la tabla si es necesario. Elimina "Misión de interés público" si no prestas servicios obligatorios por ley.</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Información sensible y antecedentes penales</w:t>
      </w:r>
    </w:p>
    <w:p>
      <w:pPr>
        <w:spacing w:after="120" w:before="0" w:line="300"/>
      </w:pPr>
      <w:r>
        <w:rPr>
          <w:rFonts w:ascii="Nunito Sans" w:cs="Nunito Sans" w:eastAsia="Nunito Sans" w:hAnsi="Nunito Sans"/>
          <w:color w:val="102E3B"/>
          <w:sz w:val="20"/>
          <w:szCs w:val="20"/>
        </w:rPr>
        <w:t xml:space="preserve">Algunas informaciones pueden dar lugar a discriminación, violencia o peligro legal si se usan indebidamente. Incluyen, respecto de una persona:</w:t>
      </w:r>
    </w:p>
    <w:p>
      <w:pPr>
        <w:pStyle w:val="ListParagraph"/>
        <w:numPr>
          <w:ilvl w:val="0"/>
          <w:numId w:val="3"/>
        </w:numPr>
        <w:spacing w:after="80" w:line="290"/>
      </w:pPr>
      <w:r>
        <w:rPr>
          <w:rFonts w:ascii="Nunito Sans" w:cs="Nunito Sans" w:eastAsia="Nunito Sans" w:hAnsi="Nunito Sans"/>
          <w:color w:val="102E3B"/>
          <w:sz w:val="20"/>
          <w:szCs w:val="20"/>
        </w:rPr>
        <w:t xml:space="preserve">su salud física o mental, su discapacidad, su estado serológico respecto del VIH o su embarazo;</w:t>
      </w:r>
    </w:p>
    <w:p>
      <w:pPr>
        <w:pStyle w:val="ListParagraph"/>
        <w:numPr>
          <w:ilvl w:val="0"/>
          <w:numId w:val="3"/>
        </w:numPr>
        <w:spacing w:after="80" w:line="290"/>
      </w:pPr>
      <w:r>
        <w:rPr>
          <w:rFonts w:ascii="Nunito Sans" w:cs="Nunito Sans" w:eastAsia="Nunito Sans" w:hAnsi="Nunito Sans"/>
          <w:color w:val="102E3B"/>
          <w:sz w:val="20"/>
          <w:szCs w:val="20"/>
        </w:rPr>
        <w:t xml:space="preserve">su origen racial o étnico, su casta o su tribu;</w:t>
      </w:r>
    </w:p>
    <w:p>
      <w:pPr>
        <w:pStyle w:val="ListParagraph"/>
        <w:numPr>
          <w:ilvl w:val="0"/>
          <w:numId w:val="3"/>
        </w:numPr>
        <w:spacing w:after="80" w:line="290"/>
      </w:pPr>
      <w:r>
        <w:rPr>
          <w:rFonts w:ascii="Nunito Sans" w:cs="Nunito Sans" w:eastAsia="Nunito Sans" w:hAnsi="Nunito Sans"/>
          <w:color w:val="102E3B"/>
          <w:sz w:val="20"/>
          <w:szCs w:val="20"/>
        </w:rPr>
        <w:t xml:space="preserve">sus creencias religiosas o filosóficas;</w:t>
      </w:r>
    </w:p>
    <w:p>
      <w:pPr>
        <w:pStyle w:val="ListParagraph"/>
        <w:numPr>
          <w:ilvl w:val="0"/>
          <w:numId w:val="3"/>
        </w:numPr>
        <w:spacing w:after="80" w:line="290"/>
      </w:pPr>
      <w:r>
        <w:rPr>
          <w:rFonts w:ascii="Nunito Sans" w:cs="Nunito Sans" w:eastAsia="Nunito Sans" w:hAnsi="Nunito Sans"/>
          <w:color w:val="102E3B"/>
          <w:sz w:val="20"/>
          <w:szCs w:val="20"/>
        </w:rPr>
        <w:t xml:space="preserve">sus opiniones políticas o su afiliación sindical;</w:t>
      </w:r>
    </w:p>
    <w:p>
      <w:pPr>
        <w:pStyle w:val="ListParagraph"/>
        <w:numPr>
          <w:ilvl w:val="0"/>
          <w:numId w:val="3"/>
        </w:numPr>
        <w:spacing w:after="80" w:line="290"/>
      </w:pPr>
      <w:r>
        <w:rPr>
          <w:rFonts w:ascii="Nunito Sans" w:cs="Nunito Sans" w:eastAsia="Nunito Sans" w:hAnsi="Nunito Sans"/>
          <w:color w:val="102E3B"/>
          <w:sz w:val="20"/>
          <w:szCs w:val="20"/>
        </w:rPr>
        <w:t xml:space="preserve">su vida sexual, su orientación sexual o su identidad de género;</w:t>
      </w:r>
    </w:p>
    <w:p>
      <w:pPr>
        <w:pStyle w:val="ListParagraph"/>
        <w:numPr>
          <w:ilvl w:val="0"/>
          <w:numId w:val="3"/>
        </w:numPr>
        <w:spacing w:after="80" w:line="290"/>
      </w:pPr>
      <w:r>
        <w:rPr>
          <w:rFonts w:ascii="Nunito Sans" w:cs="Nunito Sans" w:eastAsia="Nunito Sans" w:hAnsi="Nunito Sans"/>
          <w:color w:val="102E3B"/>
          <w:sz w:val="20"/>
          <w:szCs w:val="20"/>
        </w:rPr>
        <w:t xml:space="preserve">sus datos genéticos o biométricos usados para identificarla, como las huellas dactilares o el reconocimiento facial;</w:t>
      </w:r>
    </w:p>
    <w:p>
      <w:pPr>
        <w:pStyle w:val="ListParagraph"/>
        <w:numPr>
          <w:ilvl w:val="0"/>
          <w:numId w:val="3"/>
        </w:numPr>
        <w:spacing w:after="80" w:line="290"/>
      </w:pPr>
      <w:r>
        <w:rPr>
          <w:rFonts w:ascii="Nunito Sans" w:cs="Nunito Sans" w:eastAsia="Nunito Sans" w:hAnsi="Nunito Sans"/>
          <w:color w:val="102E3B"/>
          <w:sz w:val="20"/>
          <w:szCs w:val="20"/>
        </w:rPr>
        <w:t xml:space="preserve">denuncias, condenas o delitos penales.</w:t>
      </w:r>
    </w:p>
    <w:p>
      <w:pPr>
        <w:spacing w:after="120" w:before="0" w:line="300"/>
      </w:pPr>
      <w:r>
        <w:rPr>
          <w:rFonts w:ascii="Nunito Sans" w:cs="Nunito Sans" w:eastAsia="Nunito Sans" w:hAnsi="Nunito Sans"/>
          <w:color w:val="102E3B"/>
          <w:sz w:val="20"/>
          <w:szCs w:val="20"/>
        </w:rPr>
        <w:t xml:space="preserve">Otras informaciones pueden ser igual de peligrosas en nuestros contextos, como la condición de persona refugiada, la condición de sobreviviente en casos de violencia de género o la ubicación exacta. También las tratamos como sensibles.</w:t>
      </w:r>
    </w:p>
    <w:p>
      <w:pPr>
        <w:spacing w:after="120" w:before="0" w:line="300"/>
      </w:pPr>
      <w:r>
        <w:rPr>
          <w:rFonts w:ascii="Nunito Sans" w:cs="Nunito Sans" w:eastAsia="Nunito Sans" w:hAnsi="Nunito Sans"/>
          <w:color w:val="102E3B"/>
          <w:sz w:val="20"/>
          <w:szCs w:val="20"/>
        </w:rPr>
        <w:t xml:space="preserve">Solo recogemos información sensible cuando es necesaria para una finalidad clara, como un servicio de salud o de protección o una obligación legal. En ese caso:</w:t>
      </w:r>
    </w:p>
    <w:p>
      <w:pPr>
        <w:pStyle w:val="ListParagraph"/>
        <w:numPr>
          <w:ilvl w:val="0"/>
          <w:numId w:val="3"/>
        </w:numPr>
        <w:spacing w:after="80" w:line="290"/>
      </w:pPr>
      <w:r>
        <w:rPr>
          <w:rFonts w:ascii="Nunito Sans" w:cs="Nunito Sans" w:eastAsia="Nunito Sans" w:hAnsi="Nunito Sans"/>
          <w:color w:val="102E3B"/>
          <w:sz w:val="20"/>
          <w:szCs w:val="20"/>
        </w:rPr>
        <w:t xml:space="preserve">nos basamos en el consentimiento explícito o en otra condición que permita la ley, y lo registramos en el Anexo A;</w:t>
      </w:r>
    </w:p>
    <w:p>
      <w:pPr>
        <w:pStyle w:val="ListParagraph"/>
        <w:numPr>
          <w:ilvl w:val="0"/>
          <w:numId w:val="3"/>
        </w:numPr>
        <w:spacing w:after="80" w:line="290"/>
      </w:pPr>
      <w:r>
        <w:rPr>
          <w:rFonts w:ascii="Nunito Sans" w:cs="Nunito Sans" w:eastAsia="Nunito Sans" w:hAnsi="Nunito Sans"/>
          <w:color w:val="102E3B"/>
          <w:sz w:val="20"/>
          <w:szCs w:val="20"/>
        </w:rPr>
        <w:t xml:space="preserve">restringimos el acceso a las personas que la necesitan para su tarea;</w:t>
      </w:r>
    </w:p>
    <w:p>
      <w:pPr>
        <w:pStyle w:val="ListParagraph"/>
        <w:numPr>
          <w:ilvl w:val="0"/>
          <w:numId w:val="3"/>
        </w:numPr>
        <w:spacing w:after="80" w:line="290"/>
      </w:pPr>
      <w:r>
        <w:rPr>
          <w:rFonts w:ascii="Nunito Sans" w:cs="Nunito Sans" w:eastAsia="Nunito Sans" w:hAnsi="Nunito Sans"/>
          <w:color w:val="102E3B"/>
          <w:sz w:val="20"/>
          <w:szCs w:val="20"/>
        </w:rPr>
        <w:t xml:space="preserve">la guardamos por separado o cifrada, nunca en hojas de cálculo compartidas ni en chats de grupo;</w:t>
      </w:r>
    </w:p>
    <w:p>
      <w:pPr>
        <w:pStyle w:val="ListParagraph"/>
        <w:numPr>
          <w:ilvl w:val="0"/>
          <w:numId w:val="3"/>
        </w:numPr>
        <w:spacing w:after="80" w:line="290"/>
      </w:pPr>
      <w:r>
        <w:rPr>
          <w:rFonts w:ascii="Nunito Sans" w:cs="Nunito Sans" w:eastAsia="Nunito Sans" w:hAnsi="Nunito Sans"/>
          <w:color w:val="102E3B"/>
          <w:sz w:val="20"/>
          <w:szCs w:val="20"/>
        </w:rPr>
        <w:t xml:space="preserve">completamos una EIPD antes de iniciar cualquier uso nuevo o a gran escala (sección 14);</w:t>
      </w:r>
    </w:p>
    <w:p>
      <w:pPr>
        <w:pStyle w:val="ListParagraph"/>
        <w:numPr>
          <w:ilvl w:val="0"/>
          <w:numId w:val="3"/>
        </w:numPr>
        <w:spacing w:after="80" w:line="290"/>
      </w:pPr>
      <w:r>
        <w:rPr>
          <w:rFonts w:ascii="Nunito Sans" w:cs="Nunito Sans" w:eastAsia="Nunito Sans" w:hAnsi="Nunito Sans"/>
          <w:color w:val="102E3B"/>
          <w:sz w:val="20"/>
          <w:szCs w:val="20"/>
        </w:rPr>
        <w:t xml:space="preserve">solo la compartimos conforme a nuestra Política y Procedimiento de Salvaguarda o cuando la ley lo exige.</w:t>
      </w:r>
    </w:p>
    <w:p>
      <w:pPr>
        <w:spacing w:after="120" w:before="0" w:line="300"/>
      </w:pPr>
      <w:r>
        <w:rPr>
          <w:rFonts w:ascii="Nunito Sans" w:cs="Nunito Sans" w:eastAsia="Nunito Sans" w:hAnsi="Nunito Sans"/>
          <w:b/>
          <w:bCs/>
          <w:color w:val="102E3B"/>
          <w:sz w:val="20"/>
          <w:szCs w:val="20"/>
        </w:rPr>
        <w:t xml:space="preserve">Antecedentes penales.</w:t>
      </w:r>
      <w:r>
        <w:rPr>
          <w:rFonts w:ascii="Nunito Sans" w:cs="Nunito Sans" w:eastAsia="Nunito Sans" w:hAnsi="Nunito Sans"/>
          <w:color w:val="102E3B"/>
          <w:sz w:val="20"/>
          <w:szCs w:val="20"/>
        </w:rPr>
        <w:t xml:space="preserve"> Solo preguntamos por los antecedentes penales cuando el rol lo justifica, como en el trabajo con niñas y niños, y en la medida en que la ley lo permite. Registramos el resultado ("verificación realizada, sin motivos de preocupación") y eliminamos los certificados después de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salvo que la ley exija otra cosa.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LA INFORMACIÓN SENSIBLE EN TU TRABAJO</w:t>
            </w:r>
          </w:p>
          <w:p>
            <w:pPr>
              <w:spacing w:after="120" w:before="0" w:line="300"/>
            </w:pPr>
            <w:r>
              <w:rPr>
                <w:rFonts w:ascii="Nunito Sans" w:cs="Nunito Sans" w:eastAsia="Nunito Sans" w:hAnsi="Nunito Sans"/>
                <w:color w:val="102E3B"/>
                <w:sz w:val="19"/>
                <w:szCs w:val="19"/>
              </w:rPr>
              <w:t xml:space="preserve">Enumera la información sensible que conservas realmente, como historias clínicas, datos sobre discapacidad o notas de casos de protección. Si no conservas ninguna, dilo, pero mantén las normas sobre texto libre y mensajes, donde suele aparecer. Comprueba tu ley: la POPIA, por ejemplo, exige una autorización previa del Regulator para algunos usos de información especial o penal. Muchos países restringen lo que los empleadores pueden preguntar sobre antecedentes penales.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Información sobre niñas y niños</w:t>
      </w:r>
    </w:p>
    <w:p>
      <w:pPr>
        <w:spacing w:after="120" w:before="0" w:line="300"/>
      </w:pPr>
      <w:r>
        <w:rPr>
          <w:rFonts w:ascii="Nunito Sans" w:cs="Nunito Sans" w:eastAsia="Nunito Sans" w:hAnsi="Nunito Sans"/>
          <w:color w:val="102E3B"/>
          <w:sz w:val="20"/>
          <w:szCs w:val="20"/>
        </w:rPr>
        <w:t xml:space="preserve">Las niñas y los niños pueden ser menos conscientes de los riesgos, por lo que su información requiere un cuidado adicional. Solo la recogemos cuando nuestras actividades lo requieren. Nos comprometemos a:</w:t>
      </w:r>
    </w:p>
    <w:p>
      <w:pPr>
        <w:pStyle w:val="ListParagraph"/>
        <w:numPr>
          <w:ilvl w:val="0"/>
          <w:numId w:val="3"/>
        </w:numPr>
        <w:spacing w:after="80" w:line="290"/>
      </w:pPr>
      <w:r>
        <w:rPr>
          <w:rFonts w:ascii="Nunito Sans" w:cs="Nunito Sans" w:eastAsia="Nunito Sans" w:hAnsi="Nunito Sans"/>
          <w:color w:val="102E3B"/>
          <w:sz w:val="20"/>
          <w:szCs w:val="20"/>
        </w:rPr>
        <w:t xml:space="preserve">pedir el consentimiento de su madre, padre o tutor cuando el consentimiento es nuestra base legal y la niña o el niño es menor de </w:t>
      </w:r>
      <w:r>
        <w:rPr>
          <w:rFonts w:ascii="Nunito Sans" w:cs="Nunito Sans" w:eastAsia="Nunito Sans" w:hAnsi="Nunito Sans"/>
          <w:color w:val="102E3B"/>
          <w:sz w:val="20"/>
          <w:szCs w:val="20"/>
          <w:highlight w:val="yellow"/>
        </w:rPr>
        <w:t xml:space="preserve">[edad establecida por la ley]</w:t>
      </w:r>
      <w:r>
        <w:rPr>
          <w:rFonts w:ascii="Nunito Sans" w:cs="Nunito Sans" w:eastAsia="Nunito Sans" w:hAnsi="Nunito Sans"/>
          <w:color w:val="102E3B"/>
          <w:sz w:val="20"/>
          <w:szCs w:val="20"/>
        </w:rPr>
        <w:t xml:space="preserve">, y explicárselo también a la niña o al niño con palabras que pueda entender;</w:t>
      </w:r>
    </w:p>
    <w:p>
      <w:pPr>
        <w:pStyle w:val="ListParagraph"/>
        <w:numPr>
          <w:ilvl w:val="0"/>
          <w:numId w:val="3"/>
        </w:numPr>
        <w:spacing w:after="80" w:line="290"/>
      </w:pPr>
      <w:r>
        <w:rPr>
          <w:rFonts w:ascii="Nunito Sans" w:cs="Nunito Sans" w:eastAsia="Nunito Sans" w:hAnsi="Nunito Sans"/>
          <w:color w:val="102E3B"/>
          <w:sz w:val="20"/>
          <w:szCs w:val="20"/>
        </w:rPr>
        <w:t xml:space="preserve">recoger lo mínimo y evitar los nombres en informes, fotos e historias siempre que sea posible;</w:t>
      </w:r>
    </w:p>
    <w:p>
      <w:pPr>
        <w:pStyle w:val="ListParagraph"/>
        <w:numPr>
          <w:ilvl w:val="0"/>
          <w:numId w:val="3"/>
        </w:numPr>
        <w:spacing w:after="80" w:line="290"/>
      </w:pPr>
      <w:r>
        <w:rPr>
          <w:rFonts w:ascii="Nunito Sans" w:cs="Nunito Sans" w:eastAsia="Nunito Sans" w:hAnsi="Nunito Sans"/>
          <w:color w:val="102E3B"/>
          <w:sz w:val="20"/>
          <w:szCs w:val="20"/>
        </w:rPr>
        <w:t xml:space="preserve">no publicar nunca información o imágenes que puedan identificar a una niña o un niño en riesgo o revelar dónde vive o a qué escuela va;</w:t>
      </w:r>
    </w:p>
    <w:p>
      <w:pPr>
        <w:pStyle w:val="ListParagraph"/>
        <w:numPr>
          <w:ilvl w:val="0"/>
          <w:numId w:val="3"/>
        </w:numPr>
        <w:spacing w:after="80" w:line="290"/>
      </w:pPr>
      <w:r>
        <w:rPr>
          <w:rFonts w:ascii="Nunito Sans" w:cs="Nunito Sans" w:eastAsia="Nunito Sans" w:hAnsi="Nunito Sans"/>
          <w:color w:val="102E3B"/>
          <w:sz w:val="20"/>
          <w:szCs w:val="20"/>
        </w:rPr>
        <w:t xml:space="preserve">seguir nuestra Política y Procedimiento de Salvaguarda, que establece cómo se registran y comparten las preocupaciones de protección infantil;</w:t>
      </w:r>
    </w:p>
    <w:p>
      <w:pPr>
        <w:pStyle w:val="ListParagraph"/>
        <w:numPr>
          <w:ilvl w:val="0"/>
          <w:numId w:val="3"/>
        </w:numPr>
        <w:spacing w:after="80" w:line="290"/>
      </w:pPr>
      <w:r>
        <w:rPr>
          <w:rFonts w:ascii="Nunito Sans" w:cs="Nunito Sans" w:eastAsia="Nunito Sans" w:hAnsi="Nunito Sans"/>
          <w:color w:val="102E3B"/>
          <w:sz w:val="20"/>
          <w:szCs w:val="20"/>
        </w:rPr>
        <w:t xml:space="preserve">completar una EIPD antes de cualquier actividad nueva que trate información de niñas y niños a gran escala o en línea.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EDAD DE CONSENTIMIENTO PARA LOS DATOS</w:t>
            </w:r>
          </w:p>
          <w:p>
            <w:pPr>
              <w:spacing w:after="120" w:before="0" w:line="300"/>
            </w:pPr>
            <w:r>
              <w:rPr>
                <w:rFonts w:ascii="Nunito Sans" w:cs="Nunito Sans" w:eastAsia="Nunito Sans" w:hAnsi="Nunito Sans"/>
                <w:color w:val="102E3B"/>
                <w:sz w:val="19"/>
                <w:szCs w:val="19"/>
              </w:rPr>
              <w:t xml:space="preserve">La edad a la que una niña o un niño puede consentir el uso de sus propios datos varía. Según el RGPD es de 16 años para los servicios en línea, y los países de la UE pueden reducirla hasta los 13; en el Reino Unido es de 13 años. La DPDP Act de la India considera niña o niño a toda persona menor de 18 años y exige un consentimiento parental verificable. La LGPD de Brasil exige el consentimiento específico de la madre o del padre cuando se usa el consentimiento respecto de menores de 12 años. Comprueba tu ley e indica la edad. Incluso cuando la ley permite que una niña o un niño dé su consentimiento, pídelo también a su madre, padre o tutor cuando la actividad implique información sensible o cualquier riesgo.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Información sobre distintos grupos de personas</w:t>
      </w:r>
    </w:p>
    <w:p>
      <w:pPr>
        <w:pStyle w:val="Heading3"/>
        <w:keepNext/>
        <w:spacing w:after="80" w:before="200"/>
      </w:pPr>
      <w:r>
        <w:rPr>
          <w:rFonts w:ascii="Nunito Sans" w:cs="Nunito Sans" w:eastAsia="Nunito Sans" w:hAnsi="Nunito Sans"/>
          <w:b/>
          <w:bCs/>
          <w:color w:val="16746E"/>
          <w:sz w:val="21"/>
          <w:szCs w:val="21"/>
        </w:rPr>
        <w:t xml:space="preserve">Las personas a las que servimos</w:t>
      </w:r>
    </w:p>
    <w:p>
      <w:pPr>
        <w:spacing w:after="120" w:before="0" w:line="300"/>
      </w:pPr>
      <w:r>
        <w:rPr>
          <w:rFonts w:ascii="Nunito Sans" w:cs="Nunito Sans" w:eastAsia="Nunito Sans" w:hAnsi="Nunito Sans"/>
          <w:color w:val="102E3B"/>
          <w:sz w:val="20"/>
          <w:szCs w:val="20"/>
        </w:rPr>
        <w:t xml:space="preserve">Suele ser la información más sensible que tenemos. Nos comprometemos a:</w:t>
      </w:r>
    </w:p>
    <w:p>
      <w:pPr>
        <w:pStyle w:val="ListParagraph"/>
        <w:numPr>
          <w:ilvl w:val="0"/>
          <w:numId w:val="3"/>
        </w:numPr>
        <w:spacing w:after="80" w:line="290"/>
      </w:pPr>
      <w:r>
        <w:rPr>
          <w:rFonts w:ascii="Nunito Sans" w:cs="Nunito Sans" w:eastAsia="Nunito Sans" w:hAnsi="Nunito Sans"/>
          <w:color w:val="102E3B"/>
          <w:sz w:val="20"/>
          <w:szCs w:val="20"/>
        </w:rPr>
        <w:t xml:space="preserve">explicar en el momento de la recogida, en un idioma y un formato que las personas entiendan, qué recogemos y por qué, y leerlo en voz alta cuando el nivel de alfabetización es bajo;</w:t>
      </w:r>
    </w:p>
    <w:p>
      <w:pPr>
        <w:pStyle w:val="ListParagraph"/>
        <w:numPr>
          <w:ilvl w:val="0"/>
          <w:numId w:val="3"/>
        </w:numPr>
        <w:spacing w:after="80" w:line="290"/>
      </w:pPr>
      <w:r>
        <w:rPr>
          <w:rFonts w:ascii="Nunito Sans" w:cs="Nunito Sans" w:eastAsia="Nunito Sans" w:hAnsi="Nunito Sans"/>
          <w:color w:val="102E3B"/>
          <w:sz w:val="20"/>
          <w:szCs w:val="20"/>
        </w:rPr>
        <w:t xml:space="preserve">usar datos anónimos o codificados en los informes a los financiadores, salvo que un financiador necesite nombres y se haya informado a la persona;</w:t>
      </w:r>
    </w:p>
    <w:p>
      <w:pPr>
        <w:pStyle w:val="ListParagraph"/>
        <w:numPr>
          <w:ilvl w:val="0"/>
          <w:numId w:val="3"/>
        </w:numPr>
        <w:spacing w:after="80" w:line="290"/>
      </w:pPr>
      <w:r>
        <w:rPr>
          <w:rFonts w:ascii="Nunito Sans" w:cs="Nunito Sans" w:eastAsia="Nunito Sans" w:hAnsi="Nunito Sans"/>
          <w:color w:val="102E3B"/>
          <w:sz w:val="20"/>
          <w:szCs w:val="20"/>
        </w:rPr>
        <w:t xml:space="preserve">recoger información para el seguimiento y la evaluación solo cuando vayamos a usarla, y dar preferencia a los totales y los porcentajes;</w:t>
      </w:r>
    </w:p>
    <w:p>
      <w:pPr>
        <w:pStyle w:val="ListParagraph"/>
        <w:numPr>
          <w:ilvl w:val="0"/>
          <w:numId w:val="3"/>
        </w:numPr>
        <w:spacing w:after="80" w:line="290"/>
      </w:pPr>
      <w:r>
        <w:rPr>
          <w:rFonts w:ascii="Nunito Sans" w:cs="Nunito Sans" w:eastAsia="Nunito Sans" w:hAnsi="Nunito Sans"/>
          <w:color w:val="102E3B"/>
          <w:sz w:val="20"/>
          <w:szCs w:val="20"/>
        </w:rPr>
        <w:t xml:space="preserve">no permitir nunca que una solicitud de un financiador, un socio o una autoridad prevalezca sobre la seguridad de las personas a las que servimos.</w:t>
      </w:r>
    </w:p>
    <w:p>
      <w:pPr>
        <w:pStyle w:val="Heading3"/>
        <w:keepNext/>
        <w:spacing w:after="80" w:before="200"/>
      </w:pPr>
      <w:r>
        <w:rPr>
          <w:rFonts w:ascii="Nunito Sans" w:cs="Nunito Sans" w:eastAsia="Nunito Sans" w:hAnsi="Nunito Sans"/>
          <w:b/>
          <w:bCs/>
          <w:color w:val="16746E"/>
          <w:sz w:val="21"/>
          <w:szCs w:val="21"/>
        </w:rPr>
        <w:t xml:space="preserve">Personal, personas voluntarias y personas candidatas</w:t>
      </w:r>
    </w:p>
    <w:p>
      <w:pPr>
        <w:spacing w:after="120" w:before="0" w:line="300"/>
      </w:pPr>
      <w:r>
        <w:rPr>
          <w:rFonts w:ascii="Nunito Sans" w:cs="Nunito Sans" w:eastAsia="Nunito Sans" w:hAnsi="Nunito Sans"/>
          <w:color w:val="102E3B"/>
          <w:sz w:val="20"/>
          <w:szCs w:val="20"/>
        </w:rPr>
        <w:t xml:space="preserve">Conservamos información sobre la selección, el contrato, la nómina, el desempeño, la salud y el contacto de emergencia de las personas de nuestro equipo. Solo la ven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y la persona responsable directa, según sea necesario.</w:t>
      </w:r>
    </w:p>
    <w:p>
      <w:pPr>
        <w:pStyle w:val="Heading3"/>
        <w:keepNext/>
        <w:spacing w:after="80" w:before="200"/>
      </w:pPr>
      <w:r>
        <w:rPr>
          <w:rFonts w:ascii="Nunito Sans" w:cs="Nunito Sans" w:eastAsia="Nunito Sans" w:hAnsi="Nunito Sans"/>
          <w:b/>
          <w:bCs/>
          <w:color w:val="16746E"/>
          <w:sz w:val="21"/>
          <w:szCs w:val="21"/>
        </w:rPr>
        <w:t xml:space="preserve">Donantes y simpatizantes</w:t>
      </w:r>
    </w:p>
    <w:p>
      <w:pPr>
        <w:spacing w:after="120" w:before="0" w:line="300"/>
      </w:pPr>
      <w:r>
        <w:rPr>
          <w:rFonts w:ascii="Nunito Sans" w:cs="Nunito Sans" w:eastAsia="Nunito Sans" w:hAnsi="Nunito Sans"/>
          <w:color w:val="102E3B"/>
          <w:sz w:val="20"/>
          <w:szCs w:val="20"/>
        </w:rPr>
        <w:t xml:space="preserve">Conservamos datos de contacto, historial de donaciones y preferencias. Solo enviamos mensajes de recaudación de fondos a las personas que lo han aceptado o, cuando la ley lo permite, a simpatizantes actuales que no se han dado de baja. Todos los mensajes incluyen una forma sencilla de darse de baja. Nunca compramos ni alquilamos listas de correo.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NORMAS SOBRE RECAUDACIÓN DE FONDOS Y MARKETING</w:t>
            </w:r>
          </w:p>
          <w:p>
            <w:pPr>
              <w:spacing w:after="120" w:before="0" w:line="300"/>
            </w:pPr>
            <w:r>
              <w:rPr>
                <w:rFonts w:ascii="Nunito Sans" w:cs="Nunito Sans" w:eastAsia="Nunito Sans" w:hAnsi="Nunito Sans"/>
                <w:color w:val="102E3B"/>
                <w:sz w:val="19"/>
                <w:szCs w:val="19"/>
              </w:rPr>
              <w:t xml:space="preserve">Los correos electrónicos y mensajes de texto de marketing suelen estar regulados por separado: en el Reino Unido, por las Privacy and Electronic Communications Regulations (PECR); en la UE, por las normas nacionales de ePrivacy; y en Sudáfrica, por el artículo 69 de la POPIA, que por lo general exige el consentimiento previo (opt-in) para el marketing directo electrónico. En el Reino Unido, desde el 5 de febrero de 2026 las organizaciones benéficas pueden enviar correos electrónicos o mensajes de texto a las personas que dieron sus datos al apoyar los fines de la organización o al mostrar interés en ellos, si les ofrecieron una forma sencilla de darse de baja (el llamado "charitable purpose soft opt-in"); consulta la guía de la ICO. En otros lugares, comprueba si existe un "soft opt-in". Si no recaudas fondos de particulares, acorta esta parte.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Avisos de privacidad y registros de consentimiento</w:t>
      </w:r>
    </w:p>
    <w:p>
      <w:pPr>
        <w:spacing w:after="120" w:before="0" w:line="300"/>
      </w:pPr>
      <w:r>
        <w:rPr>
          <w:rFonts w:ascii="Nunito Sans" w:cs="Nunito Sans" w:eastAsia="Nunito Sans" w:hAnsi="Nunito Sans"/>
          <w:color w:val="102E3B"/>
          <w:sz w:val="20"/>
          <w:szCs w:val="20"/>
        </w:rPr>
        <w:t xml:space="preserve">Informamos a las personas de lo que hacemos con su información cuando la recogemos. Nuestro Aviso de Privacidad explica quiénes somos, qué recogemos, para qué, con quién lo compartimos, cuánto tiempo lo conservamos y cuáles son los derechos de las personas. En el momento de la recogida damos una versión breve: en un formulario, en un cartel o en un texto que se lee en voz alta. La persona responsable de protección de datos mantiene un registro de los consentimientos: quién, cuándo, cómo, la redacción utilizada y cualquier retirada.</w:t>
      </w:r>
    </w:p>
    <w:p>
      <w:pPr>
        <w:pStyle w:val="Heading2"/>
        <w:keepNext/>
        <w:spacing w:after="120" w:before="280"/>
      </w:pPr>
      <w:r>
        <w:rPr>
          <w:rFonts w:ascii="DM Serif Display" w:cs="DM Serif Display" w:eastAsia="DM Serif Display" w:hAnsi="DM Serif Display"/>
          <w:color w:val="123C48"/>
          <w:sz w:val="28"/>
          <w:szCs w:val="28"/>
        </w:rPr>
        <w:t xml:space="preserve">7. Derechos de las personas</w:t>
      </w:r>
    </w:p>
    <w:p>
      <w:pPr>
        <w:spacing w:after="120" w:before="0" w:line="300"/>
      </w:pPr>
      <w:r>
        <w:rPr>
          <w:rFonts w:ascii="Nunito Sans" w:cs="Nunito Sans" w:eastAsia="Nunito Sans" w:hAnsi="Nunito Sans"/>
          <w:color w:val="102E3B"/>
          <w:sz w:val="20"/>
          <w:szCs w:val="20"/>
        </w:rPr>
        <w:t xml:space="preserve">Las personas tienen derechos sobre su información. Según la ley aplicable, pueden pedir:</w:t>
      </w:r>
    </w:p>
    <w:p>
      <w:pPr>
        <w:pStyle w:val="ListParagraph"/>
        <w:numPr>
          <w:ilvl w:val="0"/>
          <w:numId w:val="3"/>
        </w:numPr>
        <w:spacing w:after="80" w:line="290"/>
      </w:pPr>
      <w:r>
        <w:rPr>
          <w:rFonts w:ascii="Nunito Sans" w:cs="Nunito Sans" w:eastAsia="Nunito Sans" w:hAnsi="Nunito Sans"/>
          <w:b/>
          <w:bCs/>
          <w:color w:val="102E3B"/>
          <w:sz w:val="20"/>
          <w:szCs w:val="20"/>
        </w:rPr>
        <w:t xml:space="preserve">acceder</w:t>
      </w:r>
      <w:r>
        <w:rPr>
          <w:rFonts w:ascii="Nunito Sans" w:cs="Nunito Sans" w:eastAsia="Nunito Sans" w:hAnsi="Nunito Sans"/>
          <w:color w:val="102E3B"/>
          <w:sz w:val="20"/>
          <w:szCs w:val="20"/>
        </w:rPr>
        <w:t xml:space="preserve"> a una copia de la información que tenemos sobre ellas;</w:t>
      </w:r>
    </w:p>
    <w:p>
      <w:pPr>
        <w:pStyle w:val="ListParagraph"/>
        <w:numPr>
          <w:ilvl w:val="0"/>
          <w:numId w:val="3"/>
        </w:numPr>
        <w:spacing w:after="80" w:line="290"/>
      </w:pPr>
      <w:r>
        <w:rPr>
          <w:rFonts w:ascii="Nunito Sans" w:cs="Nunito Sans" w:eastAsia="Nunito Sans" w:hAnsi="Nunito Sans"/>
          <w:b/>
          <w:bCs/>
          <w:color w:val="102E3B"/>
          <w:sz w:val="20"/>
          <w:szCs w:val="20"/>
        </w:rPr>
        <w:t xml:space="preserve">rectificar</w:t>
      </w:r>
      <w:r>
        <w:rPr>
          <w:rFonts w:ascii="Nunito Sans" w:cs="Nunito Sans" w:eastAsia="Nunito Sans" w:hAnsi="Nunito Sans"/>
          <w:color w:val="102E3B"/>
          <w:sz w:val="20"/>
          <w:szCs w:val="20"/>
        </w:rPr>
        <w:t xml:space="preserve"> la información incorrecta o incompleta;</w:t>
      </w:r>
    </w:p>
    <w:p>
      <w:pPr>
        <w:pStyle w:val="ListParagraph"/>
        <w:numPr>
          <w:ilvl w:val="0"/>
          <w:numId w:val="3"/>
        </w:numPr>
        <w:spacing w:after="80" w:line="290"/>
      </w:pPr>
      <w:r>
        <w:rPr>
          <w:rFonts w:ascii="Nunito Sans" w:cs="Nunito Sans" w:eastAsia="Nunito Sans" w:hAnsi="Nunito Sans"/>
          <w:b/>
          <w:bCs/>
          <w:color w:val="102E3B"/>
          <w:sz w:val="20"/>
          <w:szCs w:val="20"/>
        </w:rPr>
        <w:t xml:space="preserve">suprimir</w:t>
      </w:r>
      <w:r>
        <w:rPr>
          <w:rFonts w:ascii="Nunito Sans" w:cs="Nunito Sans" w:eastAsia="Nunito Sans" w:hAnsi="Nunito Sans"/>
          <w:color w:val="102E3B"/>
          <w:sz w:val="20"/>
          <w:szCs w:val="20"/>
        </w:rPr>
        <w:t xml:space="preserve"> la información que ya no necesitamos o que no tenemos base legal para conservar;</w:t>
      </w:r>
    </w:p>
    <w:p>
      <w:pPr>
        <w:pStyle w:val="ListParagraph"/>
        <w:numPr>
          <w:ilvl w:val="0"/>
          <w:numId w:val="3"/>
        </w:numPr>
        <w:spacing w:after="80" w:line="290"/>
      </w:pPr>
      <w:r>
        <w:rPr>
          <w:rFonts w:ascii="Nunito Sans" w:cs="Nunito Sans" w:eastAsia="Nunito Sans" w:hAnsi="Nunito Sans"/>
          <w:b/>
          <w:bCs/>
          <w:color w:val="102E3B"/>
          <w:sz w:val="20"/>
          <w:szCs w:val="20"/>
        </w:rPr>
        <w:t xml:space="preserve">limitar</w:t>
      </w:r>
      <w:r>
        <w:rPr>
          <w:rFonts w:ascii="Nunito Sans" w:cs="Nunito Sans" w:eastAsia="Nunito Sans" w:hAnsi="Nunito Sans"/>
          <w:color w:val="102E3B"/>
          <w:sz w:val="20"/>
          <w:szCs w:val="20"/>
        </w:rPr>
        <w:t xml:space="preserve"> algunos usos u </w:t>
      </w:r>
      <w:r>
        <w:rPr>
          <w:rFonts w:ascii="Nunito Sans" w:cs="Nunito Sans" w:eastAsia="Nunito Sans" w:hAnsi="Nunito Sans"/>
          <w:b/>
          <w:bCs/>
          <w:color w:val="102E3B"/>
          <w:sz w:val="20"/>
          <w:szCs w:val="20"/>
        </w:rPr>
        <w:t xml:space="preserve">oponerse</w:t>
      </w:r>
      <w:r>
        <w:rPr>
          <w:rFonts w:ascii="Nunito Sans" w:cs="Nunito Sans" w:eastAsia="Nunito Sans" w:hAnsi="Nunito Sans"/>
          <w:color w:val="102E3B"/>
          <w:sz w:val="20"/>
          <w:szCs w:val="20"/>
        </w:rPr>
        <w:t xml:space="preserve"> a ellos, incluido el marketing directo, que siempre dejamos de hacer;</w:t>
      </w:r>
    </w:p>
    <w:p>
      <w:pPr>
        <w:pStyle w:val="ListParagraph"/>
        <w:numPr>
          <w:ilvl w:val="0"/>
          <w:numId w:val="3"/>
        </w:numPr>
        <w:spacing w:after="80" w:line="290"/>
      </w:pPr>
      <w:r>
        <w:rPr>
          <w:rFonts w:ascii="Nunito Sans" w:cs="Nunito Sans" w:eastAsia="Nunito Sans" w:hAnsi="Nunito Sans"/>
          <w:b/>
          <w:bCs/>
          <w:color w:val="102E3B"/>
          <w:sz w:val="20"/>
          <w:szCs w:val="20"/>
        </w:rPr>
        <w:t xml:space="preserve">recibir</w:t>
      </w:r>
      <w:r>
        <w:rPr>
          <w:rFonts w:ascii="Nunito Sans" w:cs="Nunito Sans" w:eastAsia="Nunito Sans" w:hAnsi="Nunito Sans"/>
          <w:color w:val="102E3B"/>
          <w:sz w:val="20"/>
          <w:szCs w:val="20"/>
        </w:rPr>
        <w:t xml:space="preserve"> en un formato portable la información que nos dieron;</w:t>
      </w:r>
    </w:p>
    <w:p>
      <w:pPr>
        <w:pStyle w:val="ListParagraph"/>
        <w:numPr>
          <w:ilvl w:val="0"/>
          <w:numId w:val="3"/>
        </w:numPr>
        <w:spacing w:after="80" w:line="290"/>
      </w:pPr>
      <w:r>
        <w:rPr>
          <w:rFonts w:ascii="Nunito Sans" w:cs="Nunito Sans" w:eastAsia="Nunito Sans" w:hAnsi="Nunito Sans"/>
          <w:b/>
          <w:bCs/>
          <w:color w:val="102E3B"/>
          <w:sz w:val="20"/>
          <w:szCs w:val="20"/>
        </w:rPr>
        <w:t xml:space="preserve">retirar su consentimiento</w:t>
      </w:r>
      <w:r>
        <w:rPr>
          <w:rFonts w:ascii="Nunito Sans" w:cs="Nunito Sans" w:eastAsia="Nunito Sans" w:hAnsi="Nunito Sans"/>
          <w:color w:val="102E3B"/>
          <w:sz w:val="20"/>
          <w:szCs w:val="20"/>
        </w:rPr>
        <w:t xml:space="preserve"> en cualquier momento, sin que ello afecte a lo que hicimos antes;</w:t>
      </w:r>
    </w:p>
    <w:p>
      <w:pPr>
        <w:pStyle w:val="ListParagraph"/>
        <w:numPr>
          <w:ilvl w:val="0"/>
          <w:numId w:val="3"/>
        </w:numPr>
        <w:spacing w:after="80" w:line="290"/>
      </w:pPr>
      <w:r>
        <w:rPr>
          <w:rFonts w:ascii="Nunito Sans" w:cs="Nunito Sans" w:eastAsia="Nunito Sans" w:hAnsi="Nunito Sans"/>
          <w:color w:val="102E3B"/>
          <w:sz w:val="20"/>
          <w:szCs w:val="20"/>
        </w:rPr>
        <w:t xml:space="preserve">pedir una </w:t>
      </w:r>
      <w:r>
        <w:rPr>
          <w:rFonts w:ascii="Nunito Sans" w:cs="Nunito Sans" w:eastAsia="Nunito Sans" w:hAnsi="Nunito Sans"/>
          <w:b/>
          <w:bCs/>
          <w:color w:val="102E3B"/>
          <w:sz w:val="20"/>
          <w:szCs w:val="20"/>
        </w:rPr>
        <w:t xml:space="preserve">revisión humana</w:t>
      </w:r>
      <w:r>
        <w:rPr>
          <w:rFonts w:ascii="Nunito Sans" w:cs="Nunito Sans" w:eastAsia="Nunito Sans" w:hAnsi="Nunito Sans"/>
          <w:color w:val="102E3B"/>
          <w:sz w:val="20"/>
          <w:szCs w:val="20"/>
        </w:rPr>
        <w:t xml:space="preserve"> de cualquier decisión sobre ellas tomada únicamente por medios automatizados;</w:t>
      </w:r>
    </w:p>
    <w:p>
      <w:pPr>
        <w:pStyle w:val="ListParagraph"/>
        <w:numPr>
          <w:ilvl w:val="0"/>
          <w:numId w:val="3"/>
        </w:numPr>
        <w:spacing w:after="80" w:line="290"/>
      </w:pPr>
      <w:r>
        <w:rPr>
          <w:rFonts w:ascii="Nunito Sans" w:cs="Nunito Sans" w:eastAsia="Nunito Sans" w:hAnsi="Nunito Sans"/>
          <w:b/>
          <w:bCs/>
          <w:color w:val="102E3B"/>
          <w:sz w:val="20"/>
          <w:szCs w:val="20"/>
        </w:rPr>
        <w:t xml:space="preserve">presentar una reclamación</w:t>
      </w:r>
      <w:r>
        <w:rPr>
          <w:rFonts w:ascii="Nunito Sans" w:cs="Nunito Sans" w:eastAsia="Nunito Sans" w:hAnsi="Nunito Sans"/>
          <w:color w:val="102E3B"/>
          <w:sz w:val="20"/>
          <w:szCs w:val="20"/>
        </w:rPr>
        <w:t xml:space="preserve"> ante la autoridad de protección de datos.</w:t>
      </w:r>
    </w:p>
    <w:p>
      <w:pPr>
        <w:spacing w:after="120" w:before="0" w:line="300"/>
      </w:pPr>
      <w:r>
        <w:rPr>
          <w:rFonts w:ascii="Nunito Sans" w:cs="Nunito Sans" w:eastAsia="Nunito Sans" w:hAnsi="Nunito Sans"/>
          <w:color w:val="102E3B"/>
          <w:sz w:val="20"/>
          <w:szCs w:val="20"/>
        </w:rPr>
        <w:t xml:space="preserve">Una solicitud puede presentarse de cualquier forma, a cualquier persona de nuestro equipo, sin necesidad de términos legales. Quien la recibe la transmite a la persona responsable de protección de datos en un plazo de </w:t>
      </w:r>
      <w:r>
        <w:rPr>
          <w:rFonts w:ascii="Nunito Sans" w:cs="Nunito Sans" w:eastAsia="Nunito Sans" w:hAnsi="Nunito Sans"/>
          <w:color w:val="102E3B"/>
          <w:sz w:val="20"/>
          <w:szCs w:val="20"/>
          <w:highlight w:val="yellow"/>
        </w:rPr>
        <w:t xml:space="preserve">[1 día hábil]</w:t>
      </w:r>
      <w:r>
        <w:rPr>
          <w:rFonts w:ascii="Nunito Sans" w:cs="Nunito Sans" w:eastAsia="Nunito Sans" w:hAnsi="Nunito Sans"/>
          <w:color w:val="102E3B"/>
          <w:sz w:val="20"/>
          <w:szCs w:val="20"/>
        </w:rPr>
        <w:t xml:space="preserve">. Confirmamos la identidad de forma proporcionada, respondemos gratuitamente en un plazo de </w:t>
      </w:r>
      <w:r>
        <w:rPr>
          <w:rFonts w:ascii="Nunito Sans" w:cs="Nunito Sans" w:eastAsia="Nunito Sans" w:hAnsi="Nunito Sans"/>
          <w:color w:val="102E3B"/>
          <w:sz w:val="20"/>
          <w:szCs w:val="20"/>
          <w:highlight w:val="yellow"/>
        </w:rPr>
        <w:t xml:space="preserve">[un mes]</w:t>
      </w:r>
      <w:r>
        <w:rPr>
          <w:rFonts w:ascii="Nunito Sans" w:cs="Nunito Sans" w:eastAsia="Nunito Sans" w:hAnsi="Nunito Sans"/>
          <w:color w:val="102E3B"/>
          <w:sz w:val="20"/>
          <w:szCs w:val="20"/>
        </w:rPr>
        <w:t xml:space="preserve"> y registramos cada solicitud. Nuestro Procedimiento de Solicitudes de Derechos sobre los Datos establece cada paso.</w:t>
      </w:r>
    </w:p>
    <w:p>
      <w:pPr>
        <w:pStyle w:val="Heading2"/>
        <w:keepNext/>
        <w:spacing w:after="120" w:before="280"/>
      </w:pPr>
      <w:r>
        <w:rPr>
          <w:rFonts w:ascii="DM Serif Display" w:cs="DM Serif Display" w:eastAsia="DM Serif Display" w:hAnsi="DM Serif Display"/>
          <w:color w:val="123C48"/>
          <w:sz w:val="28"/>
          <w:szCs w:val="28"/>
        </w:rPr>
        <w:t xml:space="preserve">8. Compartir información con socios, financiadores y otras partes</w:t>
      </w:r>
    </w:p>
    <w:p>
      <w:pPr>
        <w:spacing w:after="120" w:before="0" w:line="300"/>
      </w:pPr>
      <w:r>
        <w:rPr>
          <w:rFonts w:ascii="Nunito Sans" w:cs="Nunito Sans" w:eastAsia="Nunito Sans" w:hAnsi="Nunito Sans"/>
          <w:color w:val="102E3B"/>
          <w:sz w:val="20"/>
          <w:szCs w:val="20"/>
        </w:rPr>
        <w:t xml:space="preserve">Solo compartimos información personal cuando es necesario, lícito y seguro, y solo lo mínimo necesario.</w:t>
      </w:r>
    </w:p>
    <w:p>
      <w:pPr>
        <w:pStyle w:val="ListParagraph"/>
        <w:numPr>
          <w:ilvl w:val="0"/>
          <w:numId w:val="3"/>
        </w:numPr>
        <w:spacing w:after="80" w:line="290"/>
      </w:pPr>
      <w:r>
        <w:rPr>
          <w:rFonts w:ascii="Nunito Sans" w:cs="Nunito Sans" w:eastAsia="Nunito Sans" w:hAnsi="Nunito Sans"/>
          <w:b/>
          <w:bCs/>
          <w:color w:val="102E3B"/>
          <w:sz w:val="20"/>
          <w:szCs w:val="20"/>
        </w:rPr>
        <w:t xml:space="preserve">Socios.</w:t>
      </w:r>
      <w:r>
        <w:rPr>
          <w:rFonts w:ascii="Nunito Sans" w:cs="Nunito Sans" w:eastAsia="Nunito Sans" w:hAnsi="Nunito Sans"/>
          <w:color w:val="102E3B"/>
          <w:sz w:val="20"/>
          <w:szCs w:val="20"/>
        </w:rPr>
        <w:t xml:space="preserve"> Antes de compartir información personal con un socio de forma habitual, firmamos un Acuerdo de Intercambio de Datos: qué se comparte, para qué, cómo se protege, cuánto tiempo se conserva y qué ocurre en caso de brecha. Para compartir información puntual sobre una persona, usamos el Formulario de Consentimiento para Compartir Información o registramos otra base legal.</w:t>
      </w:r>
    </w:p>
    <w:p>
      <w:pPr>
        <w:pStyle w:val="ListParagraph"/>
        <w:numPr>
          <w:ilvl w:val="0"/>
          <w:numId w:val="3"/>
        </w:numPr>
        <w:spacing w:after="80" w:line="290"/>
      </w:pPr>
      <w:r>
        <w:rPr>
          <w:rFonts w:ascii="Nunito Sans" w:cs="Nunito Sans" w:eastAsia="Nunito Sans" w:hAnsi="Nunito Sans"/>
          <w:b/>
          <w:bCs/>
          <w:color w:val="102E3B"/>
          <w:sz w:val="20"/>
          <w:szCs w:val="20"/>
        </w:rPr>
        <w:t xml:space="preserve">Financiadores.</w:t>
      </w:r>
      <w:r>
        <w:rPr>
          <w:rFonts w:ascii="Nunito Sans" w:cs="Nunito Sans" w:eastAsia="Nunito Sans" w:hAnsi="Nunito Sans"/>
          <w:color w:val="102E3B"/>
          <w:sz w:val="20"/>
          <w:szCs w:val="20"/>
        </w:rPr>
        <w:t xml:space="preserve"> Por defecto, enviamos totales y casos de estudio anonimizados. Si un financiador exige nombres, por ejemplo para una auditoría, revisamos el acuerdo de subvención, informamos a las personas afectadas y usamos un canal seguro.</w:t>
      </w:r>
    </w:p>
    <w:p>
      <w:pPr>
        <w:pStyle w:val="ListParagraph"/>
        <w:numPr>
          <w:ilvl w:val="0"/>
          <w:numId w:val="3"/>
        </w:numPr>
        <w:spacing w:after="80" w:line="290"/>
      </w:pPr>
      <w:r>
        <w:rPr>
          <w:rFonts w:ascii="Nunito Sans" w:cs="Nunito Sans" w:eastAsia="Nunito Sans" w:hAnsi="Nunito Sans"/>
          <w:b/>
          <w:bCs/>
          <w:color w:val="102E3B"/>
          <w:sz w:val="20"/>
          <w:szCs w:val="20"/>
        </w:rPr>
        <w:t xml:space="preserve">Autoridades.</w:t>
      </w:r>
      <w:r>
        <w:rPr>
          <w:rFonts w:ascii="Nunito Sans" w:cs="Nunito Sans" w:eastAsia="Nunito Sans" w:hAnsi="Nunito Sans"/>
          <w:color w:val="102E3B"/>
          <w:sz w:val="20"/>
          <w:szCs w:val="20"/>
        </w:rPr>
        <w:t xml:space="preserve"> Solo cuando la ley lo exige o alguien está en peligro inmediato. La persona responsable de protección de datos decide, registra el motivo y comparte lo mínimo. Si una solicitud puede poner a personas en riesgo, pedimos primero asesoramiento jurídico cuando hay tiempo.</w:t>
      </w:r>
    </w:p>
    <w:p>
      <w:pPr>
        <w:pStyle w:val="ListParagraph"/>
        <w:numPr>
          <w:ilvl w:val="0"/>
          <w:numId w:val="3"/>
        </w:numPr>
        <w:spacing w:after="80" w:line="290"/>
      </w:pPr>
      <w:r>
        <w:rPr>
          <w:rFonts w:ascii="Nunito Sans" w:cs="Nunito Sans" w:eastAsia="Nunito Sans" w:hAnsi="Nunito Sans"/>
          <w:b/>
          <w:bCs/>
          <w:color w:val="102E3B"/>
          <w:sz w:val="20"/>
          <w:szCs w:val="20"/>
        </w:rPr>
        <w:t xml:space="preserve">Emergencias.</w:t>
      </w:r>
      <w:r>
        <w:rPr>
          <w:rFonts w:ascii="Nunito Sans" w:cs="Nunito Sans" w:eastAsia="Nunito Sans" w:hAnsi="Nunito Sans"/>
          <w:color w:val="102E3B"/>
          <w:sz w:val="20"/>
          <w:szCs w:val="20"/>
        </w:rPr>
        <w:t xml:space="preserve"> Si una vida está en riesgo, comparta lo necesario e informe después a la persona responsable de protección de datos.</w:t>
      </w:r>
    </w:p>
    <w:p>
      <w:pPr>
        <w:pStyle w:val="Heading2"/>
        <w:keepNext/>
        <w:spacing w:after="120" w:before="280"/>
      </w:pPr>
      <w:r>
        <w:rPr>
          <w:rFonts w:ascii="DM Serif Display" w:cs="DM Serif Display" w:eastAsia="DM Serif Display" w:hAnsi="DM Serif Display"/>
          <w:color w:val="123C48"/>
          <w:sz w:val="28"/>
          <w:szCs w:val="28"/>
        </w:rPr>
        <w:t xml:space="preserve">9. Encargados del tratamiento y servicios en la nube</w:t>
      </w:r>
    </w:p>
    <w:p>
      <w:pPr>
        <w:spacing w:after="120" w:before="0" w:line="300"/>
      </w:pPr>
      <w:r>
        <w:rPr>
          <w:rFonts w:ascii="Nunito Sans" w:cs="Nunito Sans" w:eastAsia="Nunito Sans" w:hAnsi="Nunito Sans"/>
          <w:color w:val="102E3B"/>
          <w:sz w:val="20"/>
          <w:szCs w:val="20"/>
        </w:rPr>
        <w:t xml:space="preserve">Somos el </w:t>
      </w:r>
      <w:r>
        <w:rPr>
          <w:rFonts w:ascii="Nunito Sans" w:cs="Nunito Sans" w:eastAsia="Nunito Sans" w:hAnsi="Nunito Sans"/>
          <w:b/>
          <w:bCs/>
          <w:color w:val="102E3B"/>
          <w:sz w:val="20"/>
          <w:szCs w:val="20"/>
        </w:rPr>
        <w:t xml:space="preserve">responsable del tratamiento</w:t>
      </w:r>
      <w:r>
        <w:rPr>
          <w:rFonts w:ascii="Nunito Sans" w:cs="Nunito Sans" w:eastAsia="Nunito Sans" w:hAnsi="Nunito Sans"/>
          <w:color w:val="102E3B"/>
          <w:sz w:val="20"/>
          <w:szCs w:val="20"/>
        </w:rPr>
        <w:t xml:space="preserve"> de nuestras propias actividades: decidimos por qué y cómo se usa la información personal. Un </w:t>
      </w:r>
      <w:r>
        <w:rPr>
          <w:rFonts w:ascii="Nunito Sans" w:cs="Nunito Sans" w:eastAsia="Nunito Sans" w:hAnsi="Nunito Sans"/>
          <w:b/>
          <w:bCs/>
          <w:color w:val="102E3B"/>
          <w:sz w:val="20"/>
          <w:szCs w:val="20"/>
        </w:rPr>
        <w:t xml:space="preserve">encargado del tratamiento</w:t>
      </w:r>
      <w:r>
        <w:rPr>
          <w:rFonts w:ascii="Nunito Sans" w:cs="Nunito Sans" w:eastAsia="Nunito Sans" w:hAnsi="Nunito Sans"/>
          <w:color w:val="102E3B"/>
          <w:sz w:val="20"/>
          <w:szCs w:val="20"/>
        </w:rPr>
        <w:t xml:space="preserve"> es un proveedor que la trata únicamente siguiendo nuestras instrucciones. Muchos encargados trabajan para nosotros: correo electrónico, unidades en la nube, aplicaciones de mensajería, herramientas de encuestas, programas de contabilidad y nóminas, sistemas de gestión de relaciones con los contactos (CRM) y servicios de alojamiento web. Antes de usar un proveedor nuevo que vaya a conservar información personal, la persona responsable de protección de datos:</w:t>
      </w:r>
    </w:p>
    <w:p>
      <w:pPr>
        <w:pStyle w:val="ListParagraph"/>
        <w:numPr>
          <w:ilvl w:val="0"/>
          <w:numId w:val="5"/>
        </w:numPr>
        <w:spacing w:after="80" w:line="290"/>
      </w:pPr>
      <w:r>
        <w:rPr>
          <w:rFonts w:ascii="Nunito Sans" w:cs="Nunito Sans" w:eastAsia="Nunito Sans" w:hAnsi="Nunito Sans"/>
          <w:color w:val="102E3B"/>
          <w:sz w:val="20"/>
          <w:szCs w:val="20"/>
        </w:rPr>
        <w:t xml:space="preserve">comprueba que tiene una seguridad adecuada, como cifrado y verificación en varios pasos;</w:t>
      </w:r>
    </w:p>
    <w:p>
      <w:pPr>
        <w:pStyle w:val="ListParagraph"/>
        <w:numPr>
          <w:ilvl w:val="0"/>
          <w:numId w:val="5"/>
        </w:numPr>
        <w:spacing w:after="80" w:line="290"/>
      </w:pPr>
      <w:r>
        <w:rPr>
          <w:rFonts w:ascii="Nunito Sans" w:cs="Nunito Sans" w:eastAsia="Nunito Sans" w:hAnsi="Nunito Sans"/>
          <w:color w:val="102E3B"/>
          <w:sz w:val="20"/>
          <w:szCs w:val="20"/>
        </w:rPr>
        <w:t xml:space="preserve">se asegura de que existe un acuerdo de encargo del tratamiento (a menudo incluido en las condiciones del proveedor) que limita el uso de nuestros datos a nuestras instrucciones;</w:t>
      </w:r>
    </w:p>
    <w:p>
      <w:pPr>
        <w:pStyle w:val="ListParagraph"/>
        <w:numPr>
          <w:ilvl w:val="0"/>
          <w:numId w:val="5"/>
        </w:numPr>
        <w:spacing w:after="80" w:line="290"/>
      </w:pPr>
      <w:r>
        <w:rPr>
          <w:rFonts w:ascii="Nunito Sans" w:cs="Nunito Sans" w:eastAsia="Nunito Sans" w:hAnsi="Nunito Sans"/>
          <w:color w:val="102E3B"/>
          <w:sz w:val="20"/>
          <w:szCs w:val="20"/>
        </w:rPr>
        <w:t xml:space="preserve">registra dónde almacena los datos y qué garantía de transferencia se aplica (sección 10);</w:t>
      </w:r>
    </w:p>
    <w:p>
      <w:pPr>
        <w:pStyle w:val="ListParagraph"/>
        <w:numPr>
          <w:ilvl w:val="0"/>
          <w:numId w:val="5"/>
        </w:numPr>
        <w:spacing w:after="80" w:line="290"/>
      </w:pPr>
      <w:r>
        <w:rPr>
          <w:rFonts w:ascii="Nunito Sans" w:cs="Nunito Sans" w:eastAsia="Nunito Sans" w:hAnsi="Nunito Sans"/>
          <w:color w:val="102E3B"/>
          <w:sz w:val="20"/>
          <w:szCs w:val="20"/>
        </w:rPr>
        <w:t xml:space="preserve">comprueba si usa nuestros datos para entrenar sus propios modelos de IA, y desactiva esta opción cuando es posible;</w:t>
      </w:r>
    </w:p>
    <w:p>
      <w:pPr>
        <w:pStyle w:val="ListParagraph"/>
        <w:numPr>
          <w:ilvl w:val="0"/>
          <w:numId w:val="5"/>
        </w:numPr>
        <w:spacing w:after="80" w:line="290"/>
      </w:pPr>
      <w:r>
        <w:rPr>
          <w:rFonts w:ascii="Nunito Sans" w:cs="Nunito Sans" w:eastAsia="Nunito Sans" w:hAnsi="Nunito Sans"/>
          <w:color w:val="102E3B"/>
          <w:sz w:val="20"/>
          <w:szCs w:val="20"/>
        </w:rPr>
        <w:t xml:space="preserve">lo añade a la lista de encargados del tratamiento del Anexo B.</w:t>
      </w:r>
    </w:p>
    <w:p>
      <w:pPr>
        <w:spacing w:after="120" w:before="0" w:line="300"/>
      </w:pPr>
      <w:r>
        <w:rPr>
          <w:rFonts w:ascii="Nunito Sans" w:cs="Nunito Sans" w:eastAsia="Nunito Sans" w:hAnsi="Nunito Sans"/>
          <w:color w:val="102E3B"/>
          <w:sz w:val="20"/>
          <w:szCs w:val="20"/>
        </w:rPr>
        <w:t xml:space="preserve">Usamos cuentas de la organización, no personales, para cualquier herramienta que contenga información personal. Las versiones gratuitas para consumidores suelen ofrecer una protección más débil, así que revisamos antes sus condiciones.</w:t>
      </w:r>
    </w:p>
    <w:p>
      <w:pPr>
        <w:pStyle w:val="Heading2"/>
        <w:keepNext/>
        <w:spacing w:after="120" w:before="280"/>
      </w:pPr>
      <w:r>
        <w:rPr>
          <w:rFonts w:ascii="DM Serif Display" w:cs="DM Serif Display" w:eastAsia="DM Serif Display" w:hAnsi="DM Serif Display"/>
          <w:color w:val="123C48"/>
          <w:sz w:val="28"/>
          <w:szCs w:val="28"/>
        </w:rPr>
        <w:t xml:space="preserve">10. Transferencias internacionales</w:t>
      </w:r>
    </w:p>
    <w:p>
      <w:pPr>
        <w:spacing w:after="120" w:before="0" w:line="300"/>
      </w:pPr>
      <w:r>
        <w:rPr>
          <w:rFonts w:ascii="Nunito Sans" w:cs="Nunito Sans" w:eastAsia="Nunito Sans" w:hAnsi="Nunito Sans"/>
          <w:color w:val="102E3B"/>
          <w:sz w:val="20"/>
          <w:szCs w:val="20"/>
        </w:rPr>
        <w:t xml:space="preserve">La información personal a menudo sale del país sin que nadie lo note. Las unidades en la nube, el correo electrónico, las herramientas de encuestas y las aplicaciones de mensajería pueden almacenar datos en servidores en el extranjero. Enviar por correo electrónico una hoja de cálculo a un socio de otro país también es una transferencia. Muchas leyes solo permiten las transferencias con garantías, así que antes de usar un proveedor de este tipo o de enviar datos al extranjero, comprobamos que se cumple uno de estos supuestos:</w:t>
      </w:r>
    </w:p>
    <w:p>
      <w:pPr>
        <w:pStyle w:val="ListParagraph"/>
        <w:numPr>
          <w:ilvl w:val="0"/>
          <w:numId w:val="3"/>
        </w:numPr>
        <w:spacing w:after="80" w:line="290"/>
      </w:pPr>
      <w:r>
        <w:rPr>
          <w:rFonts w:ascii="Nunito Sans" w:cs="Nunito Sans" w:eastAsia="Nunito Sans" w:hAnsi="Nunito Sans"/>
          <w:color w:val="102E3B"/>
          <w:sz w:val="20"/>
          <w:szCs w:val="20"/>
        </w:rPr>
        <w:t xml:space="preserve">nuestra autoridad de control reconoce que el país de destino ofrece una protección adecuada;</w:t>
      </w:r>
    </w:p>
    <w:p>
      <w:pPr>
        <w:pStyle w:val="ListParagraph"/>
        <w:numPr>
          <w:ilvl w:val="0"/>
          <w:numId w:val="3"/>
        </w:numPr>
        <w:spacing w:after="80" w:line="290"/>
      </w:pPr>
      <w:r>
        <w:rPr>
          <w:rFonts w:ascii="Nunito Sans" w:cs="Nunito Sans" w:eastAsia="Nunito Sans" w:hAnsi="Nunito Sans"/>
          <w:color w:val="102E3B"/>
          <w:sz w:val="20"/>
          <w:szCs w:val="20"/>
        </w:rPr>
        <w:t xml:space="preserve">el proveedor o el destinatario ha firmado cláusulas contractuales tipo u otra garantía aprobada;</w:t>
      </w:r>
    </w:p>
    <w:p>
      <w:pPr>
        <w:pStyle w:val="ListParagraph"/>
        <w:numPr>
          <w:ilvl w:val="0"/>
          <w:numId w:val="3"/>
        </w:numPr>
        <w:spacing w:after="80" w:line="290"/>
      </w:pPr>
      <w:r>
        <w:rPr>
          <w:rFonts w:ascii="Nunito Sans" w:cs="Nunito Sans" w:eastAsia="Nunito Sans" w:hAnsi="Nunito Sans"/>
          <w:color w:val="102E3B"/>
          <w:sz w:val="20"/>
          <w:szCs w:val="20"/>
        </w:rPr>
        <w:t xml:space="preserve">la persona ha dado su consentimiento informado, en el caso de transferencias ocasionales;</w:t>
      </w:r>
    </w:p>
    <w:p>
      <w:pPr>
        <w:pStyle w:val="ListParagraph"/>
        <w:numPr>
          <w:ilvl w:val="0"/>
          <w:numId w:val="3"/>
        </w:numPr>
        <w:spacing w:after="80" w:line="290"/>
      </w:pPr>
      <w:r>
        <w:rPr>
          <w:rFonts w:ascii="Nunito Sans" w:cs="Nunito Sans" w:eastAsia="Nunito Sans" w:hAnsi="Nunito Sans"/>
          <w:color w:val="102E3B"/>
          <w:sz w:val="20"/>
          <w:szCs w:val="20"/>
        </w:rPr>
        <w:t xml:space="preserve">se aplica otra excepción prevista en nuestra ley, registrada en el Anexo 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TRANSFERENCIAS INTERNACIONALES</w:t>
            </w:r>
          </w:p>
          <w:p>
            <w:pPr>
              <w:spacing w:after="120" w:before="0" w:line="300"/>
            </w:pPr>
            <w:r>
              <w:rPr>
                <w:rFonts w:ascii="Nunito Sans" w:cs="Nunito Sans" w:eastAsia="Nunito Sans" w:hAnsi="Nunito Sans"/>
                <w:color w:val="102E3B"/>
                <w:sz w:val="19"/>
                <w:szCs w:val="19"/>
              </w:rPr>
              <w:t xml:space="preserve">Comprueba las normas sobre transferencias de tu ley. Según el RGPD, las transferencias requieren una decisión de adecuación (en el caso de Estados Unidos, esta cubre a las empresas certificadas en el Marco de Privacidad de Datos UE-EE. UU.), cláusulas contractuales tipo u otra garantía. Otras leyes tienen sus propias normas: algunas exigen la aprobación de la autoridad de control o el consentimiento de la persona, y unas pocas exigen que determinados datos se almacenen en el país. Si tu equipo usa una aplicación de mensajería para compartir información de participantes, comprueba dónde almacena los mensajes y las copias de seguridad, y traslada el trabajo con casos sensibles a una herramienta aprobada.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11. Seguridad</w:t>
      </w:r>
    </w:p>
    <w:p>
      <w:pPr>
        <w:spacing w:after="120" w:before="0" w:line="300"/>
      </w:pPr>
      <w:r>
        <w:rPr>
          <w:rFonts w:ascii="Nunito Sans" w:cs="Nunito Sans" w:eastAsia="Nunito Sans" w:hAnsi="Nunito Sans"/>
          <w:color w:val="102E3B"/>
          <w:sz w:val="20"/>
          <w:szCs w:val="20"/>
        </w:rPr>
        <w:t xml:space="preserve">Protegemos la información personal en proporción al daño que causaría su pérdida. Nuestra Política de TI y Seguridad de la Información establece los detalles. Lo básico:</w:t>
      </w:r>
    </w:p>
    <w:p>
      <w:pPr>
        <w:pStyle w:val="ListParagraph"/>
        <w:numPr>
          <w:ilvl w:val="0"/>
          <w:numId w:val="3"/>
        </w:numPr>
        <w:spacing w:after="80" w:line="290"/>
      </w:pPr>
      <w:r>
        <w:rPr>
          <w:rFonts w:ascii="Nunito Sans" w:cs="Nunito Sans" w:eastAsia="Nunito Sans" w:hAnsi="Nunito Sans"/>
          <w:b/>
          <w:bCs/>
          <w:color w:val="102E3B"/>
          <w:sz w:val="20"/>
          <w:szCs w:val="20"/>
        </w:rPr>
        <w:t xml:space="preserve">Cuentas.</w:t>
      </w:r>
      <w:r>
        <w:rPr>
          <w:rFonts w:ascii="Nunito Sans" w:cs="Nunito Sans" w:eastAsia="Nunito Sans" w:hAnsi="Nunito Sans"/>
          <w:color w:val="102E3B"/>
          <w:sz w:val="20"/>
          <w:szCs w:val="20"/>
        </w:rPr>
        <w:t xml:space="preserve"> Solo cuentas de la organización, un gestor de contraseñas, contraseñas únicas y verificación en varios pasos en el correo electrónico y en todos los sistemas que contienen información personal.</w:t>
      </w:r>
    </w:p>
    <w:p>
      <w:pPr>
        <w:pStyle w:val="ListParagraph"/>
        <w:numPr>
          <w:ilvl w:val="0"/>
          <w:numId w:val="3"/>
        </w:numPr>
        <w:spacing w:after="80" w:line="290"/>
      </w:pPr>
      <w:r>
        <w:rPr>
          <w:rFonts w:ascii="Nunito Sans" w:cs="Nunito Sans" w:eastAsia="Nunito Sans" w:hAnsi="Nunito Sans"/>
          <w:b/>
          <w:bCs/>
          <w:color w:val="102E3B"/>
          <w:sz w:val="20"/>
          <w:szCs w:val="20"/>
        </w:rPr>
        <w:t xml:space="preserve">Acceso.</w:t>
      </w:r>
      <w:r>
        <w:rPr>
          <w:rFonts w:ascii="Nunito Sans" w:cs="Nunito Sans" w:eastAsia="Nunito Sans" w:hAnsi="Nunito Sans"/>
          <w:color w:val="102E3B"/>
          <w:sz w:val="20"/>
          <w:szCs w:val="20"/>
        </w:rPr>
        <w:t xml:space="preserve"> Cada persona ve solo lo que su tarea necesita. Revisamos los accesos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y los retiramos el mismo día en que alguien se va.</w:t>
      </w:r>
    </w:p>
    <w:p>
      <w:pPr>
        <w:pStyle w:val="ListParagraph"/>
        <w:numPr>
          <w:ilvl w:val="0"/>
          <w:numId w:val="3"/>
        </w:numPr>
        <w:spacing w:after="80" w:line="290"/>
      </w:pPr>
      <w:r>
        <w:rPr>
          <w:rFonts w:ascii="Nunito Sans" w:cs="Nunito Sans" w:eastAsia="Nunito Sans" w:hAnsi="Nunito Sans"/>
          <w:b/>
          <w:bCs/>
          <w:color w:val="102E3B"/>
          <w:sz w:val="20"/>
          <w:szCs w:val="20"/>
        </w:rPr>
        <w:t xml:space="preserve">Dispositivos.</w:t>
      </w:r>
      <w:r>
        <w:rPr>
          <w:rFonts w:ascii="Nunito Sans" w:cs="Nunito Sans" w:eastAsia="Nunito Sans" w:hAnsi="Nunito Sans"/>
          <w:color w:val="102E3B"/>
          <w:sz w:val="20"/>
          <w:szCs w:val="20"/>
        </w:rPr>
        <w:t xml:space="preserve"> Computadoras portátiles y teléfonos cifrados, bloqueo de pantalla, actualizaciones automáticas y posibilidad de borrar a distancia un dispositivo perdido.</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Compartir archivos.</w:t>
      </w:r>
      <w:r>
        <w:rPr>
          <w:rFonts w:ascii="Nunito Sans" w:cs="Nunito Sans" w:eastAsia="Nunito Sans" w:hAnsi="Nunito Sans"/>
          <w:color w:val="102E3B"/>
          <w:sz w:val="20"/>
          <w:szCs w:val="20"/>
        </w:rPr>
        <w:t xml:space="preserve"> Compartir con personas concretas, no con "cualquier persona que tenga el enlace", y no enviar nunca información sensible en chats de grupo.</w:t>
      </w:r>
    </w:p>
    <w:p>
      <w:pPr>
        <w:pStyle w:val="ListParagraph"/>
        <w:numPr>
          <w:ilvl w:val="0"/>
          <w:numId w:val="3"/>
        </w:numPr>
        <w:spacing w:after="80" w:line="290"/>
      </w:pPr>
      <w:r>
        <w:rPr>
          <w:rFonts w:ascii="Nunito Sans" w:cs="Nunito Sans" w:eastAsia="Nunito Sans" w:hAnsi="Nunito Sans"/>
          <w:b/>
          <w:bCs/>
          <w:color w:val="102E3B"/>
          <w:sz w:val="20"/>
          <w:szCs w:val="20"/>
        </w:rPr>
        <w:t xml:space="preserve">Papel.</w:t>
      </w:r>
      <w:r>
        <w:rPr>
          <w:rFonts w:ascii="Nunito Sans" w:cs="Nunito Sans" w:eastAsia="Nunito Sans" w:hAnsi="Nunito Sans"/>
          <w:color w:val="102E3B"/>
          <w:sz w:val="20"/>
          <w:szCs w:val="20"/>
        </w:rPr>
        <w:t xml:space="preserve"> Guardar los registros bajo llave, llevar al terreno solo lo necesario y destruir lo que ya no se necesita.</w:t>
      </w:r>
    </w:p>
    <w:p>
      <w:pPr>
        <w:pStyle w:val="ListParagraph"/>
        <w:numPr>
          <w:ilvl w:val="0"/>
          <w:numId w:val="3"/>
        </w:numPr>
        <w:spacing w:after="80" w:line="290"/>
      </w:pPr>
      <w:r>
        <w:rPr>
          <w:rFonts w:ascii="Nunito Sans" w:cs="Nunito Sans" w:eastAsia="Nunito Sans" w:hAnsi="Nunito Sans"/>
          <w:b/>
          <w:bCs/>
          <w:color w:val="102E3B"/>
          <w:sz w:val="20"/>
          <w:szCs w:val="20"/>
        </w:rPr>
        <w:t xml:space="preserve">Datos de campo.</w:t>
      </w:r>
      <w:r>
        <w:rPr>
          <w:rFonts w:ascii="Nunito Sans" w:cs="Nunito Sans" w:eastAsia="Nunito Sans" w:hAnsi="Nunito Sans"/>
          <w:color w:val="102E3B"/>
          <w:sz w:val="20"/>
          <w:szCs w:val="20"/>
        </w:rPr>
        <w:t xml:space="preserve"> Los teléfonos y tabletas que se usan para recoger información de participantes están cifrados, y los datos se suben y se eliminan del dispositivo lo antes posible.</w:t>
      </w:r>
    </w:p>
    <w:p>
      <w:pPr>
        <w:pStyle w:val="Heading2"/>
        <w:keepNext/>
        <w:spacing w:after="120" w:before="280"/>
      </w:pPr>
      <w:r>
        <w:rPr>
          <w:rFonts w:ascii="DM Serif Display" w:cs="DM Serif Display" w:eastAsia="DM Serif Display" w:hAnsi="DM Serif Display"/>
          <w:color w:val="123C48"/>
          <w:sz w:val="28"/>
          <w:szCs w:val="28"/>
        </w:rPr>
        <w:t xml:space="preserve">12. Conservación y eliminación</w:t>
      </w:r>
    </w:p>
    <w:p>
      <w:pPr>
        <w:spacing w:after="120" w:before="0" w:line="300"/>
      </w:pPr>
      <w:r>
        <w:rPr>
          <w:rFonts w:ascii="Nunito Sans" w:cs="Nunito Sans" w:eastAsia="Nunito Sans" w:hAnsi="Nunito Sans"/>
          <w:color w:val="102E3B"/>
          <w:sz w:val="20"/>
          <w:szCs w:val="20"/>
        </w:rPr>
        <w:t xml:space="preserve">Conservamos la información personal solo durante el tiempo que exige su finalidad o la ley. Nuestro Calendario de Conservación de Registros fija el plazo de cada tipo de registro y lo que ocurre al final: eliminación segura, anonimización o revisión. En resumen:</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Registros de participantes y de casos: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[X años]</w:t>
      </w:r>
      <w:r>
        <w:rPr>
          <w:rFonts w:ascii="Nunito Sans" w:cs="Nunito Sans" w:eastAsia="Nunito Sans" w:hAnsi="Nunito Sans"/>
          <w:color w:val="102E3B"/>
          <w:sz w:val="20"/>
          <w:szCs w:val="20"/>
        </w:rPr>
        <w:t xml:space="preserve"> después de que termine nuestro trabajo con la persona. Los registros de salvaguarda siguen nuestra Política y Procedimiento de Salvaguarda y pueden conservarse más tiempo.</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Registros del personal y de las personas voluntarias: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[X años]</w:t>
      </w:r>
      <w:r>
        <w:rPr>
          <w:rFonts w:ascii="Nunito Sans" w:cs="Nunito Sans" w:eastAsia="Nunito Sans" w:hAnsi="Nunito Sans"/>
          <w:color w:val="102E3B"/>
          <w:sz w:val="20"/>
          <w:szCs w:val="20"/>
        </w:rPr>
        <w:t xml:space="preserve"> después de la salida de la persona.</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Registros financieros y de donaciones: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[X años]</w:t>
      </w:r>
      <w:r>
        <w:rPr>
          <w:rFonts w:ascii="Nunito Sans" w:cs="Nunito Sans" w:eastAsia="Nunito Sans" w:hAnsi="Nunito Sans"/>
          <w:color w:val="102E3B"/>
          <w:sz w:val="20"/>
          <w:szCs w:val="20"/>
        </w:rPr>
        <w:t xml:space="preserve">, según exigen las normas fiscales y de los financiadores.</w:t>
      </w:r>
    </w:p>
    <w:p>
      <w:pPr>
        <w:pStyle w:val="ListParagraph"/>
        <w:numPr>
          <w:ilvl w:val="0"/>
          <w:numId w:val="3"/>
        </w:numPr>
        <w:spacing w:after="80" w:line="290"/>
      </w:pPr>
      <w:r>
        <w:rPr>
          <w:rFonts w:ascii="Nunito Sans" w:cs="Nunito Sans" w:eastAsia="Nunito Sans" w:hAnsi="Nunito Sans"/>
          <w:b/>
          <w:bCs/>
          <w:color w:val="102E3B"/>
          <w:sz w:val="20"/>
          <w:szCs w:val="20"/>
        </w:rPr>
        <w:t xml:space="preserve">Solicitudes de empleo no seleccionadas: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Contactos de marketing:</w:t>
      </w:r>
      <w:r>
        <w:rPr>
          <w:rFonts w:ascii="Nunito Sans" w:cs="Nunito Sans" w:eastAsia="Nunito Sans" w:hAnsi="Nunito Sans"/>
          <w:color w:val="102E3B"/>
          <w:sz w:val="20"/>
          <w:szCs w:val="20"/>
        </w:rPr>
        <w:t xml:space="preserve"> hasta que la persona se da de baja; se revisan cada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Cada año, la persona responsable de protección de datos comprueba que se ha realizado la eliminación, incluidas las copias en el correo electrónico, las descargas y los dispositivos.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PLAZOS DE CONSERVACIÓN</w:t>
            </w:r>
          </w:p>
          <w:p>
            <w:pPr>
              <w:spacing w:after="120" w:before="0" w:line="300"/>
            </w:pPr>
            <w:r>
              <w:rPr>
                <w:rFonts w:ascii="Nunito Sans" w:cs="Nunito Sans" w:eastAsia="Nunito Sans" w:hAnsi="Nunito Sans"/>
                <w:color w:val="102E3B"/>
                <w:sz w:val="19"/>
                <w:szCs w:val="19"/>
              </w:rPr>
              <w:t xml:space="preserve">Fija plazos reales con tu contador y teniendo en cuenta los requisitos de tus financiadores. Las leyes fiscales y contables suelen exigir que los registros financieros se conserven durante varios años, y muchos acuerdos de subvención fijan sus propios plazos. Los registros laborales, de salud y de niñas y niños también pueden tener plazos legales. Comprueba tu ley local, anota el motivo de cada plazo y no conserves nada "por si acaso".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Brechas de datos</w:t>
      </w:r>
    </w:p>
    <w:p>
      <w:pPr>
        <w:spacing w:after="120" w:before="0" w:line="300"/>
      </w:pPr>
      <w:r>
        <w:rPr>
          <w:rFonts w:ascii="Nunito Sans" w:cs="Nunito Sans" w:eastAsia="Nunito Sans" w:hAnsi="Nunito Sans"/>
          <w:color w:val="102E3B"/>
          <w:sz w:val="20"/>
          <w:szCs w:val="20"/>
        </w:rPr>
        <w:t xml:space="preserve">Una brecha de datos puede ser algo tan simple como un correo electrónico enviado a la persona equivocada, un teléfono perdido, un enlace que cualquiera puede abrir o una cuenta pirateada. También puede producirse en un proveedor.</w:t>
      </w:r>
    </w:p>
    <w:p>
      <w:pPr>
        <w:spacing w:after="120" w:before="0" w:line="300"/>
      </w:pPr>
      <w:r>
        <w:rPr>
          <w:rFonts w:ascii="Nunito Sans" w:cs="Nunito Sans" w:eastAsia="Nunito Sans" w:hAnsi="Nunito Sans"/>
          <w:b/>
          <w:bCs/>
          <w:color w:val="102E3B"/>
          <w:sz w:val="20"/>
          <w:szCs w:val="20"/>
        </w:rPr>
        <w:t xml:space="preserve">Si sospecha que se ha producido una brecha, notifíquelo de inmediato</w:t>
      </w:r>
      <w:r>
        <w:rPr>
          <w:rFonts w:ascii="Nunito Sans" w:cs="Nunito Sans" w:eastAsia="Nunito Sans" w:hAnsi="Nunito Sans"/>
          <w:color w:val="102E3B"/>
          <w:sz w:val="20"/>
          <w:szCs w:val="20"/>
        </w:rPr>
        <w:t xml:space="preserve">, y como máximo en el plazo de </w:t>
      </w:r>
      <w:r>
        <w:rPr>
          <w:rFonts w:ascii="Nunito Sans" w:cs="Nunito Sans" w:eastAsia="Nunito Sans" w:hAnsi="Nunito Sans"/>
          <w:color w:val="102E3B"/>
          <w:sz w:val="20"/>
          <w:szCs w:val="20"/>
          <w:highlight w:val="yellow"/>
        </w:rPr>
        <w:t xml:space="preserve">[1 hora]</w:t>
      </w:r>
      <w:r>
        <w:rPr>
          <w:rFonts w:ascii="Nunito Sans" w:cs="Nunito Sans" w:eastAsia="Nunito Sans" w:hAnsi="Nunito Sans"/>
          <w:color w:val="102E3B"/>
          <w:sz w:val="20"/>
          <w:szCs w:val="20"/>
        </w:rPr>
        <w:t xml:space="preserve"> desde que la detecte, a la persona responsable de protección de datos en </w:t>
      </w:r>
      <w:r>
        <w:rPr>
          <w:rFonts w:ascii="Nunito Sans" w:cs="Nunito Sans" w:eastAsia="Nunito Sans" w:hAnsi="Nunito Sans"/>
          <w:color w:val="102E3B"/>
          <w:sz w:val="20"/>
          <w:szCs w:val="20"/>
          <w:highlight w:val="yellow"/>
        </w:rPr>
        <w:t xml:space="preserve">[privacidad@tuorganizacion.org]</w:t>
      </w:r>
      <w:r>
        <w:rPr>
          <w:rFonts w:ascii="Nunito Sans" w:cs="Nunito Sans" w:eastAsia="Nunito Sans" w:hAnsi="Nunito Sans"/>
          <w:color w:val="102E3B"/>
          <w:sz w:val="20"/>
          <w:szCs w:val="20"/>
        </w:rPr>
        <w:t xml:space="preserve"> o en el </w:t>
      </w:r>
      <w:r>
        <w:rPr>
          <w:rFonts w:ascii="Nunito Sans" w:cs="Nunito Sans" w:eastAsia="Nunito Sans" w:hAnsi="Nunito Sans"/>
          <w:color w:val="102E3B"/>
          <w:sz w:val="20"/>
          <w:szCs w:val="20"/>
          <w:highlight w:val="yellow"/>
        </w:rPr>
        <w:t xml:space="preserve">[teléfono]</w:t>
      </w:r>
      <w:r>
        <w:rPr>
          <w:rFonts w:ascii="Nunito Sans" w:cs="Nunito Sans" w:eastAsia="Nunito Sans" w:hAnsi="Nunito Sans"/>
          <w:color w:val="102E3B"/>
          <w:sz w:val="20"/>
          <w:szCs w:val="20"/>
        </w:rPr>
        <w:t xml:space="preserve">. No espere a tener la certeza. No intente investigar por su cuenta y no elimine pruebas.</w:t>
      </w:r>
    </w:p>
    <w:p>
      <w:pPr>
        <w:spacing w:after="120" w:before="0" w:line="300"/>
      </w:pPr>
      <w:r>
        <w:rPr>
          <w:rFonts w:ascii="Nunito Sans" w:cs="Nunito Sans" w:eastAsia="Nunito Sans" w:hAnsi="Nunito Sans"/>
          <w:color w:val="102E3B"/>
          <w:sz w:val="20"/>
          <w:szCs w:val="20"/>
        </w:rPr>
        <w:t xml:space="preserve">La persona responsable de protección de datos sigue nuestro Procedimiento de Respuesta ante Brechas de Datos: contener la brecha, evaluar el riesgo para las personas, decidir si se notifica a la autoridad de control y a las personas afectadas, y registrar todas las brechas, incluso las que no se notifican. Según el RGPD, una brecha que probablemente ponga en riesgo a las personas debe notificarse a la autoridad de control en un plazo de 72 horas desde que se tiene conocimiento de ella. Otras leyes fijan plazos similares o más cortos (consulta las notas por país). Si alguien puede estar en peligro, seguimos primero nuestra Política y Procedimiento de Salvaguarda.</w:t>
      </w:r>
    </w:p>
    <w:p>
      <w:pPr>
        <w:pStyle w:val="Heading2"/>
        <w:keepNext/>
        <w:spacing w:after="120" w:before="280"/>
      </w:pPr>
      <w:r>
        <w:rPr>
          <w:rFonts w:ascii="DM Serif Display" w:cs="DM Serif Display" w:eastAsia="DM Serif Display" w:hAnsi="DM Serif Display"/>
          <w:color w:val="123C48"/>
          <w:sz w:val="28"/>
          <w:szCs w:val="28"/>
        </w:rPr>
        <w:t xml:space="preserve">14. Privacidad desde el diseño y evaluaciones de impacto</w:t>
      </w:r>
    </w:p>
    <w:p>
      <w:pPr>
        <w:spacing w:after="120" w:before="0" w:line="300"/>
      </w:pPr>
      <w:r>
        <w:rPr>
          <w:rFonts w:ascii="Nunito Sans" w:cs="Nunito Sans" w:eastAsia="Nunito Sans" w:hAnsi="Nunito Sans"/>
          <w:color w:val="102E3B"/>
          <w:sz w:val="20"/>
          <w:szCs w:val="20"/>
        </w:rPr>
        <w:t xml:space="preserve">Pensamos en la privacidad al inicio de cada nuevo proyecto o sistema. La persona responsable de protección de datos realiza primero un breve análisis previo: qué información personal está implicada, si toda ella es necesaria, quién la verá, dónde se almacena y durante cuánto tiempo.</w:t>
      </w:r>
    </w:p>
    <w:p>
      <w:pPr>
        <w:spacing w:after="120" w:before="0" w:line="300"/>
      </w:pPr>
      <w:r>
        <w:rPr>
          <w:rFonts w:ascii="Nunito Sans" w:cs="Nunito Sans" w:eastAsia="Nunito Sans" w:hAnsi="Nunito Sans"/>
          <w:color w:val="102E3B"/>
          <w:sz w:val="20"/>
          <w:szCs w:val="20"/>
        </w:rPr>
        <w:t xml:space="preserve">Completamos una Evaluación de Impacto en la Protección de Datos completa antes de cualquier actividad que probablemente genere un riesgo alto para las personas, por ejemplo:</w:t>
      </w:r>
    </w:p>
    <w:p>
      <w:pPr>
        <w:pStyle w:val="ListParagraph"/>
        <w:numPr>
          <w:ilvl w:val="0"/>
          <w:numId w:val="3"/>
        </w:numPr>
        <w:spacing w:after="80" w:line="290"/>
      </w:pPr>
      <w:r>
        <w:rPr>
          <w:rFonts w:ascii="Nunito Sans" w:cs="Nunito Sans" w:eastAsia="Nunito Sans" w:hAnsi="Nunito Sans"/>
          <w:color w:val="102E3B"/>
          <w:sz w:val="20"/>
          <w:szCs w:val="20"/>
        </w:rPr>
        <w:t xml:space="preserve">recoger a gran escala información sensible, o información sobre niñas, niños o personas adultas en situación de riesgo;</w:t>
      </w:r>
    </w:p>
    <w:p>
      <w:pPr>
        <w:pStyle w:val="ListParagraph"/>
        <w:numPr>
          <w:ilvl w:val="0"/>
          <w:numId w:val="3"/>
        </w:numPr>
        <w:spacing w:after="80" w:line="290"/>
      </w:pPr>
      <w:r>
        <w:rPr>
          <w:rFonts w:ascii="Nunito Sans" w:cs="Nunito Sans" w:eastAsia="Nunito Sans" w:hAnsi="Nunito Sans"/>
          <w:color w:val="102E3B"/>
          <w:sz w:val="20"/>
          <w:szCs w:val="20"/>
        </w:rPr>
        <w:t xml:space="preserve">usar datos biométricos, como huellas dactilares o reconocimiento facial, para el registro o la verificación de la identidad;</w:t>
      </w:r>
    </w:p>
    <w:p>
      <w:pPr>
        <w:pStyle w:val="ListParagraph"/>
        <w:numPr>
          <w:ilvl w:val="0"/>
          <w:numId w:val="3"/>
        </w:numPr>
        <w:spacing w:after="80" w:line="290"/>
      </w:pPr>
      <w:r>
        <w:rPr>
          <w:rFonts w:ascii="Nunito Sans" w:cs="Nunito Sans" w:eastAsia="Nunito Sans" w:hAnsi="Nunito Sans"/>
          <w:color w:val="102E3B"/>
          <w:sz w:val="20"/>
          <w:szCs w:val="20"/>
        </w:rPr>
        <w:t xml:space="preserve">rastrear la ubicación de las personas o vigilarlas de forma sistemática;</w:t>
      </w:r>
    </w:p>
    <w:p>
      <w:pPr>
        <w:pStyle w:val="ListParagraph"/>
        <w:numPr>
          <w:ilvl w:val="0"/>
          <w:numId w:val="3"/>
        </w:numPr>
        <w:spacing w:after="80" w:line="290"/>
      </w:pPr>
      <w:r>
        <w:rPr>
          <w:rFonts w:ascii="Nunito Sans" w:cs="Nunito Sans" w:eastAsia="Nunito Sans" w:hAnsi="Nunito Sans"/>
          <w:color w:val="102E3B"/>
          <w:sz w:val="20"/>
          <w:szCs w:val="20"/>
        </w:rPr>
        <w:t xml:space="preserve">usar IA o herramientas automatizadas para evaluar, puntuar o seleccionar a personas;</w:t>
      </w:r>
    </w:p>
    <w:p>
      <w:pPr>
        <w:pStyle w:val="ListParagraph"/>
        <w:numPr>
          <w:ilvl w:val="0"/>
          <w:numId w:val="3"/>
        </w:numPr>
        <w:spacing w:after="80" w:line="290"/>
      </w:pPr>
      <w:r>
        <w:rPr>
          <w:rFonts w:ascii="Nunito Sans" w:cs="Nunito Sans" w:eastAsia="Nunito Sans" w:hAnsi="Nunito Sans"/>
          <w:color w:val="102E3B"/>
          <w:sz w:val="20"/>
          <w:szCs w:val="20"/>
        </w:rPr>
        <w:t xml:space="preserve">compartir datos sobre grupos vulnerables con autoridades o con nuevos socios.</w:t>
      </w:r>
    </w:p>
    <w:p>
      <w:pPr>
        <w:spacing w:after="120" w:before="0" w:line="300"/>
      </w:pP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aprueba cada EIPD. Si después de aplicar las garantías sigue habiendo un riesgo alto, pedimos asesoramiento y, cuando la ley lo exige, consultamos a la autoridad de control antes de empezar.</w:t>
      </w:r>
    </w:p>
    <w:p>
      <w:pPr>
        <w:pStyle w:val="Heading2"/>
        <w:keepNext/>
        <w:spacing w:after="120" w:before="280"/>
      </w:pPr>
      <w:r>
        <w:rPr>
          <w:rFonts w:ascii="DM Serif Display" w:cs="DM Serif Display" w:eastAsia="DM Serif Display" w:hAnsi="DM Serif Display"/>
          <w:color w:val="123C48"/>
          <w:sz w:val="28"/>
          <w:szCs w:val="28"/>
        </w:rPr>
        <w:t xml:space="preserve">15. Herramientas de IA y decisiones automatizadas</w:t>
      </w:r>
    </w:p>
    <w:p>
      <w:pPr>
        <w:spacing w:after="120" w:before="0" w:line="300"/>
      </w:pPr>
      <w:r>
        <w:rPr>
          <w:rFonts w:ascii="Nunito Sans" w:cs="Nunito Sans" w:eastAsia="Nunito Sans" w:hAnsi="Nunito Sans"/>
          <w:color w:val="102E3B"/>
          <w:sz w:val="20"/>
          <w:szCs w:val="20"/>
        </w:rPr>
        <w:t xml:space="preserve">Todo lo que se escribe o se sube a una herramienta de IA puede almacenarse, revisarse o usarse para entrenar modelos.</w:t>
      </w:r>
    </w:p>
    <w:p>
      <w:pPr>
        <w:pStyle w:val="ListParagraph"/>
        <w:numPr>
          <w:ilvl w:val="0"/>
          <w:numId w:val="3"/>
        </w:numPr>
        <w:spacing w:after="80" w:line="290"/>
      </w:pPr>
      <w:r>
        <w:rPr>
          <w:rFonts w:ascii="Nunito Sans" w:cs="Nunito Sans" w:eastAsia="Nunito Sans" w:hAnsi="Nunito Sans"/>
          <w:color w:val="102E3B"/>
          <w:sz w:val="20"/>
          <w:szCs w:val="20"/>
        </w:rPr>
        <w:t xml:space="preserve">Use solo las herramientas de IA aprobadas en nuestra Política de TI y Seguridad de la Información, mediante cuentas de la organización y con el entrenamiento con nuestros datos desactivado siempre que sea posible.</w:t>
      </w:r>
    </w:p>
    <w:p>
      <w:pPr>
        <w:pStyle w:val="ListParagraph"/>
        <w:numPr>
          <w:ilvl w:val="0"/>
          <w:numId w:val="3"/>
        </w:numPr>
        <w:spacing w:after="80" w:line="290"/>
      </w:pPr>
      <w:r>
        <w:rPr>
          <w:rFonts w:ascii="Nunito Sans" w:cs="Nunito Sans" w:eastAsia="Nunito Sans" w:hAnsi="Nunito Sans"/>
          <w:color w:val="102E3B"/>
          <w:sz w:val="20"/>
          <w:szCs w:val="20"/>
        </w:rPr>
        <w:t xml:space="preserve">Nunca introduzca información personal, de salvaguarda o confidencial en una herramienta de IA que no esté aprobada para ese fin.</w:t>
      </w:r>
    </w:p>
    <w:p>
      <w:pPr>
        <w:pStyle w:val="ListParagraph"/>
        <w:numPr>
          <w:ilvl w:val="0"/>
          <w:numId w:val="3"/>
        </w:numPr>
        <w:spacing w:after="80" w:line="290"/>
      </w:pPr>
      <w:r>
        <w:rPr>
          <w:rFonts w:ascii="Nunito Sans" w:cs="Nunito Sans" w:eastAsia="Nunito Sans" w:hAnsi="Nunito Sans"/>
          <w:color w:val="102E3B"/>
          <w:sz w:val="20"/>
          <w:szCs w:val="20"/>
        </w:rPr>
        <w:t xml:space="preserve">Compruebe la exactitud y los sesgos de todo lo que produzca la IA. Usted sigue siendo responsable de su trabajo.</w:t>
      </w:r>
    </w:p>
    <w:p>
      <w:pPr>
        <w:pStyle w:val="ListParagraph"/>
        <w:numPr>
          <w:ilvl w:val="0"/>
          <w:numId w:val="3"/>
        </w:numPr>
        <w:spacing w:after="80" w:line="290"/>
      </w:pPr>
      <w:r>
        <w:rPr>
          <w:rFonts w:ascii="Nunito Sans" w:cs="Nunito Sans" w:eastAsia="Nunito Sans" w:hAnsi="Nunito Sans"/>
          <w:color w:val="102E3B"/>
          <w:sz w:val="20"/>
          <w:szCs w:val="20"/>
        </w:rPr>
        <w:t xml:space="preserve">Ninguna decisión importante sobre una persona, como su selección para recibir apoyo o para un puesto, se toma únicamente por medios automatizados.</w:t>
      </w:r>
    </w:p>
    <w:p>
      <w:pPr>
        <w:pStyle w:val="ListParagraph"/>
        <w:numPr>
          <w:ilvl w:val="0"/>
          <w:numId w:val="3"/>
        </w:numPr>
        <w:spacing w:after="80" w:line="290"/>
      </w:pPr>
      <w:r>
        <w:rPr>
          <w:rFonts w:ascii="Nunito Sans" w:cs="Nunito Sans" w:eastAsia="Nunito Sans" w:hAnsi="Nunito Sans"/>
          <w:color w:val="102E3B"/>
          <w:sz w:val="20"/>
          <w:szCs w:val="20"/>
        </w:rPr>
        <w:t xml:space="preserve">Todo nuevo uso de la IA que evalúe a personas requiere antes una EIPD.</w:t>
      </w: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7239"/>
      </w:tblGrid>
      <w:tr>
        <w:trPr>
          <w:cantSplit/>
          <w:tblHeader/>
        </w:trPr>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FUNCIÓN</w:t>
            </w:r>
          </w:p>
        </w:tc>
        <w:tc>
          <w:tcPr>
            <w:tcW w:type="dxa" w:w="7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 (</w:t>
            </w:r>
            <w:r>
              <w:rPr>
                <w:rFonts w:ascii="Nunito Sans" w:cs="Nunito Sans" w:eastAsia="Nunito Sans" w:hAnsi="Nunito Sans"/>
                <w:color w:val="102E3B"/>
                <w:sz w:val="18"/>
                <w:szCs w:val="18"/>
                <w:highlight w:val="yellow"/>
              </w:rPr>
              <w:t xml:space="preserve">[patronato / junta directiva]</w:t>
            </w:r>
            <w:r>
              <w:rPr>
                <w:rFonts w:ascii="Nunito Sans" w:cs="Nunito Sans" w:eastAsia="Nunito Sans" w:hAnsi="Nunito Sans"/>
                <w:color w:val="102E3B"/>
                <w:sz w:val="18"/>
                <w:szCs w:val="18"/>
              </w:rPr>
              <w:t xml:space="preserve">)</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Recibe un informe anual sobre protección de datos y los informes de cualquier brecha grave.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protección de datos, </w:t>
            </w:r>
            <w:r>
              <w:rPr>
                <w:rFonts w:ascii="Nunito Sans" w:cs="Nunito Sans" w:eastAsia="Nunito Sans" w:hAnsi="Nunito Sans"/>
                <w:color w:val="102E3B"/>
                <w:sz w:val="18"/>
                <w:szCs w:val="18"/>
                <w:highlight w:val="yellow"/>
              </w:rPr>
              <w:t xml:space="preserve">[Nombre]</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 responsable de esta política y de sus anexos. Analiza las nuevas actividades y aprueba las EIPD. Gestiona las solicitudes de derechos y las brechas. Es el punto de contacto para la autoridad de control y para las personas.</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 </w:t>
            </w:r>
            <w:r>
              <w:rPr>
                <w:rFonts w:ascii="Nunito Sans" w:cs="Nunito Sans" w:eastAsia="Nunito Sans" w:hAnsi="Nunito Sans"/>
                <w:color w:val="102E3B"/>
                <w:sz w:val="18"/>
                <w:szCs w:val="18"/>
                <w:highlight w:val="yellow"/>
              </w:rPr>
              <w:t xml:space="preserve">[Nombre]</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 ocupa de las brechas y solicitudes urgentes cuando la persona responsable no está disponible, y gestiona todo lo que afecte a la persona responsable.</w:t>
            </w:r>
          </w:p>
        </w:tc>
      </w:tr>
      <w:tr>
        <w:trPr>
          <w:cantSplit/>
          <w:tblHeader w:val="off"/>
        </w:trPr>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Responsables de área y de proyecto</w:t>
            </w:r>
          </w:p>
        </w:tc>
        <w:tc>
          <w:tcPr>
            <w:tcW w:type="dxa" w:w="7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Aplican esta política en sus proyectos, mantienen actualizado el Anexo A y se aseguran de que su equipo reciba formación.</w:t>
            </w:r>
          </w:p>
        </w:tc>
      </w:tr>
      <w:tr>
        <w:trPr>
          <w:cantSplit/>
          <w:tblHeader w:val="off"/>
        </w:trPr>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7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usan la información personal solo para su tarea, la mantienen segura, notifican de inmediato las sospechas de brecha y transmiten las preocupaciones y las solicitudes de derechos en un plazo de </w:t>
            </w:r>
            <w:r>
              <w:rPr>
                <w:rFonts w:ascii="Nunito Sans" w:cs="Nunito Sans" w:eastAsia="Nunito Sans" w:hAnsi="Nunito Sans"/>
                <w:color w:val="102E3B"/>
                <w:sz w:val="18"/>
                <w:szCs w:val="18"/>
                <w:highlight w:val="yellow"/>
              </w:rPr>
              <w:t xml:space="preserve">[1 día hábil]</w:t>
            </w:r>
            <w:r>
              <w:rPr>
                <w:rFonts w:ascii="Nunito Sans" w:cs="Nunito Sans" w:eastAsia="Nunito Sans" w:hAnsi="Nunito Sans"/>
                <w:color w:val="102E3B"/>
                <w:sz w:val="18"/>
                <w:szCs w:val="18"/>
              </w:rPr>
              <w:t xml:space="preserv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 Delegado de protección de datos</w:t>
      </w:r>
    </w:p>
    <w:p>
      <w:pPr>
        <w:spacing w:after="120" w:before="0" w:line="300"/>
      </w:pPr>
      <w:r>
        <w:rPr>
          <w:rFonts w:ascii="Nunito Sans" w:cs="Nunito Sans" w:eastAsia="Nunito Sans" w:hAnsi="Nunito Sans"/>
          <w:color w:val="102E3B"/>
          <w:sz w:val="20"/>
          <w:szCs w:val="20"/>
        </w:rPr>
        <w:t xml:space="preserve">El delegado de protección de datos (DPD) es una figura formal con obligaciones legales e independencia. Las leyes normalmente solo lo exigen en algunos casos, como el tratamiento a gran escala de información sensible o la observación sistemática a gran escala de personas.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 ha nombrado un DPD porque la ley no lo exige / ha nombrado DPD a Nombre o proveedor]</w:t>
      </w:r>
      <w:r>
        <w:rPr>
          <w:rFonts w:ascii="Nunito Sans" w:cs="Nunito Sans" w:eastAsia="Nunito Sans" w:hAnsi="Nunito Sans"/>
          <w:color w:val="102E3B"/>
          <w:sz w:val="20"/>
          <w:szCs w:val="20"/>
        </w:rPr>
        <w:t xml:space="preserve">. La persona responsable de protección de datos comprueba una vez al año si esto ha cambiado y registra la respuesta.</w:t>
      </w:r>
    </w:p>
    <w:p>
      <w:pPr>
        <w:pStyle w:val="Heading2"/>
        <w:keepNext/>
        <w:spacing w:after="120" w:before="280"/>
      </w:pPr>
      <w:r>
        <w:rPr>
          <w:rFonts w:ascii="DM Serif Display" w:cs="DM Serif Display" w:eastAsia="DM Serif Display" w:hAnsi="DM Serif Display"/>
          <w:color w:val="123C48"/>
          <w:sz w:val="28"/>
          <w:szCs w:val="28"/>
        </w:rPr>
        <w:t xml:space="preserve">2. Registro ante la autoridad de control</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[está registrada ante la autoridad de control, número y fecha de renovación / lo ha comprobado y no está obligada a registrarse]</w:t>
      </w:r>
      <w:r>
        <w:rPr>
          <w:rFonts w:ascii="Nunito Sans" w:cs="Nunito Sans" w:eastAsia="Nunito Sans" w:hAnsi="Nunito Sans"/>
          <w:color w:val="102E3B"/>
          <w:sz w:val="20"/>
          <w:szCs w:val="20"/>
        </w:rPr>
        <w:t xml:space="preserve">. La persona responsable de protección de datos lo comprueba cada año y cuando empezamos a trabajar en un nuevo país.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DELEGADO DE PROTECCIÓN DE DATOS Y REGISTRO</w:t>
            </w:r>
          </w:p>
          <w:p>
            <w:pPr>
              <w:spacing w:after="120" w:before="0" w:line="300"/>
            </w:pPr>
            <w:r>
              <w:rPr>
                <w:rFonts w:ascii="Nunito Sans" w:cs="Nunito Sans" w:eastAsia="Nunito Sans" w:hAnsi="Nunito Sans"/>
                <w:color w:val="102E3B"/>
                <w:sz w:val="19"/>
                <w:szCs w:val="19"/>
              </w:rPr>
              <w:t xml:space="preserve">Comprueba con cuidado si tu ley exige un DPD o un registro; las notas por país anteriores ofrecen un punto de partida. Según el RGPD, muchas ONG pequeñas no necesitan un DPD, pero sí una persona responsable. Brasil exige un encarregado, con un régimen flexibilizado para las organizaciones pequeñas, y Sudáfrica exige un information officer registrado. Algunos países exigen que se registren los responsables del tratamiento o las bases de datos, por ejemplo Kenia (según umbrales y normas sectoriales), Perú y Argentina; Ghana y Uganda también tienen obligaciones de registro. Consulta en el sitio web de la autoridad de control los umbrales, formularios y tasas vigentes, y programa un recordatorio para las renovaciones.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Formación y sensibilización</w:t>
      </w:r>
    </w:p>
    <w:p>
      <w:pPr>
        <w:spacing w:after="120" w:before="0" w:line="300"/>
      </w:pPr>
      <w:r>
        <w:rPr>
          <w:rFonts w:ascii="Nunito Sans" w:cs="Nunito Sans" w:eastAsia="Nunito Sans" w:hAnsi="Nunito Sans"/>
          <w:color w:val="102E3B"/>
          <w:sz w:val="20"/>
          <w:szCs w:val="20"/>
        </w:rPr>
        <w:t xml:space="preserve">Todas las personas que tratan información personal reciben una breve sesión informativa sobre protección de datos dentro de </w:t>
      </w:r>
      <w:r>
        <w:rPr>
          <w:rFonts w:ascii="Nunito Sans" w:cs="Nunito Sans" w:eastAsia="Nunito Sans" w:hAnsi="Nunito Sans"/>
          <w:color w:val="102E3B"/>
          <w:sz w:val="20"/>
          <w:szCs w:val="20"/>
          <w:highlight w:val="yellow"/>
        </w:rPr>
        <w:t xml:space="preserve">[sus dos primeras semanas]</w:t>
      </w:r>
      <w:r>
        <w:rPr>
          <w:rFonts w:ascii="Nunito Sans" w:cs="Nunito Sans" w:eastAsia="Nunito Sans" w:hAnsi="Nunito Sans"/>
          <w:color w:val="102E3B"/>
          <w:sz w:val="20"/>
          <w:szCs w:val="20"/>
        </w:rPr>
        <w:t xml:space="preserve">: esta política, nociones básicas de seguridad y cómo notificar una brecha. El personal que recoge información de las personas a las que servimos aprende además a explicar la privacidad, a obtener el consentimiento y a mantener seguros los datos de campo. Todas las personas reciben una actualización cada año y después de cualquier brecha importante. La persona responsable de protección de datos registra quién recibió formación y cuándo.</w:t>
      </w: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La persona responsable de protección de datos conserva de forma segura el inventario de datos, la lista de encargados del tratamiento, las notas sobre intereses legítimos, las EIPD, los registros de consentimiento, los registros de solicitudes y de brechas y los registros de formación; solo la persona responsable y su suplente pueden acceder a ellos. Todas las personas que tratan información personal por cuenta nuestra la mantienen confidencial, durante su relación con nosotros y después de ella.</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Usar indebidamente información personal, ignorar las normas de seguridad o no notificar una brecha puede causar un daño real. Podemos dar orientación o formación, retirar accesos o actuar conforme a nuestro Procedimiento Disciplinario y de Reclamaciones, hasta llegar al despido o a la terminación de un contrato o de un rol de voluntariado. En algunos países, el uso indebido deliberado también puede constituir un delito.</w:t>
      </w:r>
    </w:p>
    <w:p>
      <w:pPr>
        <w:spacing w:after="120" w:before="0" w:line="300"/>
      </w:pPr>
      <w:r>
        <w:rPr>
          <w:rFonts w:ascii="Nunito Sans" w:cs="Nunito Sans" w:eastAsia="Nunito Sans" w:hAnsi="Nunito Sans"/>
          <w:color w:val="102E3B"/>
          <w:sz w:val="20"/>
          <w:szCs w:val="20"/>
        </w:rPr>
        <w:t xml:space="preserve">Puede plantear sus preocupaciones sobre el tratamiento de la información personal a la persona responsable de protección de datos, a su suplente o a través de nuestra Política y Procedimiento de Denuncia de Irregularidades. Nadie es sancionado por plantear una preocupación genuina.</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de protección de datos revisa esta política y sus anexos cada año, y antes si se produce una brecha grave, si se inicia una nueva actividad o se incorpora un nuevo sistema o proveedor, o si cambia la ley. Cada año, la persona responsable informa al órgano de gobierno sobre las solicitudes, las brechas y las lecciones aprendidas, las EIPD, la formación y cualquier cambio en las obligaciones de registro o relativas al DPD.</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Aviso de Privacidad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Cookies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Solicitudes de Derechos sobre los Datos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Respuesta ante Brechas de Datos</w:t>
      </w:r>
    </w:p>
    <w:p>
      <w:pPr>
        <w:pStyle w:val="ListParagraph"/>
        <w:numPr>
          <w:ilvl w:val="0"/>
          <w:numId w:val="3"/>
        </w:numPr>
        <w:spacing w:after="80" w:line="290"/>
      </w:pPr>
      <w:r>
        <w:rPr>
          <w:rFonts w:ascii="Nunito Sans" w:cs="Nunito Sans" w:eastAsia="Nunito Sans" w:hAnsi="Nunito Sans"/>
          <w:color w:val="102E3B"/>
          <w:sz w:val="20"/>
          <w:szCs w:val="20"/>
        </w:rPr>
        <w:t xml:space="preserve">Acuerdo de Intercambio de Datos</w:t>
      </w:r>
    </w:p>
    <w:p>
      <w:pPr>
        <w:pStyle w:val="ListParagraph"/>
        <w:numPr>
          <w:ilvl w:val="0"/>
          <w:numId w:val="3"/>
        </w:numPr>
        <w:spacing w:after="80" w:line="290"/>
      </w:pPr>
      <w:r>
        <w:rPr>
          <w:rFonts w:ascii="Nunito Sans" w:cs="Nunito Sans" w:eastAsia="Nunito Sans" w:hAnsi="Nunito Sans"/>
          <w:color w:val="102E3B"/>
          <w:sz w:val="20"/>
          <w:szCs w:val="20"/>
        </w:rPr>
        <w:t xml:space="preserve">Calendario de Conservación de Registros</w:t>
      </w:r>
    </w:p>
    <w:p>
      <w:pPr>
        <w:pStyle w:val="ListParagraph"/>
        <w:numPr>
          <w:ilvl w:val="0"/>
          <w:numId w:val="3"/>
        </w:numPr>
        <w:spacing w:after="80" w:line="290"/>
      </w:pPr>
      <w:r>
        <w:rPr>
          <w:rFonts w:ascii="Nunito Sans" w:cs="Nunito Sans" w:eastAsia="Nunito Sans" w:hAnsi="Nunito Sans"/>
          <w:color w:val="102E3B"/>
          <w:sz w:val="20"/>
          <w:szCs w:val="20"/>
        </w:rPr>
        <w:t xml:space="preserve">Evaluación de Impacto en la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Formulario de Consentimiento para Compartir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Formulario de Consentimiento para Fotos e Historias</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Confirmación de lectura</w:t>
      </w:r>
    </w:p>
    <w:p>
      <w:pPr>
        <w:spacing w:after="120" w:before="0" w:line="300"/>
      </w:pPr>
      <w:r>
        <w:rPr>
          <w:rFonts w:ascii="Nunito Sans" w:cs="Nunito Sans" w:eastAsia="Nunito Sans" w:hAnsi="Nunito Sans"/>
          <w:color w:val="102E3B"/>
          <w:sz w:val="20"/>
          <w:szCs w:val="20"/>
        </w:rPr>
        <w:t xml:space="preserve">Todas las personas que tratan información personal por cuenta nuestra confirman esta política al incorporarse y después de cualquier cambio importante.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Protección de Datos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sobre ella. Usaré la información personal solo para mis tareas, la mantendré segura y confidencial, y notificaré de inmediato cualquier sospecha de brecha de datos. Entiendo que el uso indebido de información personal puede dar lugar al fin de mi relación con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Inventario de datos</w:t>
      </w:r>
    </w:p>
    <w:p>
      <w:pPr>
        <w:spacing w:after="120" w:before="0" w:line="300"/>
      </w:pPr>
      <w:r>
        <w:rPr>
          <w:rFonts w:ascii="Nunito Sans" w:cs="Nunito Sans" w:eastAsia="Nunito Sans" w:hAnsi="Nunito Sans"/>
          <w:color w:val="102E3B"/>
          <w:sz w:val="20"/>
          <w:szCs w:val="20"/>
        </w:rPr>
        <w:t xml:space="preserve">El inventario de datos, también llamado registro de actividades de tratamiento, enumera cada actividad que usa información personal. Lo usamos para redactar el Aviso de Privacidad, responder a las solicitudes de derechos, evaluar las brechas y fijar los plazos de conservación. Las filas siguientes son </w:t>
      </w:r>
      <w:r>
        <w:rPr>
          <w:rFonts w:ascii="Nunito Sans" w:cs="Nunito Sans" w:eastAsia="Nunito Sans" w:hAnsi="Nunito Sans"/>
          <w:b/>
          <w:bCs/>
          <w:color w:val="102E3B"/>
          <w:sz w:val="20"/>
          <w:szCs w:val="20"/>
        </w:rPr>
        <w:t xml:space="preserve">ejemplos</w:t>
      </w:r>
      <w:r>
        <w:rPr>
          <w:rFonts w:ascii="Nunito Sans" w:cs="Nunito Sans" w:eastAsia="Nunito Sans" w:hAnsi="Nunito Sans"/>
          <w:color w:val="102E3B"/>
          <w:sz w:val="20"/>
          <w:szCs w:val="20"/>
        </w:rPr>
        <w:t xml:space="preserve">. Sustitúyalas por sus propias actividades.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476"/>
        <w:gridCol w:w="1523"/>
        <w:gridCol w:w="1714"/>
        <w:gridCol w:w="1907"/>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ACTIVIDAD</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INFORMACIÓN PERSONAL</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PERSONAS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BASE LEGAL</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CONSERVACIÓN Y QUIÉN PUEDE VERLA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inscripción en el programa</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rango de edad, pueblo, teléfono, tamaño del hogar</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[Contrato / intereses legítimos / consentimiento]</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después de que termine el programa; equipo del programa</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gestión de casos</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Notas de casos, datos de salud o de protección</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Participantes en situación de riesgo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Consentimiento explícito u otra condición prevista en la ley</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después del cierre; solo la persona que gestiona el caso y la persona responsable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fotos e historias</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Fotos, citas, nombre de pila, ubicación</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Participantes, miembros de la comunidad</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Consentimiento, registrado en nuestro Formulario de Consentimiento para Fotos e Historias</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Hasta que se retire el consentimiento o durante </w:t>
            </w: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equipo de comunicación</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nóminas y recursos humanos</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Documento de identidad, datos bancarios, salario, número de identificación fiscal, contacto de emergencia, bajas por enfermedad</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Personal</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 obligación legal</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después de la salida;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donaciones</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datos de contacto, historial de donaciones, recibos fiscales</w:t>
            </w: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Donantes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Contrato; obligación legal para los registros fiscales</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[X años]</w:t>
            </w:r>
            <w:r>
              <w:rPr>
                <w:rFonts w:ascii="Nunito Sans" w:cs="Nunito Sans" w:eastAsia="Nunito Sans" w:hAnsi="Nunito Sans"/>
                <w:color w:val="102E3B"/>
                <w:sz w:val="18"/>
                <w:szCs w:val="18"/>
              </w:rPr>
              <w:t xml:space="preserve">; finanzas y recaudación de fondos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analítica del sitio web</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Datos del dispositivo, identificadores de cookies, ubicación aproximada</w:t>
            </w: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Visitantes del sitio web</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Consentimiento, mediante el banner de cookies</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lo establecido en nuestra Política de Cookies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COMPLETAR EL INVENTARIO</w:t>
            </w:r>
          </w:p>
          <w:p>
            <w:pPr>
              <w:spacing w:after="120" w:before="0" w:line="300"/>
            </w:pPr>
            <w:r>
              <w:rPr>
                <w:rFonts w:ascii="Nunito Sans" w:cs="Nunito Sans" w:eastAsia="Nunito Sans" w:hAnsi="Nunito Sans"/>
                <w:color w:val="102E3B"/>
                <w:sz w:val="19"/>
                <w:szCs w:val="19"/>
              </w:rPr>
              <w:t xml:space="preserve">Dedica 30 minutos con tu equipo a enumerar todos los formularios, hojas de cálculo, aplicaciones, carpetas y cuadernos que contienen datos personales. Añade una fila por actividad. Si necesitas más columnas, como el lugar de almacenamiento, las transferencias al extranjero o el estado de la EIPD, lleva el inventario en una hoja de cálculo. Actualízalo cada vez que inicies una nueva actividad o empieces a usar una nueva herramienta.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Encargados del tratamiento y servicios en la nube</w:t>
      </w:r>
    </w:p>
    <w:p>
      <w:pPr>
        <w:spacing w:after="120" w:before="0" w:line="300"/>
      </w:pPr>
      <w:r>
        <w:rPr>
          <w:rFonts w:ascii="Nunito Sans" w:cs="Nunito Sans" w:eastAsia="Nunito Sans" w:hAnsi="Nunito Sans"/>
          <w:color w:val="102E3B"/>
          <w:sz w:val="20"/>
          <w:szCs w:val="20"/>
        </w:rPr>
        <w:t xml:space="preserve">Las filas son </w:t>
      </w:r>
      <w:r>
        <w:rPr>
          <w:rFonts w:ascii="Nunito Sans" w:cs="Nunito Sans" w:eastAsia="Nunito Sans" w:hAnsi="Nunito Sans"/>
          <w:b/>
          <w:bCs/>
          <w:color w:val="102E3B"/>
          <w:sz w:val="20"/>
          <w:szCs w:val="20"/>
        </w:rPr>
        <w:t xml:space="preserve">ejemplos</w:t>
      </w:r>
      <w:r>
        <w:rPr>
          <w:rFonts w:ascii="Nunito Sans" w:cs="Nunito Sans" w:eastAsia="Nunito Sans" w:hAnsi="Nunito Sans"/>
          <w:color w:val="102E3B"/>
          <w:sz w:val="20"/>
          <w:szCs w:val="20"/>
        </w:rPr>
        <w:t xml:space="preserve">. Enumere todos los proveedores que conservan información personal por cuenta nuestra.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2285"/>
        <w:gridCol w:w="1714"/>
        <w:gridCol w:w="2095"/>
        <w:gridCol w:w="1526"/>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PROVEEDOR</w:t>
            </w:r>
          </w:p>
        </w:tc>
        <w:tc>
          <w:tcPr>
            <w:tcW w:type="dxa" w:w="2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 PARA NOSOTROS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DÓNDE SE ALMACENAN LOS DATOS</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ACUERDO Y GARANTÍA DE TRANSFERENCIA</w:t>
            </w:r>
          </w:p>
        </w:tc>
        <w:tc>
          <w:tcPr>
            <w:tcW w:type="dxa" w:w="152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ÚLTIMA REVISIÓN</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[proveedor de correo electrónico y unidad en la nube]</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Correo electrónico, documentos, calendarios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[País o región]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Condiciones de tratamiento de datos del proveedor; </w:t>
            </w:r>
            <w:r>
              <w:rPr>
                <w:rFonts w:ascii="Nunito Sans" w:cs="Nunito Sans" w:eastAsia="Nunito Sans" w:hAnsi="Nunito Sans"/>
                <w:color w:val="102E3B"/>
                <w:sz w:val="18"/>
                <w:szCs w:val="18"/>
                <w:highlight w:val="yellow"/>
              </w:rPr>
              <w:t xml:space="preserve">[adecuación / cláusulas contractuales tipo]</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[herramienta de encuestas o de recogida de datos]</w:t>
            </w:r>
          </w:p>
        </w:tc>
        <w:tc>
          <w:tcPr>
            <w:tcW w:type="dxa" w:w="2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Formularios de inscripción y de seguimiento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[País o región]</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[Acuerdo de encargo del tratamiento firmado el fecha]</w:t>
            </w:r>
          </w:p>
        </w:tc>
        <w:tc>
          <w:tcPr>
            <w:tcW w:type="dxa" w:w="152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w:t>
            </w:r>
            <w:r>
              <w:rPr>
                <w:rFonts w:ascii="Nunito Sans" w:cs="Nunito Sans" w:eastAsia="Nunito Sans" w:hAnsi="Nunito Sans"/>
                <w:color w:val="102E3B"/>
                <w:sz w:val="18"/>
                <w:szCs w:val="18"/>
                <w:highlight w:val="yellow"/>
              </w:rPr>
              <w:t xml:space="preserve">[aplicación de mensajería]</w:t>
            </w:r>
          </w:p>
        </w:tc>
        <w:tc>
          <w:tcPr>
            <w:tcW w:type="dxa" w:w="2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Comunicación del equipo; sin información de casos de participantes</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[País o región]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[Condiciones del proveedor]</w:t>
            </w:r>
          </w:p>
        </w:tc>
        <w:tc>
          <w:tcPr>
            <w:tcW w:type="dxa" w:w="152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Protección de Datos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8EFEC82-E662-A12A-57A0-BF96EE1B5049}"/>
  </w:font>
  <w:font w:name="DM Serif Display">
    <w:family w:val="auto"/>
    <w:pitch w:val="variable"/>
    <w:sig w:usb0="E0002AFF" w:usb1="C000247B" w:usb2="00000009" w:usb3="00000000" w:csb0="000001FF" w:csb1="00000000"/>
    <w:embedRegular r:id="rId2" w:fontKey="{B4B47873-DB5A-0D55-CBE8-D6448CCB88E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Protección de Datos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PROTECCIÓN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Protección de Datos</dc:title>
  <dc:creator>Method into Impact</dc:creator>
  <dc:description>Cómo [[Nombre de la organización]] recoge, usa, comparte, protege y elimina la información personal de las personas a las que servimos, de nuestro equipo y de nuestros simpatizantes.</dc:description>
  <cp:lastModifiedBy>Un-named</cp:lastModifiedBy>
  <cp:revision>1</cp:revision>
  <dcterms:created xsi:type="dcterms:W3CDTF">2026-10-29T06:07:51.175Z</dcterms:created>
  <dcterms:modified xsi:type="dcterms:W3CDTF">2026-10-29T06:07:51.175Z</dcterms:modified>
</cp:coreProperties>
</file>

<file path=docProps/custom.xml><?xml version="1.0" encoding="utf-8"?>
<Properties xmlns="http://schemas.openxmlformats.org/officeDocument/2006/custom-properties" xmlns:vt="http://schemas.openxmlformats.org/officeDocument/2006/docPropsVTypes"/>
</file>