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LISTA DE VERIFICACIÓN DE CUMPLIMIENTO · REVISIÓN DE SALUD LEGAL</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Lista de Verificación para Revisión Legal</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Una lista de verificación de sí o no que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completa antes de adoptar un nuevo documento, y una vez al año como revisión de salud legal, y que después lleva a una asesoría jurídica junto con un breve cuestionario de preguntas.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Las plantillas y las buenas intenciones no bastan: cada organización debe ajustar sus documentos a la ley del lugar donde está registrada y donde trabaja. Esta lista de verificación te muestra qué comprobar, te ayuda a detectar carencias antes de que lo haga un financiador o un regulador, y hace mucho más útil una hora con una asesoría jurídica. No es asesoramiento legal y no lo sustituye.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Tu órgano de gobierno; las firmas auditoras; los financiadores en la debida diligencia (muchos preguntan si tus políticas han pasado una revisión legal); las asesorías jurídicas y pro bono, que necesitan un encargo claro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 2 a 3 horas para completarla; después, de 1 a 2 horas con una asesoría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Términos de Referencia del Órgano de Gobierno · Matriz de Delegación de Autoridad · Registro de Riesgos · Calendario de Conservación de Registros · Política de Protección de Datos · Evaluación de Impacto en la Protección de Datos · Política de Debida Diligencia de Socios y Control de Sanciones · Cuestionario de Debida Diligencia para Socios · Contrato de Trabajo · Contrato de Prestación de Servicios Independientes · Procedimiento de Aprobación y Revisión de Políticas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Lista de Verificación para Revisión Legal</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Lista de verificación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La </w:t>
            </w:r>
            <w:r>
              <w:rPr>
                <w:rFonts w:ascii="Nunito Sans" w:cs="Nunito Sans" w:eastAsia="Nunito Sans" w:hAnsi="Nunito Sans"/>
                <w:color w:val="102E3B"/>
                <w:sz w:val="19"/>
                <w:szCs w:val="19"/>
                <w:highlight w:val="yellow"/>
              </w:rPr>
              <w:t xml:space="preserve">[dirección ejecutiva / persona fundadora]</w:t>
            </w:r>
            <w:r>
              <w:rPr>
                <w:rFonts w:ascii="Nunito Sans" w:cs="Nunito Sans" w:eastAsia="Nunito Sans" w:hAnsi="Nunito Sans"/>
                <w:color w:val="102E3B"/>
                <w:sz w:val="19"/>
                <w:szCs w:val="19"/>
              </w:rPr>
              <w:t xml:space="preserve">, el órgano de gobierno y cualquier persona que prepare una revisión legal para </w:t>
            </w:r>
            <w:r>
              <w:rPr>
                <w:rFonts w:ascii="Nunito Sans" w:cs="Nunito Sans" w:eastAsia="Nunito Sans" w:hAnsi="Nunito Sans"/>
                <w:color w:val="102E3B"/>
                <w:sz w:val="19"/>
                <w:szCs w:val="19"/>
                <w:highlight w:val="yellow"/>
              </w:rPr>
              <w:t xml:space="preserve">[Nombre de la organización]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[hola@tuorganizacion.org]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usar esta lista de verificación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Validación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La lista de verificación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Guía: cómo obtener asesoramiento jurídico de bajo costo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Cuestionario para la asesoría</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w:t>
            </w:r>
            <w:r>
              <w:rPr>
                <w:rFonts w:ascii="Nunito Sans" w:cs="Nunito Sans" w:eastAsia="Nunito Sans" w:hAnsi="Nunito Sans"/>
                <w:color w:val="102E3B"/>
                <w:sz w:val="19"/>
                <w:szCs w:val="19"/>
                <w:highlight w:val="yellow"/>
              </w:rPr>
              <w:t xml:space="preserve">[una organización pequeña de X personas]</w:t>
            </w:r>
            <w:r>
              <w:rPr>
                <w:rFonts w:ascii="Nunito Sans" w:cs="Nunito Sans" w:eastAsia="Nunito Sans" w:hAnsi="Nunito Sans"/>
                <w:color w:val="102E3B"/>
                <w:sz w:val="19"/>
                <w:szCs w:val="19"/>
              </w:rPr>
              <w:t xml:space="preserve">. </w:t>
            </w: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color w:val="102E3B"/>
                <w:sz w:val="19"/>
                <w:szCs w:val="19"/>
              </w:rPr>
              <w:t xml:space="preserve"> completa esta lista de verificación cada </w:t>
            </w:r>
            <w:r>
              <w:rPr>
                <w:rFonts w:ascii="Nunito Sans" w:cs="Nunito Sans" w:eastAsia="Nunito Sans" w:hAnsi="Nunito Sans"/>
                <w:color w:val="102E3B"/>
                <w:sz w:val="19"/>
                <w:szCs w:val="19"/>
                <w:highlight w:val="yellow"/>
              </w:rPr>
              <w:t xml:space="preserve">[año, en el mes de]</w:t>
            </w:r>
            <w:r>
              <w:rPr>
                <w:rFonts w:ascii="Nunito Sans" w:cs="Nunito Sans" w:eastAsia="Nunito Sans" w:hAnsi="Nunito Sans"/>
                <w:color w:val="102E3B"/>
                <w:sz w:val="19"/>
                <w:szCs w:val="19"/>
              </w:rPr>
              <w:t xml:space="preserve"> y antes de adoptar cualquier nueva política, acuerdo o formulario. </w:t>
            </w:r>
            <w:r>
              <w:rPr>
                <w:rFonts w:ascii="Nunito Sans" w:cs="Nunito Sans" w:eastAsia="Nunito Sans" w:hAnsi="Nunito Sans"/>
                <w:b/>
                <w:bCs/>
                <w:color w:val="102E3B"/>
                <w:sz w:val="19"/>
                <w:szCs w:val="19"/>
                <w:highlight w:val="yellow"/>
              </w:rPr>
              <w:t xml:space="preserve">[Nombre, miembro del órgano de gobierno]</w:t>
            </w:r>
            <w:r>
              <w:rPr>
                <w:rFonts w:ascii="Nunito Sans" w:cs="Nunito Sans" w:eastAsia="Nunito Sans" w:hAnsi="Nunito Sans"/>
                <w:color w:val="102E3B"/>
                <w:sz w:val="19"/>
                <w:szCs w:val="19"/>
              </w:rPr>
              <w:t xml:space="preserve"> la revisa con esa persona e informa al órgano de gobierno de las principales carencias. Llevamos el cuestionario para la asesoría a </w:t>
            </w:r>
            <w:r>
              <w:rPr>
                <w:rFonts w:ascii="Nunito Sans" w:cs="Nunito Sans" w:eastAsia="Nunito Sans" w:hAnsi="Nunito Sans"/>
                <w:color w:val="102E3B"/>
                <w:sz w:val="19"/>
                <w:szCs w:val="19"/>
                <w:highlight w:val="yellow"/>
              </w:rPr>
              <w:t xml:space="preserve">[nuestra asesoría jurídica / una asesoría pro bono]</w:t>
            </w:r>
            <w:r>
              <w:rPr>
                <w:rFonts w:ascii="Nunito Sans" w:cs="Nunito Sans" w:eastAsia="Nunito Sans" w:hAnsi="Nunito Sans"/>
                <w:color w:val="102E3B"/>
                <w:sz w:val="19"/>
                <w:szCs w:val="19"/>
              </w:rPr>
              <w:t xml:space="preserve"> y dejamos constancia de las respuestas.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ESTA LISTA DE VERIFICACIÓN</w:t>
            </w:r>
          </w:p>
          <w:p>
            <w:pPr>
              <w:spacing w:after="120" w:before="0" w:line="300"/>
            </w:pPr>
            <w:r>
              <w:rPr>
                <w:rFonts w:ascii="Nunito Sans" w:cs="Nunito Sans" w:eastAsia="Nunito Sans" w:hAnsi="Nunito Sans"/>
                <w:color w:val="102E3B"/>
                <w:sz w:val="19"/>
                <w:szCs w:val="19"/>
              </w:rPr>
              <w:t xml:space="preserve">Elimina cualquier sección que claramente no se aplique (por ejemplo, la legislación de consumo si no vendes nada), pero piénsalo dos veces antes de eliminarla: muchas organizaciones pequeñas encuentran carencias donde menos lo esperan. Si trabajas en más de un país, completa la lista una vez para el país de registro y otra vez, de forma más breve, para cada país en el que realices actividades, emplees a personas o tengas una cuenta bancaria. Esta lista de verificación es una guía sobre qué preguntar, no una exposición de la ley de ningún país.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Cómo usar esta lista de verificación</w:t>
      </w:r>
    </w:p>
    <w:p>
      <w:pPr>
        <w:pStyle w:val="ListParagraph"/>
        <w:numPr>
          <w:ilvl w:val="0"/>
          <w:numId w:val="3"/>
        </w:numPr>
        <w:spacing w:after="80" w:line="290"/>
      </w:pPr>
      <w:r>
        <w:rPr>
          <w:rFonts w:ascii="Nunito Sans" w:cs="Nunito Sans" w:eastAsia="Nunito Sans" w:hAnsi="Nunito Sans"/>
          <w:color w:val="102E3B"/>
          <w:sz w:val="20"/>
          <w:szCs w:val="20"/>
        </w:rPr>
        <w:t xml:space="preserve">Marque cada punto que sea </w:t>
      </w:r>
      <w:r>
        <w:rPr>
          <w:rFonts w:ascii="Nunito Sans" w:cs="Nunito Sans" w:eastAsia="Nunito Sans" w:hAnsi="Nunito Sans"/>
          <w:b/>
          <w:bCs/>
          <w:color w:val="102E3B"/>
          <w:sz w:val="20"/>
          <w:szCs w:val="20"/>
        </w:rPr>
        <w:t xml:space="preserve">cierto y que pueda demostrar</w:t>
      </w:r>
      <w:r>
        <w:rPr>
          <w:rFonts w:ascii="Nunito Sans" w:cs="Nunito Sans" w:eastAsia="Nunito Sans" w:hAnsi="Nunito Sans"/>
          <w:color w:val="102E3B"/>
          <w:sz w:val="20"/>
          <w:szCs w:val="20"/>
        </w:rPr>
        <w:t xml:space="preserve"> con un documento, una presentación o un registro. Anote dónde se guarda la prueba.</w:t>
      </w:r>
    </w:p>
    <w:p>
      <w:pPr>
        <w:pStyle w:val="ListParagraph"/>
        <w:numPr>
          <w:ilvl w:val="0"/>
          <w:numId w:val="3"/>
        </w:numPr>
        <w:spacing w:after="80" w:line="290"/>
      </w:pPr>
      <w:r>
        <w:rPr>
          <w:rFonts w:ascii="Nunito Sans" w:cs="Nunito Sans" w:eastAsia="Nunito Sans" w:hAnsi="Nunito Sans"/>
          <w:color w:val="102E3B"/>
          <w:sz w:val="20"/>
          <w:szCs w:val="20"/>
        </w:rPr>
        <w:t xml:space="preserve">Si la respuesta es no, o tiene dudas, déjelo sin marcar y cópielo como pregunta en el cuestionario para la asesoría que figura al final.</w:t>
      </w:r>
    </w:p>
    <w:p>
      <w:pPr>
        <w:pStyle w:val="ListParagraph"/>
        <w:numPr>
          <w:ilvl w:val="0"/>
          <w:numId w:val="3"/>
        </w:numPr>
        <w:spacing w:after="80" w:line="290"/>
      </w:pPr>
      <w:r>
        <w:rPr>
          <w:rFonts w:ascii="Nunito Sans" w:cs="Nunito Sans" w:eastAsia="Nunito Sans" w:hAnsi="Nunito Sans"/>
          <w:color w:val="102E3B"/>
          <w:sz w:val="20"/>
          <w:szCs w:val="20"/>
        </w:rPr>
        <w:t xml:space="preserve">Dé prioridad a los puntos sin marcar que podrían dar lugar a una multa, a la pérdida del registro, a un daño a una persona o a la pérdida de financiación.</w:t>
      </w:r>
    </w:p>
    <w:p>
      <w:pPr>
        <w:pStyle w:val="ListParagraph"/>
        <w:numPr>
          <w:ilvl w:val="0"/>
          <w:numId w:val="3"/>
        </w:numPr>
        <w:spacing w:after="80" w:line="290"/>
      </w:pPr>
      <w:r>
        <w:rPr>
          <w:rFonts w:ascii="Nunito Sans" w:cs="Nunito Sans" w:eastAsia="Nunito Sans" w:hAnsi="Nunito Sans"/>
          <w:color w:val="102E3B"/>
          <w:sz w:val="20"/>
          <w:szCs w:val="20"/>
        </w:rPr>
        <w:t xml:space="preserve">Lleve a su asesoría el cuestionario, su documento constitutivo y los documentos en cuestión. Anote sus respuestas y las acciones acordadas.</w:t>
      </w:r>
    </w:p>
    <w:p>
      <w:pPr>
        <w:pStyle w:val="ListParagraph"/>
        <w:numPr>
          <w:ilvl w:val="0"/>
          <w:numId w:val="3"/>
        </w:numPr>
        <w:spacing w:after="80" w:line="290"/>
      </w:pPr>
      <w:r>
        <w:rPr>
          <w:rFonts w:ascii="Nunito Sans" w:cs="Nunito Sans" w:eastAsia="Nunito Sans" w:hAnsi="Nunito Sans"/>
          <w:color w:val="102E3B"/>
          <w:sz w:val="20"/>
          <w:szCs w:val="20"/>
        </w:rPr>
        <w:t xml:space="preserve">Informe del resultado al órgano de gobierno y añada las carencias importantes al Registro de Riesgos.</w:t>
      </w:r>
    </w:p>
    <w:p>
      <w:pPr>
        <w:pStyle w:val="Heading1"/>
        <w:keepNext/>
        <w:spacing w:after="160" w:before="360"/>
      </w:pPr>
      <w:r>
        <w:rPr>
          <w:rFonts w:ascii="DM Serif Display" w:cs="DM Serif Display" w:eastAsia="DM Serif Display" w:hAnsi="DM Serif Display"/>
          <w:color w:val="123C48"/>
          <w:sz w:val="40"/>
          <w:szCs w:val="40"/>
        </w:rPr>
        <w:t xml:space="preserve">La lista de verificación</w:t>
      </w:r>
    </w:p>
    <w:p>
      <w:pPr>
        <w:pStyle w:val="Heading2"/>
        <w:keepNext/>
        <w:spacing w:after="120" w:before="280"/>
      </w:pPr>
      <w:r>
        <w:rPr>
          <w:rFonts w:ascii="DM Serif Display" w:cs="DM Serif Display" w:eastAsia="DM Serif Display" w:hAnsi="DM Serif Display"/>
          <w:color w:val="123C48"/>
          <w:sz w:val="28"/>
          <w:szCs w:val="28"/>
        </w:rPr>
        <w:t xml:space="preserve">1. Registro y forma jurídica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Conocemos nuestra forma jurídica exacta (por ejemplo, asociación, fideicomiso, sociedad civil, sociedad sin ánimo de lucro, fundación, cooperativa o sociedad de empresa social) y nos permite todo lo que hacemos, incluida cualquier actividad comercial.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Nuestro registro está vigente, y nuestro nombre registrado, nuestro domicilio y nuestros fines coinciden con lo que hacemos realmente.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Estamos registrados, o hemos confirmado que no necesitamos estarlo, en cada país en el que realizamos actividades, empleamos a personas o tenemos una cuenta bancaria.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Sabemos qué reguladores nos supervisan y qué cambios debemos comunicarles (por ejemplo, un nuevo miembro del órgano de gobierno, un nuevo domicilio o un nuevo fin).</w:t>
      </w:r>
    </w:p>
    <w:p>
      <w:pPr>
        <w:pStyle w:val="Heading2"/>
        <w:keepNext/>
        <w:spacing w:after="120" w:before="280"/>
      </w:pPr>
      <w:r>
        <w:rPr>
          <w:rFonts w:ascii="DM Serif Display" w:cs="DM Serif Display" w:eastAsia="DM Serif Display" w:hAnsi="DM Serif Display"/>
          <w:color w:val="123C48"/>
          <w:sz w:val="28"/>
          <w:szCs w:val="28"/>
        </w:rPr>
        <w:t xml:space="preserve">2. Presentaciones anuales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Llevamos un calendario de cumplimiento con cada plazo de presentación y de renovación (declaración anual, cuentas, declaraciones de impuestos, informes al regulador, renovación del registro), cada uno con una persona responsable designada.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Nuestra última declaración anual y nuestras últimas cuentas se presentaron a tiempo ante todas las autoridades que las exigen.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Nuestras cuentas se auditan o se someten a un examen independiente cuando lo exigen la ley, nuestro documento constitutivo o un financiador.</w:t>
      </w:r>
    </w:p>
    <w:p>
      <w:pPr>
        <w:pStyle w:val="Heading2"/>
        <w:keepNext/>
        <w:spacing w:after="120" w:before="280"/>
      </w:pPr>
      <w:r>
        <w:rPr>
          <w:rFonts w:ascii="DM Serif Display" w:cs="DM Serif Display" w:eastAsia="DM Serif Display" w:hAnsi="DM Serif Display"/>
          <w:color w:val="123C48"/>
          <w:sz w:val="28"/>
          <w:szCs w:val="28"/>
        </w:rPr>
        <w:t xml:space="preserve">3. Documentos de gobierno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Tenemos una copia firmada y vigente de nuestro documento constitutivo, y cada modificación se aprobó y se presentó según lo exigido.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Nuestros fines cubren todas las actividades actuales, incluidos los nuevos programas, países y fuentes de ingresos.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Los nombramientos del órgano de gobierno, los mandatos, las reuniones y las actas siguen el documento constitutivo y nuestros Términos de Referencia del Órgano de Gobierno.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Nuestras políticas esenciales fueron aprobadas por el órgano que exige el documento constitutivo.</w:t>
      </w:r>
    </w:p>
    <w:p>
      <w:pPr>
        <w:pStyle w:val="Heading2"/>
        <w:keepNext/>
        <w:spacing w:after="120" w:before="280"/>
      </w:pPr>
      <w:r>
        <w:rPr>
          <w:rFonts w:ascii="DM Serif Display" w:cs="DM Serif Display" w:eastAsia="DM Serif Display" w:hAnsi="DM Serif Display"/>
          <w:color w:val="123C48"/>
          <w:sz w:val="28"/>
          <w:szCs w:val="28"/>
        </w:rPr>
        <w:t xml:space="preserve">4. Facultades de firma y banca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Sabemos quién puede firmar contratos, abrir cuentas bancarias y comprometer a la organización, y esto coincide con la Matriz de Delegación de Autoridad.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Nuestros mandatos bancarios exigen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personas firmantes autorizadas y solo incluyen a personas que siguen en sus cargos.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Los poderes o cartas de autorización están registrados y se revocan cuando la persona deja la organización.</w:t>
      </w:r>
    </w:p>
    <w:p>
      <w:pPr>
        <w:pStyle w:val="Heading2"/>
        <w:keepNext/>
        <w:spacing w:after="120" w:before="280"/>
      </w:pPr>
      <w:r>
        <w:rPr>
          <w:rFonts w:ascii="DM Serif Display" w:cs="DM Serif Display" w:eastAsia="DM Serif Display" w:hAnsi="DM Serif Display"/>
          <w:color w:val="123C48"/>
          <w:sz w:val="28"/>
          <w:szCs w:val="28"/>
        </w:rPr>
        <w:t xml:space="preserve">5. Situación y registro fiscal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Sabemos si estamos exentos del impuesto sobre la renta o sobre sociedades, y tenemos una confirmación por escrito.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Estamos dados de alta en los impuestos que nos aplican, y los pagamos: retenciones del empleador sobre los salarios, seguridad social, e IVA o impuesto sobre las ventas si nuestras ventas superan el umbral.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Si decimos a las personas donantes que sus donaciones son deducibles, tenemos la autorización correspondiente y emitimos los recibos en la forma exigida.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Retenemos y pagamos cualquier retención fiscal debida sobre los pagos a contratistas y proveedores extranjeros.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NOTAS FISCALES POR PAÍS</w:t>
            </w:r>
          </w:p>
          <w:p>
            <w:pPr>
              <w:spacing w:after="120" w:before="0" w:line="300"/>
            </w:pPr>
            <w:r>
              <w:rPr>
                <w:rFonts w:ascii="Nunito Sans" w:cs="Nunito Sans" w:eastAsia="Nunito Sans" w:hAnsi="Nunito Sans"/>
                <w:color w:val="102E3B"/>
                <w:sz w:val="19"/>
                <w:szCs w:val="19"/>
              </w:rPr>
              <w:t xml:space="preserve">En muchos países, la exención fiscal y la deducción para las personas donantes son autorizaciones distintas. Ejemplos: en la India, el registro para la exención (conocido durante mucho tiempo como 12A o 12AB) y la autorización para la deducción de las personas donantes (80G), números de sección de la Income-tax Act 1961 que pueden ser distintos en la Income-tax Act 2025, así que comprueba las disposiciones vigentes; en Sudáfrica, la autorización como public benefit organisation y, por separado, la autorización conforme a la sección 18A para los recibos de donación; en los Estados Unidos, la condición 501(c)(3) otorgada por el IRS para las personas donantes estadounidenses. La legislación fiscal cambia con frecuencia, así que pide a una asesoría contable o fiscal local que confirme la situación actual y las fechas de presentación.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Financiación extranjera y registro como ONG</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Hemos comprobado si necesitamos una autorización del Gobierno para recibir fondos extranjeros, y tenemos cualquier autorización exigida.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La fecha de renovación de nuestro registro o permiso como ONG, organización sin ánimo de lucro o de utilidad pública figura en el calendario de cumplimiento, y todos los informes que exige están al día.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Hemos comprobado las reglas sobre la transferencia de dinero entre países, el cambio de divisas y la transferencia de fondos a organizaciones socias (subvenciones a socios).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REGLAS SOBRE FINANCIACIÓN EXTRANJERA</w:t>
            </w:r>
          </w:p>
          <w:p>
            <w:pPr>
              <w:spacing w:after="120" w:before="0" w:line="300"/>
            </w:pPr>
            <w:r>
              <w:rPr>
                <w:rFonts w:ascii="Nunito Sans" w:cs="Nunito Sans" w:eastAsia="Nunito Sans" w:hAnsi="Nunito Sans"/>
                <w:color w:val="102E3B"/>
                <w:sz w:val="19"/>
                <w:szCs w:val="19"/>
              </w:rPr>
              <w:t xml:space="preserve">Varios países regulan estrechamente la financiación extranjera. La India es un ejemplo conocido: conforme a la Foreign Contribution (Regulation) Act 2010, modificada en 2020, una organización necesita un registro FCRA o un permiso previo para recibir fondos extranjeros, el registro debe renovarse cada cinco años, los fondos extranjeros deben recibirse primero en una cuenta FCRA designada en la sucursal principal de Nueva Delhi del State Bank of India, y la transferencia de fondos extranjeros a otras organizaciones está restringida. Otros países exigen permisos de ONG que deben renovarse periódicamente, por ejemplo conforme a la NGO Act 2016 de Uganda, o fijan reglas sobre la financiación extranjera y las categorías de registro, por ejemplo la proclamación de 2019 sobre las organizaciones de la sociedad civil de Etiopía. Las reglas cambian y a veces se aplican con rigor, así que confirma los requisitos vigentes con una asesoría jurídica local.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Empleo, voluntariado y personas contratistas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Cada persona empleada tiene un contrato por escrito que cumple los mínimos legales locales (salario, horario, vacaciones, preaviso, periodo de prueba).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Las personas que tratamos como contratistas o como voluntarias lo son realmente según la ley local, y no son personas empleadas encubiertas.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Estamos inscritos como empleador y pagamos las cotizaciones exigidas (seguridad social, pensiones, salud, accidentes de trabajo).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Toda persona que no tenga la nacionalidad del país tiene derecho a trabajar, y conservamos copias de los permisos.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Nuestros procedimientos disciplinarios, de reclamaciones y de despido cumplen la legislación laboral local.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CONDICIÓN LABORAL</w:t>
            </w:r>
          </w:p>
          <w:p>
            <w:pPr>
              <w:spacing w:after="120" w:before="0" w:line="300"/>
            </w:pPr>
            <w:r>
              <w:rPr>
                <w:rFonts w:ascii="Nunito Sans" w:cs="Nunito Sans" w:eastAsia="Nunito Sans" w:hAnsi="Nunito Sans"/>
                <w:color w:val="102E3B"/>
                <w:sz w:val="19"/>
                <w:szCs w:val="19"/>
              </w:rPr>
              <w:t xml:space="preserve">Clasificar erróneamente al personal como contratista o voluntario es uno de los riesgos legales más habituales de las organizaciones pequeñas. Los tribunales suelen fijarse en la realidad, no en la etiqueta: quién controla el trabajo y el horario, si la persona forma parte del equipo, si trabaja solo para ti y quién aporta el equipo de trabajo. La Recomendación sobre la relación de trabajo, 2006 (núm. 198) de la OIT recoge estos indicios. En algunos países, las personas voluntarias que reciben pagos periódicos superiores a sus gastos reales pueden considerarse personas empleadas y tener derecho al salario mínimo. Revisa tu legislación laboral local.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Obligaciones legales de salvaguarda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Sabemos si la ley nos obliga a denunciar el abuso de niños, niñas y adolescentes o de personas adultas en situación de riesgo, ante quién y en qué plazo.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Sabemos qué comprobaciones de antecedentes o de antecedentes penales podemos o debemos realizar para los puestos en contacto con niños, niñas y adolescentes o con personas adultas en situación de riesgo, y las realizamos.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Conocemos la ley local sobre la mayoría de edad, el trabajo infantil y el consentimiento para fotos y datos de niños, niñas y adolescentes.</w:t>
      </w:r>
    </w:p>
    <w:p>
      <w:pPr>
        <w:pStyle w:val="Heading2"/>
        <w:keepNext/>
        <w:spacing w:after="120" w:before="280"/>
      </w:pPr>
      <w:r>
        <w:rPr>
          <w:rFonts w:ascii="DM Serif Display" w:cs="DM Serif Display" w:eastAsia="DM Serif Display" w:hAnsi="DM Serif Display"/>
          <w:color w:val="123C48"/>
          <w:sz w:val="28"/>
          <w:szCs w:val="28"/>
        </w:rPr>
        <w:t xml:space="preserve">9. Protección de datos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Sabemos qué leyes de protección de datos nos aplican: donde estamos registrados, donde se encuentran las personas cuyos datos conservamos y donde se almacenan nuestros datos.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Nos hemos inscrito ante la autoridad de protección de datos, o hemos pagado la tasa correspondiente, cuando así se exige.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Tenemos un Aviso de Privacidad, una base jurídica para cada uso de datos personales y formularios de consentimiento cuando nos apoyamos en el consentimiento.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Conocemos las reglas sobre la transferencia de datos al extranjero y el plazo para notificar una brecha de datos.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INSCRIPCIÓN EN MATERIA DE PROTECCIÓN DE DATOS</w:t>
            </w:r>
          </w:p>
          <w:p>
            <w:pPr>
              <w:spacing w:after="120" w:before="0" w:line="300"/>
            </w:pPr>
            <w:r>
              <w:rPr>
                <w:rFonts w:ascii="Nunito Sans" w:cs="Nunito Sans" w:eastAsia="Nunito Sans" w:hAnsi="Nunito Sans"/>
                <w:color w:val="102E3B"/>
                <w:sz w:val="19"/>
                <w:szCs w:val="19"/>
              </w:rPr>
              <w:t xml:space="preserve">Algunas leyes exigen que las organizaciones se inscriban o paguen una tasa, con exenciones que varían. Ejemplos: Kenia exige la inscripción ante la Office of the Data Protection Commissioner conforme a la Data Protection Act 2019 y a su reglamento de inscripción de 2021; Sudáfrica exige que la persona responsable de la información (information officer) esté inscrita ante el Information Regulator conforme a la POPIA; Nigeria exige que los responsables y encargados del tratamiento "de gran importancia" se inscriban ante la Nigeria Data Protection Commission conforme a la Nigeria Data Protection Act 2023; en el Reino Unido, la mayoría de las organizaciones pagan una tasa de protección de datos a la Information Commissioner's Office, con algunas exenciones para las organizaciones sin ánimo de lucro. Comprueba si te aplican las exenciones para organizaciones pequeñas.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Sanciones y financiación del terrorismo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Sabemos qué listas de sanciones nos exigen consultar nuestros financiadores (normalmente la Lista Consolidada del Consejo de Seguridad de las Naciones Unidas y, a menudo, las listas de la OFAC de EE. UU., de la UE y del Reino Unido).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Antes de contratar, cotejamos con esas listas a las organizaciones socias, a las entidades receptoras de subvenciones, a los proveedores principales y a </w:t>
      </w:r>
      <w:r>
        <w:rPr>
          <w:rFonts w:ascii="Nunito Sans" w:cs="Nunito Sans" w:eastAsia="Nunito Sans" w:hAnsi="Nunito Sans"/>
          <w:color w:val="102E3B"/>
          <w:sz w:val="20"/>
          <w:szCs w:val="20"/>
          <w:highlight w:val="yellow"/>
        </w:rPr>
        <w:t xml:space="preserve">[el personal]</w:t>
      </w:r>
      <w:r>
        <w:rPr>
          <w:rFonts w:ascii="Nunito Sans" w:cs="Nunito Sans" w:eastAsia="Nunito Sans" w:hAnsi="Nunito Sans"/>
          <w:color w:val="102E3B"/>
          <w:sz w:val="20"/>
          <w:szCs w:val="20"/>
        </w:rPr>
        <w:t xml:space="preserve">, y dejamos constancia del resultado, como establece nuestra Política de Debida Diligencia de Socios y Control de Sanciones.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Entendemos las cláusulas antiterroristas de nuestros acuerdos de subvención y aplicamos un enfoque basado en el riesgo, como espera la Recomendación 8 del GAFI.</w:t>
      </w:r>
    </w:p>
    <w:p>
      <w:pPr>
        <w:pStyle w:val="Heading2"/>
        <w:keepNext/>
        <w:spacing w:after="120" w:before="280"/>
      </w:pPr>
      <w:r>
        <w:rPr>
          <w:rFonts w:ascii="DM Serif Display" w:cs="DM Serif Display" w:eastAsia="DM Serif Display" w:hAnsi="DM Serif Display"/>
          <w:color w:val="123C48"/>
          <w:sz w:val="28"/>
          <w:szCs w:val="28"/>
        </w:rPr>
        <w:t xml:space="preserve">11. Condiciones de los financiadores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Hemos identificado las condiciones de cada subvención vigente (costos elegibles, compras, informes, auditoría, imagen de marca, datos, salvaguarda, notificación de incidentes), con plazos y personas responsables.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Trasladamos las condiciones de los financiadores a las organizaciones socias (traslado obligatorio o "flow-down") en nuestro Acuerdo de Subvención a Socios cuando el financiador lo exige.</w:t>
      </w:r>
    </w:p>
    <w:p>
      <w:pPr>
        <w:pStyle w:val="Heading2"/>
        <w:keepNext/>
        <w:spacing w:after="120" w:before="280"/>
      </w:pPr>
      <w:r>
        <w:rPr>
          <w:rFonts w:ascii="DM Serif Display" w:cs="DM Serif Display" w:eastAsia="DM Serif Display" w:hAnsi="DM Serif Display"/>
          <w:color w:val="123C48"/>
          <w:sz w:val="28"/>
          <w:szCs w:val="28"/>
        </w:rPr>
        <w:t xml:space="preserve">12. Registro de contratos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Llevamos un registro de todos los contratos, arrendamientos, memorandos de entendimiento y acuerdos de subvención, con sus fechas de renovación y terminación.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Nuestros contratos clave se han revisado en cuanto a la ley aplicable, la responsabilidad, las indemnizaciones, la propiedad intelectual, los datos y la terminación.</w:t>
      </w:r>
    </w:p>
    <w:p>
      <w:pPr>
        <w:pStyle w:val="Heading2"/>
        <w:keepNext/>
        <w:spacing w:after="120" w:before="280"/>
      </w:pPr>
      <w:r>
        <w:rPr>
          <w:rFonts w:ascii="DM Serif Display" w:cs="DM Serif Display" w:eastAsia="DM Serif Display" w:hAnsi="DM Serif Display"/>
          <w:color w:val="123C48"/>
          <w:sz w:val="28"/>
          <w:szCs w:val="28"/>
        </w:rPr>
        <w:t xml:space="preserve">13. Seguros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Tenemos todos los seguros que exige la ley (por ejemplo, el de responsabilidad del empleador o de accidentes de trabajo, y el de responsabilidad civil de vehículos frente a terceros).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Hemos considerado, y decidido por escrito, sobre los seguros de responsabilidad civil general, de responsabilidad profesional, de responsabilidad de los miembros del órgano de gobierno o de los administradores, de bienes y equipos, de viaje y evacuación médica, y de riesgos cibernéticos.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Nuestras pólizas cubren al voluntariado, todos los países en los que trabajamos y todas nuestras actividades, incluidos los eventos y el trabajo con niños, niñas y adolescentes.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SEGUROS</w:t>
            </w:r>
          </w:p>
          <w:p>
            <w:pPr>
              <w:spacing w:after="120" w:before="0" w:line="300"/>
            </w:pPr>
            <w:r>
              <w:rPr>
                <w:rFonts w:ascii="Nunito Sans" w:cs="Nunito Sans" w:eastAsia="Nunito Sans" w:hAnsi="Nunito Sans"/>
                <w:color w:val="102E3B"/>
                <w:sz w:val="19"/>
                <w:szCs w:val="19"/>
              </w:rPr>
              <w:t xml:space="preserve">La cobertura obligatoria varía. Por ejemplo, el seguro de responsabilidad del empleador es obligatorio para la mayoría de los empleadores en Gran Bretaña; la Work Injury Benefits Act 2007 de Kenia obliga a los empleadores a asegurar a sus personas empleadas; en Sudáfrica, los empleadores se inscriben conforme a la Compensation for Occupational Injuries and Diseases Act 1993. El seguro de responsabilidad de los miembros del órgano de gobierno o de los administradores (a veces llamado D&amp;O) es opcional, pero protege personalmente a los miembros del órgano de gobierno. La cobertura de viaje y evacuación médica es más importante cuando el personal viaja a zonas con atención sanitaria limitada. Algunos financiadores especifican una cobertura mínima en el acuerdo de subvención. Pide presupuestos a una correduría de seguros y deja constancia de las decisiones de no asegurar.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14. Propiedad intelectual y marca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Hemos comprobado que nuestro nombre y nuestro logotipo no entran en conflicto con otros, los hemos registrado como marcas cuando resulta útil, y nuestros nombres de dominio están a nombre de la organización.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Somos titulares, o tenemos licencia, de los materiales creados por el personal, las personas contratistas y el voluntariado, y tenemos licencias para el software, las imágenes, la música y las tipografías que usamos.</w:t>
      </w:r>
    </w:p>
    <w:p>
      <w:pPr>
        <w:pStyle w:val="Heading2"/>
        <w:keepNext/>
        <w:spacing w:after="120" w:before="280"/>
      </w:pPr>
      <w:r>
        <w:rPr>
          <w:rFonts w:ascii="DM Serif Display" w:cs="DM Serif Display" w:eastAsia="DM Serif Display" w:hAnsi="DM Serif Display"/>
          <w:color w:val="123C48"/>
          <w:sz w:val="28"/>
          <w:szCs w:val="28"/>
        </w:rPr>
        <w:t xml:space="preserve">15. Recaudación de fondos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Tenemos los permisos necesarios para colectas públicas, rifas, loterías o eventos de recaudación de fondos, y seguimos cualquier código de recaudación de fondos o registro que se aplique.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Nuestras afirmaciones en la recaudación de fondos son exactas, y cumplimos la ley sobre el contacto con las personas donantes y el uso de sus datos.</w:t>
      </w:r>
    </w:p>
    <w:p>
      <w:pPr>
        <w:pStyle w:val="Heading2"/>
        <w:keepNext/>
        <w:spacing w:after="120" w:before="280"/>
      </w:pPr>
      <w:r>
        <w:rPr>
          <w:rFonts w:ascii="DM Serif Display" w:cs="DM Serif Display" w:eastAsia="DM Serif Display" w:hAnsi="DM Serif Display"/>
          <w:color w:val="123C48"/>
          <w:sz w:val="28"/>
          <w:szCs w:val="28"/>
        </w:rPr>
        <w:t xml:space="preserve">16. Venta de bienes o servicios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Si vendemos bienes o servicios, nuestras condiciones de venta, devoluciones, seguridad de los productos, etiquetado y precios (impuestos incluidos) cumplen la legislación de consumo.</w:t>
      </w:r>
    </w:p>
    <w:p>
      <w:pPr>
        <w:pStyle w:val="Heading2"/>
        <w:keepNext/>
        <w:spacing w:after="120" w:before="280"/>
      </w:pPr>
      <w:r>
        <w:rPr>
          <w:rFonts w:ascii="DM Serif Display" w:cs="DM Serif Display" w:eastAsia="DM Serif Display" w:hAnsi="DM Serif Display"/>
          <w:color w:val="123C48"/>
          <w:sz w:val="28"/>
          <w:szCs w:val="28"/>
        </w:rPr>
        <w:t xml:space="preserve">17. Registros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Nuestro Calendario de Conservación de Registros cumple los plazos legales mínimos para los registros contables, fiscales, laborales y de salvaguarda, y nuestros registros se guardan de forma segura.</w:t>
      </w:r>
    </w:p>
    <w:p>
      <w:pPr>
        <w:pStyle w:val="Heading1"/>
        <w:keepNext/>
        <w:spacing w:after="160" w:before="360"/>
      </w:pPr>
      <w:r>
        <w:rPr>
          <w:rFonts w:ascii="DM Serif Display" w:cs="DM Serif Display" w:eastAsia="DM Serif Display" w:hAnsi="DM Serif Display"/>
          <w:color w:val="123C48"/>
          <w:sz w:val="40"/>
          <w:szCs w:val="40"/>
        </w:rPr>
        <w:t xml:space="preserve">Cuestionario para la asesoría</w:t>
      </w:r>
    </w:p>
    <w:p>
      <w:pPr>
        <w:spacing w:after="120" w:before="0" w:line="300"/>
      </w:pPr>
      <w:r>
        <w:rPr>
          <w:rFonts w:ascii="Nunito Sans" w:cs="Nunito Sans" w:eastAsia="Nunito Sans" w:hAnsi="Nunito Sans"/>
          <w:color w:val="102E3B"/>
          <w:sz w:val="20"/>
          <w:szCs w:val="20"/>
        </w:rPr>
        <w:t xml:space="preserve">Copie aquí como pregunta cada punto sin marcar. Añada preguntas sobre cualquier nuevo documento que prevea adoptar. Envíe el cuestionario a su asesoría antes de la reunión.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2476"/>
        <w:gridCol w:w="2285"/>
        <w:gridCol w:w="2097"/>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POR QUÉ IMPORTA</w:t>
            </w:r>
          </w:p>
        </w:tc>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RESPUESTA</w:t>
            </w:r>
          </w:p>
        </w:tc>
        <w:tc>
          <w:tcPr>
            <w:tcW w:type="dxa" w:w="209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ACCIÓN Y PERSONA RESPONSABLE</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¿Son personas empleadas según la ley local nuestras dos personas facilitadoras de campo, aunque sus contratos digan "consultoría"?</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Salarios atrasados, sanciones de seguridad social, demandas por despido improcedente</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Firmar contratos de trabajo antes de junio; Nombre]</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¿Debemos inscribirnos ante la autoridad de protección de datos, y en qué plazo?</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Multas; cláusulas de datos de los financiadores</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¿Nos permiten nuestros estatutos vender formación a otras organizaciones?</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Actividad fuera de nuestros fines; exención fiscal</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¿Podemos transferir parte de la nueva subvención a una organización socia en </w:t>
            </w:r>
            <w:r>
              <w:rPr>
                <w:rFonts w:ascii="Nunito Sans" w:cs="Nunito Sans" w:eastAsia="Nunito Sans" w:hAnsi="Nunito Sans"/>
                <w:color w:val="102E3B"/>
                <w:sz w:val="18"/>
                <w:szCs w:val="18"/>
                <w:highlight w:val="yellow"/>
              </w:rPr>
              <w:t xml:space="preserve">[país]</w:t>
            </w:r>
            <w:r>
              <w:rPr>
                <w:rFonts w:ascii="Nunito Sans" w:cs="Nunito Sans" w:eastAsia="Nunito Sans" w:hAnsi="Nunito Sans"/>
                <w:color w:val="102E3B"/>
                <w:sz w:val="18"/>
                <w:szCs w:val="18"/>
              </w:rPr>
              <w:t xml:space="preserve">?</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Reglas sobre financiación extranjera y cambio de divisas; aprobación del financiador</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¿Nos obliga la ley a denunciar las sospechas de abuso infantil, y ante qué autoridad?</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Obligación legal; seguridad de niños, niñas y adolescentes</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¿Es este nuevo Acuerdo de Voluntariado coherente con la legislación laboral local?</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Riesgo de que las personas voluntarias pasen a ser personas empleadas</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spacing w:after="120" w:before="0" w:line="300"/>
      </w:pPr>
      <w:r>
        <w:rPr>
          <w:rFonts w:ascii="Nunito Sans" w:cs="Nunito Sans" w:eastAsia="Nunito Sans" w:hAnsi="Nunito Sans"/>
          <w:color w:val="102E3B"/>
          <w:sz w:val="20"/>
          <w:szCs w:val="20"/>
        </w:rPr>
        <w:t xml:space="preserve">Las filas de ejemplo muestran el tipo de pregunta que conviene hacer. Sustitúyalas por las suyas.</w:t>
      </w:r>
    </w:p>
    <w:p>
      <w:pPr>
        <w:pStyle w:val="Heading1"/>
        <w:keepNext/>
        <w:spacing w:after="160" w:before="360"/>
      </w:pPr>
      <w:r>
        <w:rPr>
          <w:rFonts w:ascii="DM Serif Display" w:cs="DM Serif Display" w:eastAsia="DM Serif Display" w:hAnsi="DM Serif Display"/>
          <w:color w:val="123C48"/>
          <w:sz w:val="40"/>
          <w:szCs w:val="40"/>
        </w:rPr>
        <w:t xml:space="preserve">Validación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Completado por: nombre y cargo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Revisado por (asesoría): nombre y organización</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Comunicado al órgano de gobierno el</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Referencia del acta del órgano de gobierno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Guía: cómo obtener asesoramiento jurídico de bajo costo</w:t>
      </w:r>
    </w:p>
    <w:p>
      <w:pPr>
        <w:spacing w:after="120" w:before="0" w:line="300"/>
      </w:pPr>
      <w:r>
        <w:rPr>
          <w:rFonts w:ascii="Nunito Sans" w:cs="Nunito Sans" w:eastAsia="Nunito Sans" w:hAnsi="Nunito Sans"/>
          <w:color w:val="102E3B"/>
          <w:sz w:val="20"/>
          <w:szCs w:val="20"/>
        </w:rPr>
        <w:t xml:space="preserve">No necesita una iguala costosa para obtener un buen asesoramiento. Prepárese bien, haga preguntas concretas y use estas vías:</w:t>
      </w:r>
    </w:p>
    <w:p>
      <w:pPr>
        <w:pStyle w:val="ListParagraph"/>
        <w:numPr>
          <w:ilvl w:val="0"/>
          <w:numId w:val="4"/>
        </w:numPr>
        <w:spacing w:after="80" w:line="290"/>
      </w:pPr>
      <w:r>
        <w:rPr>
          <w:rFonts w:ascii="Nunito Sans" w:cs="Nunito Sans" w:eastAsia="Nunito Sans" w:hAnsi="Nunito Sans"/>
          <w:b/>
          <w:bCs/>
          <w:color w:val="102E3B"/>
          <w:sz w:val="20"/>
          <w:szCs w:val="20"/>
        </w:rPr>
        <w:t xml:space="preserve">Programas pro bono.</w:t>
      </w:r>
      <w:r>
        <w:rPr>
          <w:rFonts w:ascii="Nunito Sans" w:cs="Nunito Sans" w:eastAsia="Nunito Sans" w:hAnsi="Nunito Sans"/>
          <w:color w:val="102E3B"/>
          <w:sz w:val="20"/>
          <w:szCs w:val="20"/>
        </w:rPr>
        <w:t xml:space="preserve"> TrustLaw, gestionado por la Thomson Reuters Foundation, pone en contacto a ONG y empresas sociales de muchos países con despachos de abogados que asesoran gratuitamente. Advocates for International Development (A4ID) gestiona ayuda jurídica gratuita para organizaciones que trabajan en desarrollo. PILnet apoya redes pro bono en varias regiones. Cada una tiene criterios de elegibilidad; compruébelos antes de presentar una solicitud.</w:t>
      </w:r>
    </w:p>
    <w:p>
      <w:pPr>
        <w:pStyle w:val="ListParagraph"/>
        <w:numPr>
          <w:ilvl w:val="0"/>
          <w:numId w:val="4"/>
        </w:numPr>
        <w:spacing w:after="80" w:line="290"/>
      </w:pPr>
      <w:r>
        <w:rPr>
          <w:rFonts w:ascii="Nunito Sans" w:cs="Nunito Sans" w:eastAsia="Nunito Sans" w:hAnsi="Nunito Sans"/>
          <w:b/>
          <w:bCs/>
          <w:color w:val="102E3B"/>
          <w:sz w:val="20"/>
          <w:szCs w:val="20"/>
        </w:rPr>
        <w:t xml:space="preserve">Clínicas jurídicas universitarias.</w:t>
      </w:r>
      <w:r>
        <w:rPr>
          <w:rFonts w:ascii="Nunito Sans" w:cs="Nunito Sans" w:eastAsia="Nunito Sans" w:hAnsi="Nunito Sans"/>
          <w:color w:val="102E3B"/>
          <w:sz w:val="20"/>
          <w:szCs w:val="20"/>
        </w:rPr>
        <w:t xml:space="preserve"> Muchas facultades de Derecho tienen clínicas en las que estudiantes supervisados ayudan a organizaciones sin ánimo de lucro con el registro, los documentos de gobierno y las cuestiones laborales.</w:t>
      </w:r>
    </w:p>
    <w:p>
      <w:pPr>
        <w:pStyle w:val="ListParagraph"/>
        <w:numPr>
          <w:ilvl w:val="0"/>
          <w:numId w:val="4"/>
        </w:numPr>
        <w:spacing w:after="80" w:line="290"/>
      </w:pPr>
      <w:r>
        <w:rPr>
          <w:rFonts w:ascii="Nunito Sans" w:cs="Nunito Sans" w:eastAsia="Nunito Sans" w:hAnsi="Nunito Sans"/>
          <w:b/>
          <w:bCs/>
          <w:color w:val="102E3B"/>
          <w:sz w:val="20"/>
          <w:szCs w:val="20"/>
        </w:rPr>
        <w:t xml:space="preserve">Plataformas y redes nacionales de ONG.</w:t>
      </w:r>
      <w:r>
        <w:rPr>
          <w:rFonts w:ascii="Nunito Sans" w:cs="Nunito Sans" w:eastAsia="Nunito Sans" w:hAnsi="Nunito Sans"/>
          <w:color w:val="102E3B"/>
          <w:sz w:val="20"/>
          <w:szCs w:val="20"/>
        </w:rPr>
        <w:t xml:space="preserve"> Suelen ofrecer revisión de plantillas, líneas de consulta jurídica, formación sobre nuevas leyes y asesoramiento colectivo, y saben cómo aplican las reglas los reguladores en la práctica.</w:t>
      </w:r>
    </w:p>
    <w:p>
      <w:pPr>
        <w:pStyle w:val="ListParagraph"/>
        <w:numPr>
          <w:ilvl w:val="0"/>
          <w:numId w:val="4"/>
        </w:numPr>
        <w:spacing w:after="80" w:line="290"/>
      </w:pPr>
      <w:r>
        <w:rPr>
          <w:rFonts w:ascii="Nunito Sans" w:cs="Nunito Sans" w:eastAsia="Nunito Sans" w:hAnsi="Nunito Sans"/>
          <w:b/>
          <w:bCs/>
          <w:color w:val="102E3B"/>
          <w:sz w:val="20"/>
          <w:szCs w:val="20"/>
        </w:rPr>
        <w:t xml:space="preserve">Colegios de abogados.</w:t>
      </w:r>
      <w:r>
        <w:rPr>
          <w:rFonts w:ascii="Nunito Sans" w:cs="Nunito Sans" w:eastAsia="Nunito Sans" w:hAnsi="Nunito Sans"/>
          <w:color w:val="102E3B"/>
          <w:sz w:val="20"/>
          <w:szCs w:val="20"/>
        </w:rPr>
        <w:t xml:space="preserve"> Algunos gestionan programas pro bono o servicios de derivación.</w:t>
      </w:r>
    </w:p>
    <w:p>
      <w:pPr>
        <w:pStyle w:val="ListParagraph"/>
        <w:numPr>
          <w:ilvl w:val="0"/>
          <w:numId w:val="4"/>
        </w:numPr>
        <w:spacing w:after="80" w:line="290"/>
      </w:pPr>
      <w:r>
        <w:rPr>
          <w:rFonts w:ascii="Nunito Sans" w:cs="Nunito Sans" w:eastAsia="Nunito Sans" w:hAnsi="Nunito Sans"/>
          <w:b/>
          <w:bCs/>
          <w:color w:val="102E3B"/>
          <w:sz w:val="20"/>
          <w:szCs w:val="20"/>
        </w:rPr>
        <w:t xml:space="preserve">Fuentes de referencia.</w:t>
      </w:r>
      <w:r>
        <w:rPr>
          <w:rFonts w:ascii="Nunito Sans" w:cs="Nunito Sans" w:eastAsia="Nunito Sans" w:hAnsi="Nunito Sans"/>
          <w:color w:val="102E3B"/>
          <w:sz w:val="20"/>
          <w:szCs w:val="20"/>
        </w:rPr>
        <w:t xml:space="preserve"> El International Center for Not-for-Profit Law (ICNL) publica información por país sobre las leyes que rigen la sociedad civil.</w:t>
      </w:r>
    </w:p>
    <w:p>
      <w:pPr>
        <w:pStyle w:val="ListParagraph"/>
        <w:numPr>
          <w:ilvl w:val="0"/>
          <w:numId w:val="4"/>
        </w:numPr>
        <w:spacing w:after="80" w:line="290"/>
      </w:pPr>
      <w:r>
        <w:rPr>
          <w:rFonts w:ascii="Nunito Sans" w:cs="Nunito Sans" w:eastAsia="Nunito Sans" w:hAnsi="Nunito Sans"/>
          <w:b/>
          <w:bCs/>
          <w:color w:val="102E3B"/>
          <w:sz w:val="20"/>
          <w:szCs w:val="20"/>
        </w:rPr>
        <w:t xml:space="preserve">Asesorías contables y firmas auditoras</w:t>
      </w:r>
      <w:r>
        <w:rPr>
          <w:rFonts w:ascii="Nunito Sans" w:cs="Nunito Sans" w:eastAsia="Nunito Sans" w:hAnsi="Nunito Sans"/>
          <w:color w:val="102E3B"/>
          <w:sz w:val="20"/>
          <w:szCs w:val="20"/>
        </w:rPr>
        <w:t xml:space="preserve"> para las cuestiones fiscales y de presentación, y </w:t>
      </w:r>
      <w:r>
        <w:rPr>
          <w:rFonts w:ascii="Nunito Sans" w:cs="Nunito Sans" w:eastAsia="Nunito Sans" w:hAnsi="Nunito Sans"/>
          <w:b/>
          <w:bCs/>
          <w:color w:val="102E3B"/>
          <w:sz w:val="20"/>
          <w:szCs w:val="20"/>
        </w:rPr>
        <w:t xml:space="preserve">corredurías de seguros</w:t>
      </w:r>
      <w:r>
        <w:rPr>
          <w:rFonts w:ascii="Nunito Sans" w:cs="Nunito Sans" w:eastAsia="Nunito Sans" w:hAnsi="Nunito Sans"/>
          <w:color w:val="102E3B"/>
          <w:sz w:val="20"/>
          <w:szCs w:val="20"/>
        </w:rPr>
        <w:t xml:space="preserve"> para la cobertura.</w:t>
      </w:r>
    </w:p>
    <w:p>
      <w:pPr>
        <w:spacing w:after="120" w:before="0" w:line="300"/>
      </w:pPr>
      <w:r>
        <w:rPr>
          <w:rFonts w:ascii="Nunito Sans" w:cs="Nunito Sans" w:eastAsia="Nunito Sans" w:hAnsi="Nunito Sans"/>
          <w:color w:val="102E3B"/>
          <w:sz w:val="20"/>
          <w:szCs w:val="20"/>
        </w:rPr>
        <w:t xml:space="preserve">Cuando use asesoramiento gratuito, anote las respuestas, confírmelas por correo electrónico con la persona asesora y anote la fecha: la ley cambia. Para cualquier asunto de alto riesgo, como un despido, una controversia, una investigación de un regulador o un caso grave de salvaguarda, pague un asesoramiento especializado si es necesario.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ASESORÍAS EN TU PAÍS</w:t>
            </w:r>
          </w:p>
          <w:p>
            <w:pPr>
              <w:spacing w:after="120" w:before="0" w:line="300"/>
            </w:pPr>
            <w:r>
              <w:rPr>
                <w:rFonts w:ascii="Nunito Sans" w:cs="Nunito Sans" w:eastAsia="Nunito Sans" w:hAnsi="Nunito Sans"/>
                <w:color w:val="102E3B"/>
                <w:sz w:val="19"/>
                <w:szCs w:val="19"/>
              </w:rPr>
              <w:t xml:space="preserve">Añade los nombres y contactos de las asesorías, clínicas y plataformas de ONG que hayas usado o prevés usar en cada país en el que trabajas. Mantén esta lista actualizada y compártela con el órgano de gobierno.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Lista de Verificación para Revisión Legal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B6516160-54DA-0B0A-2385-5B89065707AE}"/>
  </w:font>
  <w:font w:name="DM Serif Display">
    <w:family w:val="auto"/>
    <w:pitch w:val="variable"/>
    <w:sig w:usb0="E0002AFF" w:usb1="C000247B" w:usb2="00000009" w:usb3="00000000" w:csb0="000001FF" w:csb1="00000000"/>
    <w:embedRegular r:id="rId2" w:fontKey="{80EC3894-3C4D-1554-A967-C3CE94669B8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Lista de Verificación para Revisión Legal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LISTA DE VERIFICACIÓN PARA REVISIÓN LEGAL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 de Verificación para Revisión Legal</dc:title>
  <dc:creator>Method into Impact</dc:creator>
  <dc:description>Una lista de verificación de sí o no que [[Nombre de la organización]] completa antes de adoptar un nuevo documento, y una vez al año como revisión de salud legal, y que después lleva a una asesoría jurídica junto con un breve cuestionario de preguntas.</dc:description>
  <cp:lastModifiedBy>Un-named</cp:lastModifiedBy>
  <cp:revision>1</cp:revision>
  <dcterms:created xsi:type="dcterms:W3CDTF">2026-10-29T06:07:26.594Z</dcterms:created>
  <dcterms:modified xsi:type="dcterms:W3CDTF">2026-10-29T06:07:26.594Z</dcterms:modified>
</cp:coreProperties>
</file>

<file path=docProps/custom.xml><?xml version="1.0" encoding="utf-8"?>
<Properties xmlns="http://schemas.openxmlformats.org/officeDocument/2006/custom-properties" xmlns:vt="http://schemas.openxmlformats.org/officeDocument/2006/docPropsVTypes"/>
</file>