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RESPECT AT WORK</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Anti-Harassment, Intimidation and Bullying Policy and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prevents harassment, sexual harassment, bullying, intimidation and discrimination, and how anyone can raise a concern and get a fair, timely and confidential response.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In a small team, one person's behaviour can shape everyone's working life, and power is often concentrated in a few hands. This policy sets clear standards, gives people informal and formal ways to raise a concern, and promises a fair process for everyone involved. Funders and partners increasingly ask for it alongside the safeguarding policy, and employment law in many countries requires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international NGO partners in due diligence; employment and labour authorities in some countries; new staff and volunteers;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a further hour if you must align it with a local legal requirement such as a harassment committee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lesson 10.4 (core policies); Course 2 · Organise, Module 4 (people and culture)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Whistleblowing Policy and Procedure · Independent Contact Role Note · Equality, Diversity and Inclusion Policy · Social Media and Communications Policy · Data Protection Policy · Employment Contract · Volunteer Agreement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Anti-Harassment, Intimidation and Bullying 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partners' staff working with us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[safeguarding@yourorganisation.org]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raise a concern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happens next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Support for the person affected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Protection from retaliation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Record of a concern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False or malicious reports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does it.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receives concerns under this policy</w:t>
            </w:r>
            <w:r>
              <w:rPr>
                <w:rFonts w:ascii="Nunito Sans" w:cs="Nunito Sans" w:eastAsia="Nunito Sans" w:hAnsi="Nunito Sans"/>
                <w:color w:val="102E3B"/>
                <w:sz w:val="19"/>
                <w:szCs w:val="19"/>
              </w:rPr>
              <w:t xml:space="preserve"> (the "responsible person"). They decide on protective steps, arrange any investigation and keep the records described here.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independent contact.</w:t>
            </w:r>
            <w:r>
              <w:rPr>
                <w:rFonts w:ascii="Nunito Sans" w:cs="Nunito Sans" w:eastAsia="Nunito Sans" w:hAnsi="Nunito Sans"/>
                <w:color w:val="102E3B"/>
                <w:sz w:val="19"/>
                <w:szCs w:val="19"/>
              </w:rPr>
              <w:t xml:space="preserve"> They handle any concern about the responsible person, or about the founder or director, and hear appeals.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our team grows or changes significantly, and after any formal complaint.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many small organisations the responsible person is the safeguarding lead or the director. A concern about the director must have somewhere else to go: choose a board member or a trusted person outside the organisation whom the director does not manage. The Independent Contact Role Note explains this role. If possible, choose people of different genders, so that someone raising a concern of sexual harassment can choose who they speak to. If local law requires a harassment committee (see the next box), name its members here instead.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Harassment, sexual harassment, bullying, intimidation and discrimination are never acceptable here, from anyone, in person or online.</w:t>
            </w:r>
          </w:p>
          <w:p>
            <w:pPr>
              <w:pStyle w:val="ListParagraph"/>
              <w:numPr>
                <w:ilvl w:val="0"/>
                <w:numId w:val="3"/>
              </w:numPr>
              <w:spacing w:after="80" w:line="290"/>
            </w:pPr>
            <w:r>
              <w:rPr>
                <w:rFonts w:ascii="Nunito Sans" w:cs="Nunito Sans" w:eastAsia="Nunito Sans" w:hAnsi="Nunito Sans"/>
                <w:color w:val="102E3B"/>
                <w:sz w:val="19"/>
                <w:szCs w:val="19"/>
              </w:rPr>
              <w:t xml:space="preserve">This covers work, events, travel, messaging apps and social media, and conduct outside work that affects colleagues.</w:t>
            </w:r>
          </w:p>
          <w:p>
            <w:pPr>
              <w:pStyle w:val="ListParagraph"/>
              <w:numPr>
                <w:ilvl w:val="0"/>
                <w:numId w:val="3"/>
              </w:numPr>
              <w:spacing w:after="80" w:line="290"/>
            </w:pPr>
            <w:r>
              <w:rPr>
                <w:rFonts w:ascii="Nunito Sans" w:cs="Nunito Sans" w:eastAsia="Nunito Sans" w:hAnsi="Nunito Sans"/>
                <w:color w:val="102E3B"/>
                <w:sz w:val="19"/>
                <w:szCs w:val="19"/>
              </w:rPr>
              <w:t xml:space="preserve">Abuse of power is taken especially seriously: using a position, a contract, a reference or someone's dependence on us to pressure them.</w:t>
            </w:r>
          </w:p>
          <w:p>
            <w:pPr>
              <w:pStyle w:val="ListParagraph"/>
              <w:numPr>
                <w:ilvl w:val="0"/>
                <w:numId w:val="3"/>
              </w:numPr>
              <w:spacing w:after="80" w:line="290"/>
            </w:pPr>
            <w:r>
              <w:rPr>
                <w:rFonts w:ascii="Nunito Sans" w:cs="Nunito Sans" w:eastAsia="Nunito Sans" w:hAnsi="Nunito Sans"/>
                <w:color w:val="102E3B"/>
                <w:sz w:val="19"/>
                <w:szCs w:val="19"/>
              </w:rPr>
              <w:t xml:space="preserve">You can raise a concern informally or formally. You do not need proof.</w:t>
            </w:r>
          </w:p>
          <w:p>
            <w:pPr>
              <w:pStyle w:val="ListParagraph"/>
              <w:numPr>
                <w:ilvl w:val="0"/>
                <w:numId w:val="3"/>
              </w:numPr>
              <w:spacing w:after="80" w:line="290"/>
            </w:pPr>
            <w:r>
              <w:rPr>
                <w:rFonts w:ascii="Nunito Sans" w:cs="Nunito Sans" w:eastAsia="Nunito Sans" w:hAnsi="Nunito Sans"/>
                <w:color w:val="102E3B"/>
                <w:sz w:val="19"/>
                <w:szCs w:val="19"/>
              </w:rPr>
              <w:t xml:space="preserve">Formal concerns are acknowledged within </w:t>
            </w:r>
            <w:r>
              <w:rPr>
                <w:rFonts w:ascii="Nunito Sans" w:cs="Nunito Sans" w:eastAsia="Nunito Sans" w:hAnsi="Nunito Sans"/>
                <w:color w:val="102E3B"/>
                <w:sz w:val="19"/>
                <w:szCs w:val="19"/>
                <w:highlight w:val="yellow"/>
              </w:rPr>
              <w:t xml:space="preserve">[2 working days]</w:t>
            </w:r>
            <w:r>
              <w:rPr>
                <w:rFonts w:ascii="Nunito Sans" w:cs="Nunito Sans" w:eastAsia="Nunito Sans" w:hAnsi="Nunito Sans"/>
                <w:color w:val="102E3B"/>
                <w:sz w:val="19"/>
                <w:szCs w:val="19"/>
              </w:rPr>
              <w:t xml:space="preserve"> and normally decided within </w:t>
            </w:r>
            <w:r>
              <w:rPr>
                <w:rFonts w:ascii="Nunito Sans" w:cs="Nunito Sans" w:eastAsia="Nunito Sans" w:hAnsi="Nunito Sans"/>
                <w:color w:val="102E3B"/>
                <w:sz w:val="19"/>
                <w:szCs w:val="19"/>
                <w:highlight w:val="yellow"/>
              </w:rPr>
              <w:t xml:space="preserve">[30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Everyone involved is treated fairly. Either side can appeal within </w:t>
            </w:r>
            <w:r>
              <w:rPr>
                <w:rFonts w:ascii="Nunito Sans" w:cs="Nunito Sans" w:eastAsia="Nunito Sans" w:hAnsi="Nunito Sans"/>
                <w:color w:val="102E3B"/>
                <w:sz w:val="19"/>
                <w:szCs w:val="19"/>
                <w:highlight w:val="yellow"/>
              </w:rPr>
              <w:t xml:space="preserve">[10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Retaliation against anyone who raises a concern or helps a review is a serious breach in its own right.</w:t>
            </w:r>
          </w:p>
          <w:p>
            <w:pPr>
              <w:pStyle w:val="ListParagraph"/>
              <w:numPr>
                <w:ilvl w:val="0"/>
                <w:numId w:val="3"/>
              </w:numPr>
              <w:spacing w:after="80" w:line="290"/>
            </w:pPr>
            <w:r>
              <w:rPr>
                <w:rFonts w:ascii="Nunito Sans" w:cs="Nunito Sans" w:eastAsia="Nunito Sans" w:hAnsi="Nunito Sans"/>
                <w:color w:val="102E3B"/>
                <w:sz w:val="19"/>
                <w:szCs w:val="19"/>
              </w:rPr>
              <w:t xml:space="preserve">Concerns about the director go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and protects,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including during probation; volunteers and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advisers; contractors and consultants; job applicants; and partners' staff while they work with us. It also protects our team from harassment by partners, suppliers, funders, visitors and members of the communities we work with.</w:t>
      </w:r>
    </w:p>
    <w:p>
      <w:pPr>
        <w:spacing w:after="120" w:before="0" w:line="300"/>
      </w:pPr>
      <w:r>
        <w:rPr>
          <w:rFonts w:ascii="Nunito Sans" w:cs="Nunito Sans" w:eastAsia="Nunito Sans" w:hAnsi="Nunito Sans"/>
          <w:color w:val="102E3B"/>
          <w:sz w:val="20"/>
          <w:szCs w:val="20"/>
        </w:rPr>
        <w:t xml:space="preserve">It applies wherever work happens: the office, project sites, homes used for remote work, events, training, work-related travel and accommodation, and work social events. It covers phone calls, email, messaging apps, video calls and social media, including private groups. It also covers conduct outside work, and after someone has left, when it affects a colleague or is linked to their work with us.</w:t>
      </w:r>
    </w:p>
    <w:p>
      <w:pPr>
        <w:spacing w:after="120" w:before="0" w:line="300"/>
      </w:pPr>
      <w:r>
        <w:rPr>
          <w:rFonts w:ascii="Nunito Sans" w:cs="Nunito Sans" w:eastAsia="Nunito Sans" w:hAnsi="Nunito Sans"/>
          <w:color w:val="102E3B"/>
          <w:sz w:val="20"/>
          <w:szCs w:val="20"/>
        </w:rPr>
        <w:t xml:space="preserve">Sexual exploitation and abuse of the people we serve, and any concern about a child or adult at risk, follow our Safeguarding Policy and Procedure. If a concern falls under both policies, we follow the stricter steps. If you are unsure, report it and we will choose the right route.</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employment and equality laws. When we work in other countries, we also follow the law that applies there. Where this policy and the law differ, we follow the rule that gives people more protection. Nothing in this policy limits anyone's right to go to a labour authority, the police or a court.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Check your employment, equality and criminal law on harassment, ideally with a local employment lawyer. International reference: the ILO Violence and Harassment Convention, 2019 (No. 190), and its Recommendation No. 206. It covers harassment across the "world of work", including online communication, work-related travel and commuting. Only some countries have ratified it; check the ILO's NORMLEX database for yours. Even where it is not ratified, it is a good benchmark.</w:t>
            </w:r>
          </w:p>
          <w:p>
            <w:pPr>
              <w:spacing w:after="120" w:before="0" w:line="300"/>
            </w:pPr>
            <w:r>
              <w:rPr>
                <w:rFonts w:ascii="Nunito Sans" w:cs="Nunito Sans" w:eastAsia="Nunito Sans" w:hAnsi="Nunito Sans"/>
                <w:color w:val="102E3B"/>
                <w:sz w:val="19"/>
                <w:szCs w:val="19"/>
              </w:rPr>
              <w:t xml:space="preserve">Country notes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the Sexual Harassment of Women at Workplace (Prevention, Prohibition and Redressal) Act 2013 requires employers with 10 or more workers to set up an Internal Committee, chaired by a senior woman and including an external member. Smaller organisations' complaints go to the district Local Committee. If this applies to you, your formal procedure must follow the Act.</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the Employment Act 2007 requires employers with 20 or more employees to issue a policy statement on sexual harassment, after consulting employees.</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the Employment Equity Act 55 of 1998 treats harassment as unfair discrimination, and the Code of Good Practice on the Prevention and Elimination of Harassment in the Workplace (2022) sets out what employers should do.</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the Equality Act 2010 prohibits harassment, and since October 2024 employers must take reasonable steps to prevent sexual harassment of their employees. From 30 October 2026, the Employment Rights Act 2025 raises this to "all reasonable steps" and makes employers liable for failing to prevent harassment by third parties, such as clients or suppliers.</w:t>
            </w:r>
          </w:p>
          <w:p>
            <w:pPr>
              <w:pStyle w:val="ListParagraph"/>
              <w:numPr>
                <w:ilvl w:val="0"/>
                <w:numId w:val="3"/>
              </w:numPr>
              <w:spacing w:after="80" w:line="290"/>
            </w:pPr>
            <w:r>
              <w:rPr>
                <w:rFonts w:ascii="Nunito Sans" w:cs="Nunito Sans" w:eastAsia="Nunito Sans" w:hAnsi="Nunito Sans"/>
                <w:b/>
                <w:bCs/>
                <w:color w:val="102E3B"/>
                <w:sz w:val="19"/>
                <w:szCs w:val="19"/>
              </w:rPr>
              <w:t xml:space="preserve">Philippines:</w:t>
            </w:r>
            <w:r>
              <w:rPr>
                <w:rFonts w:ascii="Nunito Sans" w:cs="Nunito Sans" w:eastAsia="Nunito Sans" w:hAnsi="Nunito Sans"/>
                <w:color w:val="102E3B"/>
                <w:sz w:val="19"/>
                <w:szCs w:val="19"/>
              </w:rPr>
              <w:t xml:space="preserve"> the Anti-Sexual Harassment Act 1995 and the Safe Spaces Act 2019 set duties for employers, including on online harassment.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mean</w:t>
      </w:r>
    </w:p>
    <w:p>
      <w:pPr>
        <w:pStyle w:val="Heading2"/>
        <w:keepNext/>
        <w:spacing w:after="120" w:before="280"/>
      </w:pPr>
      <w:r>
        <w:rPr>
          <w:rFonts w:ascii="DM Serif Display" w:cs="DM Serif Display" w:eastAsia="DM Serif Display" w:hAnsi="DM Serif Display"/>
          <w:color w:val="123C48"/>
          <w:sz w:val="28"/>
          <w:szCs w:val="28"/>
        </w:rPr>
        <w:t xml:space="preserve">1. Harassment</w:t>
      </w:r>
    </w:p>
    <w:p>
      <w:pPr>
        <w:spacing w:after="120" w:before="0" w:line="300"/>
      </w:pPr>
      <w:r>
        <w:rPr>
          <w:rFonts w:ascii="Nunito Sans" w:cs="Nunito Sans" w:eastAsia="Nunito Sans" w:hAnsi="Nunito Sans"/>
          <w:color w:val="102E3B"/>
          <w:sz w:val="20"/>
          <w:szCs w:val="20"/>
        </w:rPr>
        <w:t xml:space="preserve">Unwanted conduct related to a protected characteristic (section 6) that violates someone's dignity, or creates an intimidating, hostile, degrading, humiliating or offensive environment. What matters is the effect on the person, not only the intention. A single serious incident can be harassment. Examples: jokes about someone's religion or accent; mocking a disability; repeatedly misgendering someone on purpose; displaying offensive images.</w:t>
      </w:r>
    </w:p>
    <w:p>
      <w:pPr>
        <w:pStyle w:val="Heading2"/>
        <w:keepNext/>
        <w:spacing w:after="120" w:before="280"/>
      </w:pPr>
      <w:r>
        <w:rPr>
          <w:rFonts w:ascii="DM Serif Display" w:cs="DM Serif Display" w:eastAsia="DM Serif Display" w:hAnsi="DM Serif Display"/>
          <w:color w:val="123C48"/>
          <w:sz w:val="28"/>
          <w:szCs w:val="28"/>
        </w:rPr>
        <w:t xml:space="preserve">2. Sexual harassment</w:t>
      </w:r>
    </w:p>
    <w:p>
      <w:pPr>
        <w:spacing w:after="120" w:before="0" w:line="300"/>
      </w:pPr>
      <w:r>
        <w:rPr>
          <w:rFonts w:ascii="Nunito Sans" w:cs="Nunito Sans" w:eastAsia="Nunito Sans" w:hAnsi="Nunito Sans"/>
          <w:color w:val="102E3B"/>
          <w:sz w:val="20"/>
          <w:szCs w:val="20"/>
        </w:rPr>
        <w:t xml:space="preserve">Unwanted conduct of a sexual nature with the same purpose or effect. Examples:</w:t>
      </w:r>
    </w:p>
    <w:p>
      <w:pPr>
        <w:pStyle w:val="ListParagraph"/>
        <w:numPr>
          <w:ilvl w:val="0"/>
          <w:numId w:val="3"/>
        </w:numPr>
        <w:spacing w:after="80" w:line="290"/>
      </w:pPr>
      <w:r>
        <w:rPr>
          <w:rFonts w:ascii="Nunito Sans" w:cs="Nunito Sans" w:eastAsia="Nunito Sans" w:hAnsi="Nunito Sans"/>
          <w:color w:val="102E3B"/>
          <w:sz w:val="20"/>
          <w:szCs w:val="20"/>
        </w:rPr>
        <w:t xml:space="preserve">sexual comments, jokes or questions about someone's private life or body;</w:t>
      </w:r>
    </w:p>
    <w:p>
      <w:pPr>
        <w:pStyle w:val="ListParagraph"/>
        <w:numPr>
          <w:ilvl w:val="0"/>
          <w:numId w:val="3"/>
        </w:numPr>
        <w:spacing w:after="80" w:line="290"/>
      </w:pPr>
      <w:r>
        <w:rPr>
          <w:rFonts w:ascii="Nunito Sans" w:cs="Nunito Sans" w:eastAsia="Nunito Sans" w:hAnsi="Nunito Sans"/>
          <w:color w:val="102E3B"/>
          <w:sz w:val="20"/>
          <w:szCs w:val="20"/>
        </w:rPr>
        <w:t xml:space="preserve">comments on appearance that continue after they are unwelcome;</w:t>
      </w:r>
    </w:p>
    <w:p>
      <w:pPr>
        <w:pStyle w:val="ListParagraph"/>
        <w:numPr>
          <w:ilvl w:val="0"/>
          <w:numId w:val="3"/>
        </w:numPr>
        <w:spacing w:after="80" w:line="290"/>
      </w:pPr>
      <w:r>
        <w:rPr>
          <w:rFonts w:ascii="Nunito Sans" w:cs="Nunito Sans" w:eastAsia="Nunito Sans" w:hAnsi="Nunito Sans"/>
          <w:color w:val="102E3B"/>
          <w:sz w:val="20"/>
          <w:szCs w:val="20"/>
        </w:rPr>
        <w:t xml:space="preserve">unwanted touching, hugging, kissing or standing too close;</w:t>
      </w:r>
    </w:p>
    <w:p>
      <w:pPr>
        <w:pStyle w:val="ListParagraph"/>
        <w:numPr>
          <w:ilvl w:val="0"/>
          <w:numId w:val="3"/>
        </w:numPr>
        <w:spacing w:after="80" w:line="290"/>
      </w:pPr>
      <w:r>
        <w:rPr>
          <w:rFonts w:ascii="Nunito Sans" w:cs="Nunito Sans" w:eastAsia="Nunito Sans" w:hAnsi="Nunito Sans"/>
          <w:color w:val="102E3B"/>
          <w:sz w:val="20"/>
          <w:szCs w:val="20"/>
        </w:rPr>
        <w:t xml:space="preserve">sending sexual messages, images or links, including by messaging apps;</w:t>
      </w:r>
    </w:p>
    <w:p>
      <w:pPr>
        <w:pStyle w:val="ListParagraph"/>
        <w:numPr>
          <w:ilvl w:val="0"/>
          <w:numId w:val="3"/>
        </w:numPr>
        <w:spacing w:after="80" w:line="290"/>
      </w:pPr>
      <w:r>
        <w:rPr>
          <w:rFonts w:ascii="Nunito Sans" w:cs="Nunito Sans" w:eastAsia="Nunito Sans" w:hAnsi="Nunito Sans"/>
          <w:color w:val="102E3B"/>
          <w:sz w:val="20"/>
          <w:szCs w:val="20"/>
        </w:rPr>
        <w:t xml:space="preserve">repeated invitations to meet, drink or date after a clear "no";</w:t>
      </w:r>
    </w:p>
    <w:p>
      <w:pPr>
        <w:pStyle w:val="ListParagraph"/>
        <w:numPr>
          <w:ilvl w:val="0"/>
          <w:numId w:val="3"/>
        </w:numPr>
        <w:spacing w:after="80" w:line="290"/>
      </w:pPr>
      <w:r>
        <w:rPr>
          <w:rFonts w:ascii="Nunito Sans" w:cs="Nunito Sans" w:eastAsia="Nunito Sans" w:hAnsi="Nunito Sans"/>
          <w:color w:val="102E3B"/>
          <w:sz w:val="20"/>
          <w:szCs w:val="20"/>
        </w:rPr>
        <w:t xml:space="preserve">asking someone to turn their camera on, or dress differently, for no work reason;</w:t>
      </w:r>
    </w:p>
    <w:p>
      <w:pPr>
        <w:pStyle w:val="ListParagraph"/>
        <w:numPr>
          <w:ilvl w:val="0"/>
          <w:numId w:val="3"/>
        </w:numPr>
        <w:spacing w:after="80" w:line="290"/>
      </w:pPr>
      <w:r>
        <w:rPr>
          <w:rFonts w:ascii="Nunito Sans" w:cs="Nunito Sans" w:eastAsia="Nunito Sans" w:hAnsi="Nunito Sans"/>
          <w:color w:val="102E3B"/>
          <w:sz w:val="20"/>
          <w:szCs w:val="20"/>
        </w:rPr>
        <w:t xml:space="preserve">treating someone worse because they rejected, or gave in to, sexual advances.</w:t>
      </w:r>
    </w:p>
    <w:p>
      <w:pPr>
        <w:spacing w:after="120" w:before="0" w:line="300"/>
      </w:pPr>
      <w:r>
        <w:rPr>
          <w:rFonts w:ascii="Nunito Sans" w:cs="Nunito Sans" w:eastAsia="Nunito Sans" w:hAnsi="Nunito Sans"/>
          <w:color w:val="102E3B"/>
          <w:sz w:val="20"/>
          <w:szCs w:val="20"/>
        </w:rPr>
        <w:t xml:space="preserve">Linking any work benefit (a job, a contract, a good reference, a training place, travel, a per diem) to sex or a relationship is always sexual harassment and also sexual exploitation.</w:t>
      </w:r>
    </w:p>
    <w:p>
      <w:pPr>
        <w:pStyle w:val="Heading2"/>
        <w:keepNext/>
        <w:spacing w:after="120" w:before="280"/>
      </w:pPr>
      <w:r>
        <w:rPr>
          <w:rFonts w:ascii="DM Serif Display" w:cs="DM Serif Display" w:eastAsia="DM Serif Display" w:hAnsi="DM Serif Display"/>
          <w:color w:val="123C48"/>
          <w:sz w:val="28"/>
          <w:szCs w:val="28"/>
        </w:rPr>
        <w:t xml:space="preserve">3. Bullying</w:t>
      </w:r>
    </w:p>
    <w:p>
      <w:pPr>
        <w:spacing w:after="120" w:before="0" w:line="300"/>
      </w:pPr>
      <w:r>
        <w:rPr>
          <w:rFonts w:ascii="Nunito Sans" w:cs="Nunito Sans" w:eastAsia="Nunito Sans" w:hAnsi="Nunito Sans"/>
          <w:color w:val="102E3B"/>
          <w:sz w:val="20"/>
          <w:szCs w:val="20"/>
        </w:rPr>
        <w:t xml:space="preserve">Repeated, unreasonable behaviour, direct or indirect, that undermines someone's dignity, confidence or ability to do their work. Examples:</w:t>
      </w:r>
    </w:p>
    <w:p>
      <w:pPr>
        <w:pStyle w:val="ListParagraph"/>
        <w:numPr>
          <w:ilvl w:val="0"/>
          <w:numId w:val="3"/>
        </w:numPr>
        <w:spacing w:after="80" w:line="290"/>
      </w:pPr>
      <w:r>
        <w:rPr>
          <w:rFonts w:ascii="Nunito Sans" w:cs="Nunito Sans" w:eastAsia="Nunito Sans" w:hAnsi="Nunito Sans"/>
          <w:color w:val="102E3B"/>
          <w:sz w:val="20"/>
          <w:szCs w:val="20"/>
        </w:rPr>
        <w:t xml:space="preserve">shouting at, belittling or humiliating someone, especially in front of others;</w:t>
      </w:r>
    </w:p>
    <w:p>
      <w:pPr>
        <w:pStyle w:val="ListParagraph"/>
        <w:numPr>
          <w:ilvl w:val="0"/>
          <w:numId w:val="3"/>
        </w:numPr>
        <w:spacing w:after="80" w:line="290"/>
      </w:pPr>
      <w:r>
        <w:rPr>
          <w:rFonts w:ascii="Nunito Sans" w:cs="Nunito Sans" w:eastAsia="Nunito Sans" w:hAnsi="Nunito Sans"/>
          <w:color w:val="102E3B"/>
          <w:sz w:val="20"/>
          <w:szCs w:val="20"/>
        </w:rPr>
        <w:t xml:space="preserve">persistent unjustified criticism, or constantly changing targets so someone is set up to fail;</w:t>
      </w:r>
    </w:p>
    <w:p>
      <w:pPr>
        <w:pStyle w:val="ListParagraph"/>
        <w:numPr>
          <w:ilvl w:val="0"/>
          <w:numId w:val="3"/>
        </w:numPr>
        <w:spacing w:after="80" w:line="290"/>
      </w:pPr>
      <w:r>
        <w:rPr>
          <w:rFonts w:ascii="Nunito Sans" w:cs="Nunito Sans" w:eastAsia="Nunito Sans" w:hAnsi="Nunito Sans"/>
          <w:color w:val="102E3B"/>
          <w:sz w:val="20"/>
          <w:szCs w:val="20"/>
        </w:rPr>
        <w:t xml:space="preserve">deliberately excluding someone from meetings, messages or information they need;</w:t>
      </w:r>
    </w:p>
    <w:p>
      <w:pPr>
        <w:pStyle w:val="ListParagraph"/>
        <w:numPr>
          <w:ilvl w:val="0"/>
          <w:numId w:val="3"/>
        </w:numPr>
        <w:spacing w:after="80" w:line="290"/>
      </w:pPr>
      <w:r>
        <w:rPr>
          <w:rFonts w:ascii="Nunito Sans" w:cs="Nunito Sans" w:eastAsia="Nunito Sans" w:hAnsi="Nunito Sans"/>
          <w:color w:val="102E3B"/>
          <w:sz w:val="20"/>
          <w:szCs w:val="20"/>
        </w:rPr>
        <w:t xml:space="preserve">spreading rumours, or giving someone meaningless or impossible tasks;</w:t>
      </w:r>
    </w:p>
    <w:p>
      <w:pPr>
        <w:pStyle w:val="ListParagraph"/>
        <w:numPr>
          <w:ilvl w:val="0"/>
          <w:numId w:val="3"/>
        </w:numPr>
        <w:spacing w:after="80" w:line="290"/>
      </w:pPr>
      <w:r>
        <w:rPr>
          <w:rFonts w:ascii="Nunito Sans" w:cs="Nunito Sans" w:eastAsia="Nunito Sans" w:hAnsi="Nunito Sans"/>
          <w:color w:val="102E3B"/>
          <w:sz w:val="20"/>
          <w:szCs w:val="20"/>
        </w:rPr>
        <w:t xml:space="preserve">making unreasonable demands outside working hours.</w:t>
      </w:r>
    </w:p>
    <w:p>
      <w:pPr>
        <w:spacing w:after="120" w:before="0" w:line="300"/>
      </w:pPr>
      <w:r>
        <w:rPr>
          <w:rFonts w:ascii="Nunito Sans" w:cs="Nunito Sans" w:eastAsia="Nunito Sans" w:hAnsi="Nunito Sans"/>
          <w:color w:val="102E3B"/>
          <w:sz w:val="20"/>
          <w:szCs w:val="20"/>
        </w:rPr>
        <w:t xml:space="preserve">A single incident is not usually bullying, but we still act on it. Honest feedback given respectfully, fair management of performance, and reasonable instructions are not bullying.</w:t>
      </w:r>
    </w:p>
    <w:p>
      <w:pPr>
        <w:pStyle w:val="Heading2"/>
        <w:keepNext/>
        <w:spacing w:after="120" w:before="280"/>
      </w:pPr>
      <w:r>
        <w:rPr>
          <w:rFonts w:ascii="DM Serif Display" w:cs="DM Serif Display" w:eastAsia="DM Serif Display" w:hAnsi="DM Serif Display"/>
          <w:color w:val="123C48"/>
          <w:sz w:val="28"/>
          <w:szCs w:val="28"/>
        </w:rPr>
        <w:t xml:space="preserve">4. Intimidation and abuse of power</w:t>
      </w:r>
    </w:p>
    <w:p>
      <w:pPr>
        <w:spacing w:after="120" w:before="0" w:line="300"/>
      </w:pPr>
      <w:r>
        <w:rPr>
          <w:rFonts w:ascii="Nunito Sans" w:cs="Nunito Sans" w:eastAsia="Nunito Sans" w:hAnsi="Nunito Sans"/>
          <w:color w:val="102E3B"/>
          <w:sz w:val="20"/>
          <w:szCs w:val="20"/>
        </w:rPr>
        <w:t xml:space="preserve">Using status, access or influence to pressure, threaten or coerce someone, or to keep them silent. Power can come from a job title, from controlling contracts, references, visas or pay, from being an international adviser, a funder's representative or a long-serving founder. Examples:</w:t>
      </w:r>
    </w:p>
    <w:p>
      <w:pPr>
        <w:pStyle w:val="ListParagraph"/>
        <w:numPr>
          <w:ilvl w:val="0"/>
          <w:numId w:val="3"/>
        </w:numPr>
        <w:spacing w:after="80" w:line="290"/>
      </w:pPr>
      <w:r>
        <w:rPr>
          <w:rFonts w:ascii="Nunito Sans" w:cs="Nunito Sans" w:eastAsia="Nunito Sans" w:hAnsi="Nunito Sans"/>
          <w:color w:val="102E3B"/>
          <w:sz w:val="20"/>
          <w:szCs w:val="20"/>
        </w:rPr>
        <w:t xml:space="preserve">threatening a bad reference, contract non-renewal or loss of a volunteer role unless someone works unpaid hours or accepts unwanted conduct;</w:t>
      </w:r>
    </w:p>
    <w:p>
      <w:pPr>
        <w:pStyle w:val="ListParagraph"/>
        <w:numPr>
          <w:ilvl w:val="0"/>
          <w:numId w:val="3"/>
        </w:numPr>
        <w:spacing w:after="80" w:line="290"/>
      </w:pPr>
      <w:r>
        <w:rPr>
          <w:rFonts w:ascii="Nunito Sans" w:cs="Nunito Sans" w:eastAsia="Nunito Sans" w:hAnsi="Nunito Sans"/>
          <w:color w:val="102E3B"/>
          <w:sz w:val="20"/>
          <w:szCs w:val="20"/>
        </w:rPr>
        <w:t xml:space="preserve">using someone's insecure position (temporary contract, immigration status, dependence on a stipend) to control them;</w:t>
      </w:r>
    </w:p>
    <w:p>
      <w:pPr>
        <w:pStyle w:val="ListParagraph"/>
        <w:numPr>
          <w:ilvl w:val="0"/>
          <w:numId w:val="3"/>
        </w:numPr>
        <w:spacing w:after="80" w:line="290"/>
      </w:pPr>
      <w:r>
        <w:rPr>
          <w:rFonts w:ascii="Nunito Sans" w:cs="Nunito Sans" w:eastAsia="Nunito Sans" w:hAnsi="Nunito Sans"/>
          <w:color w:val="102E3B"/>
          <w:sz w:val="20"/>
          <w:szCs w:val="20"/>
        </w:rPr>
        <w:t xml:space="preserve">belittling local staff or overriding local leadership because of nationality, education or "expert" status;</w:t>
      </w:r>
    </w:p>
    <w:p>
      <w:pPr>
        <w:pStyle w:val="ListParagraph"/>
        <w:numPr>
          <w:ilvl w:val="0"/>
          <w:numId w:val="3"/>
        </w:numPr>
        <w:spacing w:after="80" w:line="290"/>
      </w:pPr>
      <w:r>
        <w:rPr>
          <w:rFonts w:ascii="Nunito Sans" w:cs="Nunito Sans" w:eastAsia="Nunito Sans" w:hAnsi="Nunito Sans"/>
          <w:b/>
          <w:bCs/>
          <w:color w:val="102E3B"/>
          <w:sz w:val="20"/>
          <w:szCs w:val="20"/>
        </w:rPr>
        <w:t xml:space="preserve">intimidating people who raise concerns:</w:t>
      </w:r>
      <w:r>
        <w:rPr>
          <w:rFonts w:ascii="Nunito Sans" w:cs="Nunito Sans" w:eastAsia="Nunito Sans" w:hAnsi="Nunito Sans"/>
          <w:color w:val="102E3B"/>
          <w:sz w:val="20"/>
          <w:szCs w:val="20"/>
        </w:rPr>
        <w:t xml:space="preserve"> pressing someone to withdraw a complaint, warning them it will "damage the organisation", asking who reported, or pressuring witnesses.</w:t>
      </w:r>
    </w:p>
    <w:p>
      <w:pPr>
        <w:pStyle w:val="Heading2"/>
        <w:keepNext/>
        <w:spacing w:after="120" w:before="280"/>
      </w:pPr>
      <w:r>
        <w:rPr>
          <w:rFonts w:ascii="DM Serif Display" w:cs="DM Serif Display" w:eastAsia="DM Serif Display" w:hAnsi="DM Serif Display"/>
          <w:color w:val="123C48"/>
          <w:sz w:val="28"/>
          <w:szCs w:val="28"/>
        </w:rPr>
        <w:t xml:space="preserve">5. Online harassment</w:t>
      </w:r>
    </w:p>
    <w:p>
      <w:pPr>
        <w:spacing w:after="120" w:before="0" w:line="300"/>
      </w:pPr>
      <w:r>
        <w:rPr>
          <w:rFonts w:ascii="Nunito Sans" w:cs="Nunito Sans" w:eastAsia="Nunito Sans" w:hAnsi="Nunito Sans"/>
          <w:color w:val="102E3B"/>
          <w:sz w:val="20"/>
          <w:szCs w:val="20"/>
        </w:rPr>
        <w:t xml:space="preserve">Harassment, bullying or intimidation through digital means: abusive or sexual messages, posting or sharing images without consent, creating fake accounts, doxxing (publishing someone's personal details), coordinated abuse in group chats, or tracking someone's location. It is treated exactly like conduct in person. Keep screenshots, with dates and the sender's details.</w:t>
      </w:r>
    </w:p>
    <w:p>
      <w:pPr>
        <w:pStyle w:val="Heading2"/>
        <w:keepNext/>
        <w:spacing w:after="120" w:before="280"/>
      </w:pPr>
      <w:r>
        <w:rPr>
          <w:rFonts w:ascii="DM Serif Display" w:cs="DM Serif Display" w:eastAsia="DM Serif Display" w:hAnsi="DM Serif Display"/>
          <w:color w:val="123C48"/>
          <w:sz w:val="28"/>
          <w:szCs w:val="28"/>
        </w:rPr>
        <w:t xml:space="preserve">6. Discrimination and protected characteristics</w:t>
      </w:r>
    </w:p>
    <w:p>
      <w:pPr>
        <w:spacing w:after="120" w:before="0" w:line="300"/>
      </w:pPr>
      <w:r>
        <w:rPr>
          <w:rFonts w:ascii="Nunito Sans" w:cs="Nunito Sans" w:eastAsia="Nunito Sans" w:hAnsi="Nunito Sans"/>
          <w:color w:val="102E3B"/>
          <w:sz w:val="20"/>
          <w:szCs w:val="20"/>
        </w:rPr>
        <w:t xml:space="preserve">Treating someone less favourably, stereotyping or excluding them because of their actual or perceived: race, colour, ethnicity, descent, caste, Indigenous identity, national or social origin or nationality; sex, gender, gender identity or expression, sex characteristics or sexual orientation; pregnancy, maternity, marital or family status, or caring responsibilities; age; disability or health status, including HIV status; religion or belief, including none; political opinion; language or accent; migration, refugee or citizenship status; socio-economic status; or any other characteristic protected by law. This list draws on the Universal Declaration of Human Rights, the main UN human rights treaties and ILO Conventions 111 and 190.</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PROTECTED CHARACTERISTICS</w:t>
            </w:r>
          </w:p>
          <w:p>
            <w:pPr>
              <w:spacing w:after="120" w:before="0" w:line="300"/>
            </w:pPr>
            <w:r>
              <w:rPr>
                <w:rFonts w:ascii="Nunito Sans" w:cs="Nunito Sans" w:eastAsia="Nunito Sans" w:hAnsi="Nunito Sans"/>
                <w:color w:val="102E3B"/>
                <w:sz w:val="19"/>
                <w:szCs w:val="19"/>
              </w:rPr>
              <w:t xml:space="preserve">Keep this broad list: it reflects international standards and shows funders that you take inclusion seriously. Check that it includes every characteristic your national law protects. In some countries, certain characteristics (for example sexual orientation or gender identity) are not protected by law, or same-sex relationships are criminalised. You can still protect people under your own policy, but think carefully about how you record and share information that could expose someone to legal risk. Your Equality, Diversity and Inclusion Policy can say more.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Retaliation</w:t>
      </w:r>
    </w:p>
    <w:p>
      <w:pPr>
        <w:spacing w:after="120" w:before="0" w:line="300"/>
      </w:pPr>
      <w:r>
        <w:rPr>
          <w:rFonts w:ascii="Nunito Sans" w:cs="Nunito Sans" w:eastAsia="Nunito Sans" w:hAnsi="Nunito Sans"/>
          <w:color w:val="102E3B"/>
          <w:sz w:val="20"/>
          <w:szCs w:val="20"/>
        </w:rPr>
        <w:t xml:space="preserve">Treating someone badly because they raised a concern, supported someone who did, or took part in an investigation. It is a serious breach even if the original concern is not upheld. See "Protection from retaliation" below.</w:t>
      </w: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will:</w:t>
      </w:r>
    </w:p>
    <w:p>
      <w:pPr>
        <w:pStyle w:val="ListParagraph"/>
        <w:numPr>
          <w:ilvl w:val="0"/>
          <w:numId w:val="4"/>
        </w:numPr>
        <w:spacing w:after="80" w:line="290"/>
      </w:pPr>
      <w:r>
        <w:rPr>
          <w:rFonts w:ascii="Nunito Sans" w:cs="Nunito Sans" w:eastAsia="Nunito Sans" w:hAnsi="Nunito Sans"/>
          <w:color w:val="102E3B"/>
          <w:sz w:val="20"/>
          <w:szCs w:val="20"/>
        </w:rPr>
        <w:t xml:space="preserve">make this policy known to everyone at induction, and discuss it with the whole team every year;</w:t>
      </w:r>
    </w:p>
    <w:p>
      <w:pPr>
        <w:pStyle w:val="ListParagraph"/>
        <w:numPr>
          <w:ilvl w:val="0"/>
          <w:numId w:val="4"/>
        </w:numPr>
        <w:spacing w:after="80" w:line="290"/>
      </w:pPr>
      <w:r>
        <w:rPr>
          <w:rFonts w:ascii="Nunito Sans" w:cs="Nunito Sans" w:eastAsia="Nunito Sans" w:hAnsi="Nunito Sans"/>
          <w:color w:val="102E3B"/>
          <w:sz w:val="20"/>
          <w:szCs w:val="20"/>
        </w:rPr>
        <w:t xml:space="preserve">expect managers and board members to model respectful behaviour and act early on warning signs;</w:t>
      </w:r>
    </w:p>
    <w:p>
      <w:pPr>
        <w:pStyle w:val="ListParagraph"/>
        <w:numPr>
          <w:ilvl w:val="0"/>
          <w:numId w:val="4"/>
        </w:numPr>
        <w:spacing w:after="80" w:line="290"/>
      </w:pPr>
      <w:r>
        <w:rPr>
          <w:rFonts w:ascii="Nunito Sans" w:cs="Nunito Sans" w:eastAsia="Nunito Sans" w:hAnsi="Nunito Sans"/>
          <w:color w:val="102E3B"/>
          <w:sz w:val="20"/>
          <w:szCs w:val="20"/>
        </w:rPr>
        <w:t xml:space="preserve">take every concern seriously, whoever is involved, and deal with it fairly, promptly and confidentially;</w:t>
      </w:r>
    </w:p>
    <w:p>
      <w:pPr>
        <w:pStyle w:val="ListParagraph"/>
        <w:numPr>
          <w:ilvl w:val="0"/>
          <w:numId w:val="4"/>
        </w:numPr>
        <w:spacing w:after="80" w:line="290"/>
      </w:pPr>
      <w:r>
        <w:rPr>
          <w:rFonts w:ascii="Nunito Sans" w:cs="Nunito Sans" w:eastAsia="Nunito Sans" w:hAnsi="Nunito Sans"/>
          <w:color w:val="102E3B"/>
          <w:sz w:val="20"/>
          <w:szCs w:val="20"/>
        </w:rPr>
        <w:t xml:space="preserve">support people affected, and protect them and witnesses from retaliation;</w:t>
      </w:r>
    </w:p>
    <w:p>
      <w:pPr>
        <w:pStyle w:val="ListParagraph"/>
        <w:numPr>
          <w:ilvl w:val="0"/>
          <w:numId w:val="4"/>
        </w:numPr>
        <w:spacing w:after="80" w:line="290"/>
      </w:pPr>
      <w:r>
        <w:rPr>
          <w:rFonts w:ascii="Nunito Sans" w:cs="Nunito Sans" w:eastAsia="Nunito Sans" w:hAnsi="Nunito Sans"/>
          <w:color w:val="102E3B"/>
          <w:sz w:val="20"/>
          <w:szCs w:val="20"/>
        </w:rPr>
        <w:t xml:space="preserve">include anti-harassment terms in contracts and partner agreements, and act when a partner, funder or community member harasses our team;</w:t>
      </w:r>
    </w:p>
    <w:p>
      <w:pPr>
        <w:pStyle w:val="ListParagraph"/>
        <w:numPr>
          <w:ilvl w:val="0"/>
          <w:numId w:val="4"/>
        </w:numPr>
        <w:spacing w:after="80" w:line="290"/>
      </w:pPr>
      <w:r>
        <w:rPr>
          <w:rFonts w:ascii="Nunito Sans" w:cs="Nunito Sans" w:eastAsia="Nunito Sans" w:hAnsi="Nunito Sans"/>
          <w:color w:val="102E3B"/>
          <w:sz w:val="20"/>
          <w:szCs w:val="20"/>
        </w:rPr>
        <w:t xml:space="preserve">plan work so that people are not put at avoidable risk: for example, no lone late-night travel with a manager, separate rooms on work trips, and clear boundaries on out-of-hours messages;</w:t>
      </w:r>
    </w:p>
    <w:p>
      <w:pPr>
        <w:pStyle w:val="ListParagraph"/>
        <w:numPr>
          <w:ilvl w:val="0"/>
          <w:numId w:val="4"/>
        </w:numPr>
        <w:spacing w:after="80" w:line="290"/>
      </w:pPr>
      <w:r>
        <w:rPr>
          <w:rFonts w:ascii="Nunito Sans" w:cs="Nunito Sans" w:eastAsia="Nunito Sans" w:hAnsi="Nunito Sans"/>
          <w:color w:val="102E3B"/>
          <w:sz w:val="20"/>
          <w:szCs w:val="20"/>
        </w:rPr>
        <w:t xml:space="preserve">learn from every concern and change what we do.</w:t>
      </w:r>
    </w:p>
    <w:p>
      <w:pPr>
        <w:spacing w:after="120" w:before="0" w:line="300"/>
      </w:pPr>
      <w:r>
        <w:rPr>
          <w:rFonts w:ascii="Nunito Sans" w:cs="Nunito Sans" w:eastAsia="Nunito Sans" w:hAnsi="Nunito Sans"/>
          <w:color w:val="102E3B"/>
          <w:sz w:val="20"/>
          <w:szCs w:val="20"/>
        </w:rPr>
        <w:t xml:space="preserve">Culture, workload, urgency or someone's seniority never excuse harassment.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HARASSMENT BY PEOPLE OUTSIDE THE ORGANISATION</w:t>
            </w:r>
          </w:p>
          <w:p>
            <w:pPr>
              <w:spacing w:after="120" w:before="0" w:line="300"/>
            </w:pPr>
            <w:r>
              <w:rPr>
                <w:rFonts w:ascii="Nunito Sans" w:cs="Nunito Sans" w:eastAsia="Nunito Sans" w:hAnsi="Nunito Sans"/>
                <w:color w:val="102E3B"/>
                <w:sz w:val="19"/>
                <w:szCs w:val="19"/>
              </w:rPr>
              <w:t xml:space="preserve">Think about who outside your team has power over your staff or volunteers: funders on monitoring visits, government officials, landlords, drivers, community leaders, or partners' managers. Say what you will do if one of them harasses your team, for example: remove your team member from the situation, raise it formally with the partner or funder, change who attends future meetings, and end the relationship if needed. For field teams, add practical steps such as travelling in pairs and agreeing a code word for "I need to leave". Your Travel Safety and Duty of Care Policy can cover this in more detail.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raise a concern</w:t>
      </w:r>
    </w:p>
    <w:p>
      <w:pPr>
        <w:pStyle w:val="Heading2"/>
        <w:keepNext/>
        <w:spacing w:after="120" w:before="280"/>
      </w:pPr>
      <w:r>
        <w:rPr>
          <w:rFonts w:ascii="DM Serif Display" w:cs="DM Serif Display" w:eastAsia="DM Serif Display" w:hAnsi="DM Serif Display"/>
          <w:color w:val="123C48"/>
          <w:sz w:val="28"/>
          <w:szCs w:val="28"/>
        </w:rPr>
        <w:t xml:space="preserve">8. If you are in danger</w:t>
      </w:r>
    </w:p>
    <w:p>
      <w:pPr>
        <w:spacing w:after="120" w:before="0" w:line="300"/>
      </w:pPr>
      <w:r>
        <w:rPr>
          <w:rFonts w:ascii="Nunito Sans" w:cs="Nunito Sans" w:eastAsia="Nunito Sans" w:hAnsi="Nunito Sans"/>
          <w:color w:val="102E3B"/>
          <w:sz w:val="20"/>
          <w:szCs w:val="20"/>
        </w:rPr>
        <w:t xml:space="preserve">If you are in immediate danger, contact emergency services on </w:t>
      </w:r>
      <w:r>
        <w:rPr>
          <w:rFonts w:ascii="Nunito Sans" w:cs="Nunito Sans" w:eastAsia="Nunito Sans" w:hAnsi="Nunito Sans"/>
          <w:color w:val="102E3B"/>
          <w:sz w:val="20"/>
          <w:szCs w:val="20"/>
          <w:highlight w:val="yellow"/>
        </w:rPr>
        <w:t xml:space="preserve">[local emergency number]</w:t>
      </w:r>
      <w:r>
        <w:rPr>
          <w:rFonts w:ascii="Nunito Sans" w:cs="Nunito Sans" w:eastAsia="Nunito Sans" w:hAnsi="Nunito Sans"/>
          <w:color w:val="102E3B"/>
          <w:sz w:val="20"/>
          <w:szCs w:val="20"/>
        </w:rPr>
        <w:t xml:space="preserve">, then tell us. Physical or sexual assault is a crime, and you can report it to the police at any time. We will support you if you do.</w:t>
      </w:r>
    </w:p>
    <w:p>
      <w:pPr>
        <w:pStyle w:val="Heading2"/>
        <w:keepNext/>
        <w:spacing w:after="120" w:before="280"/>
      </w:pPr>
      <w:r>
        <w:rPr>
          <w:rFonts w:ascii="DM Serif Display" w:cs="DM Serif Display" w:eastAsia="DM Serif Display" w:hAnsi="DM Serif Display"/>
          <w:color w:val="123C48"/>
          <w:sz w:val="28"/>
          <w:szCs w:val="28"/>
        </w:rPr>
        <w:t xml:space="preserve">9. The informal route</w:t>
      </w:r>
    </w:p>
    <w:p>
      <w:pPr>
        <w:spacing w:after="120" w:before="0" w:line="300"/>
      </w:pPr>
      <w:r>
        <w:rPr>
          <w:rFonts w:ascii="Nunito Sans" w:cs="Nunito Sans" w:eastAsia="Nunito Sans" w:hAnsi="Nunito Sans"/>
          <w:color w:val="102E3B"/>
          <w:sz w:val="20"/>
          <w:szCs w:val="20"/>
        </w:rPr>
        <w:t xml:space="preserve">Many problems can be stopped early. If you feel safe doing so, you can:</w:t>
      </w:r>
    </w:p>
    <w:p>
      <w:pPr>
        <w:pStyle w:val="ListParagraph"/>
        <w:numPr>
          <w:ilvl w:val="0"/>
          <w:numId w:val="3"/>
        </w:numPr>
        <w:spacing w:after="80" w:line="290"/>
      </w:pPr>
      <w:r>
        <w:rPr>
          <w:rFonts w:ascii="Nunito Sans" w:cs="Nunito Sans" w:eastAsia="Nunito Sans" w:hAnsi="Nunito Sans"/>
          <w:color w:val="102E3B"/>
          <w:sz w:val="20"/>
          <w:szCs w:val="20"/>
        </w:rPr>
        <w:t xml:space="preserve">tell the person clearly that their behaviour is unwelcome and ask them to stop, in person or in writing;</w:t>
      </w:r>
    </w:p>
    <w:p>
      <w:pPr>
        <w:pStyle w:val="ListParagraph"/>
        <w:numPr>
          <w:ilvl w:val="0"/>
          <w:numId w:val="3"/>
        </w:numPr>
        <w:spacing w:after="80" w:line="290"/>
      </w:pPr>
      <w:r>
        <w:rPr>
          <w:rFonts w:ascii="Nunito Sans" w:cs="Nunito Sans" w:eastAsia="Nunito Sans" w:hAnsi="Nunito Sans"/>
          <w:color w:val="102E3B"/>
          <w:sz w:val="20"/>
          <w:szCs w:val="20"/>
        </w:rPr>
        <w:t xml:space="preserve">ask a colleague or the responsible person to be with you when you do this;</w:t>
      </w:r>
    </w:p>
    <w:p>
      <w:pPr>
        <w:pStyle w:val="ListParagraph"/>
        <w:numPr>
          <w:ilvl w:val="0"/>
          <w:numId w:val="3"/>
        </w:numPr>
        <w:spacing w:after="80" w:line="290"/>
      </w:pPr>
      <w:r>
        <w:rPr>
          <w:rFonts w:ascii="Nunito Sans" w:cs="Nunito Sans" w:eastAsia="Nunito Sans" w:hAnsi="Nunito Sans"/>
          <w:color w:val="102E3B"/>
          <w:sz w:val="20"/>
          <w:szCs w:val="20"/>
        </w:rPr>
        <w:t xml:space="preserve">ask the responsible person to speak to the other person for you, without starting a formal complaint;</w:t>
      </w:r>
    </w:p>
    <w:p>
      <w:pPr>
        <w:pStyle w:val="ListParagraph"/>
        <w:numPr>
          <w:ilvl w:val="0"/>
          <w:numId w:val="3"/>
        </w:numPr>
        <w:spacing w:after="80" w:line="290"/>
      </w:pPr>
      <w:r>
        <w:rPr>
          <w:rFonts w:ascii="Nunito Sans" w:cs="Nunito Sans" w:eastAsia="Nunito Sans" w:hAnsi="Nunito Sans"/>
          <w:color w:val="102E3B"/>
          <w:sz w:val="20"/>
          <w:szCs w:val="20"/>
        </w:rPr>
        <w:t xml:space="preserve">ask for a facilitated conversation, if both of you agree.</w:t>
      </w:r>
    </w:p>
    <w:p>
      <w:pPr>
        <w:spacing w:after="120" w:before="0" w:line="300"/>
      </w:pPr>
      <w:r>
        <w:rPr>
          <w:rFonts w:ascii="Nunito Sans" w:cs="Nunito Sans" w:eastAsia="Nunito Sans" w:hAnsi="Nunito Sans"/>
          <w:color w:val="102E3B"/>
          <w:sz w:val="20"/>
          <w:szCs w:val="20"/>
        </w:rPr>
        <w:t xml:space="preserve">The responsible person keeps a brief, confidential note of informal concerns, so that patterns can be noticed. You never have to use the informal route. It is not suitable for serious matters such as sexual assault, threats or abuse of power, and you can move to the formal route at any time.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INFORMAL RESOLUTION AND MEDIATION</w:t>
            </w:r>
          </w:p>
          <w:p>
            <w:pPr>
              <w:spacing w:after="120" w:before="0" w:line="300"/>
            </w:pPr>
            <w:r>
              <w:rPr>
                <w:rFonts w:ascii="Nunito Sans" w:cs="Nunito Sans" w:eastAsia="Nunito Sans" w:hAnsi="Nunito Sans"/>
                <w:color w:val="102E3B"/>
                <w:sz w:val="19"/>
                <w:szCs w:val="19"/>
              </w:rPr>
              <w:t xml:space="preserve">Decide who can facilitate a conversation. In a small team, an outside person may be fairer: a board member, a trained mediator, or someone from a partner organisation. Never pressure anyone into mediation or a face-to-face meeting, and never use mediation for sexual harassment or where there is a large power imbalance unless the person affected asks for it.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The formal route</w:t>
      </w:r>
    </w:p>
    <w:p>
      <w:pPr>
        <w:spacing w:after="120" w:before="0" w:line="300"/>
      </w:pPr>
      <w:r>
        <w:rPr>
          <w:rFonts w:ascii="Nunito Sans" w:cs="Nunito Sans" w:eastAsia="Nunito Sans" w:hAnsi="Nunito Sans"/>
          <w:color w:val="102E3B"/>
          <w:sz w:val="20"/>
          <w:szCs w:val="20"/>
        </w:rPr>
        <w:t xml:space="preserve">Raise a formal concern by writing, emailing or speaking 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ROUTE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Responsible person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r>
              <w:rPr>
                <w:rFonts w:ascii="Nunito Sans" w:cs="Nunito Sans" w:eastAsia="Nunito Sans" w:hAnsi="Nunito Sans"/>
                <w:color w:val="102E3B"/>
                <w:sz w:val="18"/>
                <w:szCs w:val="18"/>
              </w:rPr>
              <w:t xml:space="preserve">: if the concern is about the responsible person, the director or a board member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[safeguarding@yourorganisation.org]</w:t>
            </w:r>
            <w:r>
              <w:rPr>
                <w:rFonts w:ascii="Nunito Sans" w:cs="Nunito Sans" w:eastAsia="Nunito Sans" w:hAnsi="Nunito Sans"/>
                <w:color w:val="102E3B"/>
                <w:sz w:val="18"/>
                <w:szCs w:val="18"/>
              </w:rPr>
              <w:t xml:space="preserve">: if the concern also involves the people we serve</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Anonymous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[Anonymous form / feedback box]</w:t>
            </w:r>
            <w:r>
              <w:rPr>
                <w:rFonts w:ascii="Nunito Sans" w:cs="Nunito Sans" w:eastAsia="Nunito Sans" w:hAnsi="Nunito Sans"/>
                <w:color w:val="102E3B"/>
                <w:sz w:val="18"/>
                <w:szCs w:val="18"/>
              </w:rPr>
              <w:t xml:space="preserve">, or under our Whistleblowing Policy and Procedure</w:t>
            </w:r>
          </w:p>
        </w:tc>
      </w:tr>
    </w:tbl>
    <w:p>
      <w:pPr>
        <w:spacing w:after="120"/>
      </w:pPr>
    </w:p>
    <w:p>
      <w:pPr>
        <w:spacing w:after="120" w:before="0" w:line="300"/>
      </w:pPr>
      <w:r>
        <w:rPr>
          <w:rFonts w:ascii="Nunito Sans" w:cs="Nunito Sans" w:eastAsia="Nunito Sans" w:hAnsi="Nunito Sans"/>
          <w:color w:val="102E3B"/>
          <w:sz w:val="20"/>
          <w:szCs w:val="20"/>
        </w:rPr>
        <w:t xml:space="preserve">Share what you can: what happened, when and where, who was involved, any witnesses, and any messages or screenshots. You do not need proof. If you speak to us, we write down what you say and you can check it. Anyone can raise a concern, including witnesses and people outside our organisation. We act on anonymous concerns as far as we can, but we may be limited if we cannot ask questions.</w:t>
      </w:r>
    </w:p>
    <w:p>
      <w:pPr>
        <w:pStyle w:val="Heading2"/>
        <w:keepNext/>
        <w:spacing w:after="120" w:before="280"/>
      </w:pPr>
      <w:r>
        <w:rPr>
          <w:rFonts w:ascii="DM Serif Display" w:cs="DM Serif Display" w:eastAsia="DM Serif Display" w:hAnsi="DM Serif Display"/>
          <w:color w:val="123C48"/>
          <w:sz w:val="28"/>
          <w:szCs w:val="28"/>
        </w:rPr>
        <w:t xml:space="preserve">11. Timescales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a formal concern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meeting with the person raising the concern</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Protective steps, where needed</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soon as the need is known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Investigation completed</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working days]</w:t>
            </w:r>
            <w:r>
              <w:rPr>
                <w:rFonts w:ascii="Nunito Sans" w:cs="Nunito Sans" w:eastAsia="Nunito Sans" w:hAnsi="Nunito Sans"/>
                <w:color w:val="102E3B"/>
                <w:sz w:val="18"/>
                <w:szCs w:val="18"/>
              </w:rPr>
              <w:t xml:space="preserve"> from the first meeting</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Written decision to both sides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after the investigation</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lodged</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from the decision</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decided</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 working days]</w:t>
            </w:r>
            <w:r>
              <w:rPr>
                <w:rFonts w:ascii="Nunito Sans" w:cs="Nunito Sans" w:eastAsia="Nunito Sans" w:hAnsi="Nunito Sans"/>
                <w:color w:val="102E3B"/>
                <w:sz w:val="18"/>
                <w:szCs w:val="18"/>
              </w:rPr>
              <w:t xml:space="preserve"> from receiving the appeal</w:t>
            </w:r>
          </w:p>
        </w:tc>
      </w:tr>
    </w:tbl>
    <w:p>
      <w:pPr>
        <w:spacing w:after="120"/>
      </w:pPr>
    </w:p>
    <w:p>
      <w:pPr>
        <w:spacing w:after="120" w:before="0" w:line="300"/>
      </w:pPr>
      <w:r>
        <w:rPr>
          <w:rFonts w:ascii="Nunito Sans" w:cs="Nunito Sans" w:eastAsia="Nunito Sans" w:hAnsi="Nunito Sans"/>
          <w:color w:val="102E3B"/>
          <w:sz w:val="20"/>
          <w:szCs w:val="20"/>
        </w:rPr>
        <w:t xml:space="preserve">If we need more time, for example because a witness is unavailable, we tell both sides why and give a new date.</w:t>
      </w:r>
    </w:p>
    <w:p>
      <w:pPr>
        <w:pStyle w:val="Heading1"/>
        <w:keepNext/>
        <w:spacing w:after="160" w:before="360"/>
      </w:pPr>
      <w:r>
        <w:rPr>
          <w:rFonts w:ascii="DM Serif Display" w:cs="DM Serif Display" w:eastAsia="DM Serif Display" w:hAnsi="DM Serif Display"/>
          <w:color w:val="123C48"/>
          <w:sz w:val="40"/>
          <w:szCs w:val="40"/>
        </w:rPr>
        <w:t xml:space="preserve">What happens next</w:t>
      </w:r>
    </w:p>
    <w:p>
      <w:pPr>
        <w:pStyle w:val="Heading2"/>
        <w:keepNext/>
        <w:spacing w:after="120" w:before="280"/>
      </w:pPr>
      <w:r>
        <w:rPr>
          <w:rFonts w:ascii="DM Serif Display" w:cs="DM Serif Display" w:eastAsia="DM Serif Display" w:hAnsi="DM Serif Display"/>
          <w:color w:val="123C48"/>
          <w:sz w:val="28"/>
          <w:szCs w:val="28"/>
        </w:rPr>
        <w:t xml:space="preserve">12. Assessing and protecting</w:t>
      </w:r>
    </w:p>
    <w:p>
      <w:pPr>
        <w:spacing w:after="120" w:before="0" w:line="300"/>
      </w:pPr>
      <w:r>
        <w:rPr>
          <w:rFonts w:ascii="Nunito Sans" w:cs="Nunito Sans" w:eastAsia="Nunito Sans" w:hAnsi="Nunito Sans"/>
          <w:color w:val="102E3B"/>
          <w:sz w:val="20"/>
          <w:szCs w:val="20"/>
        </w:rPr>
        <w:t xml:space="preserve">The responsible person, or the independent contact if the responsible person is involved:</w:t>
      </w:r>
    </w:p>
    <w:p>
      <w:pPr>
        <w:pStyle w:val="ListParagraph"/>
        <w:numPr>
          <w:ilvl w:val="0"/>
          <w:numId w:val="5"/>
        </w:numPr>
        <w:spacing w:after="80" w:line="290"/>
      </w:pPr>
      <w:r>
        <w:rPr>
          <w:rFonts w:ascii="Nunito Sans" w:cs="Nunito Sans" w:eastAsia="Nunito Sans" w:hAnsi="Nunito Sans"/>
          <w:color w:val="102E3B"/>
          <w:sz w:val="20"/>
          <w:szCs w:val="20"/>
        </w:rPr>
        <w:t xml:space="preserve">acknowledges the concern in writing and explains the process;</w:t>
      </w:r>
    </w:p>
    <w:p>
      <w:pPr>
        <w:pStyle w:val="ListParagraph"/>
        <w:numPr>
          <w:ilvl w:val="0"/>
          <w:numId w:val="5"/>
        </w:numPr>
        <w:spacing w:after="80" w:line="290"/>
      </w:pPr>
      <w:r>
        <w:rPr>
          <w:rFonts w:ascii="Nunito Sans" w:cs="Nunito Sans" w:eastAsia="Nunito Sans" w:hAnsi="Nunito Sans"/>
          <w:color w:val="102E3B"/>
          <w:sz w:val="20"/>
          <w:szCs w:val="20"/>
        </w:rPr>
        <w:t xml:space="preserve">meets the person raising it, asks what outcome they hope for, and explains the options;</w:t>
      </w:r>
    </w:p>
    <w:p>
      <w:pPr>
        <w:pStyle w:val="ListParagraph"/>
        <w:numPr>
          <w:ilvl w:val="0"/>
          <w:numId w:val="5"/>
        </w:numPr>
        <w:spacing w:after="80" w:line="290"/>
      </w:pPr>
      <w:r>
        <w:rPr>
          <w:rFonts w:ascii="Nunito Sans" w:cs="Nunito Sans" w:eastAsia="Nunito Sans" w:hAnsi="Nunito Sans"/>
          <w:color w:val="102E3B"/>
          <w:sz w:val="20"/>
          <w:szCs w:val="20"/>
        </w:rPr>
        <w:t xml:space="preserve">checks whether anyone is at risk, whether the concern belongs under another policy (such as safeguarding or fraud), and whether the law requires a report to the authorities;</w:t>
      </w:r>
    </w:p>
    <w:p>
      <w:pPr>
        <w:pStyle w:val="ListParagraph"/>
        <w:numPr>
          <w:ilvl w:val="0"/>
          <w:numId w:val="5"/>
        </w:numPr>
        <w:spacing w:after="80" w:line="290"/>
      </w:pPr>
      <w:r>
        <w:rPr>
          <w:rFonts w:ascii="Nunito Sans" w:cs="Nunito Sans" w:eastAsia="Nunito Sans" w:hAnsi="Nunito Sans"/>
          <w:color w:val="102E3B"/>
          <w:sz w:val="20"/>
          <w:szCs w:val="20"/>
        </w:rPr>
        <w:t xml:space="preserve">agrees protective steps where needed: for example changing reporting lines, separating work schedules, moving meetings online, or suspending the person concerned on full pay. These steps are precautions, not findings, and should not disadvantage the person who raised the concern.</w:t>
      </w:r>
    </w:p>
    <w:p>
      <w:pPr>
        <w:pStyle w:val="Heading2"/>
        <w:keepNext/>
        <w:spacing w:after="120" w:before="280"/>
      </w:pPr>
      <w:r>
        <w:rPr>
          <w:rFonts w:ascii="DM Serif Display" w:cs="DM Serif Display" w:eastAsia="DM Serif Display" w:hAnsi="DM Serif Display"/>
          <w:color w:val="123C48"/>
          <w:sz w:val="28"/>
          <w:szCs w:val="28"/>
        </w:rPr>
        <w:t xml:space="preserve">13. A fair investigation</w:t>
      </w:r>
    </w:p>
    <w:p>
      <w:pPr>
        <w:spacing w:after="120" w:before="0" w:line="300"/>
      </w:pPr>
      <w:r>
        <w:rPr>
          <w:rFonts w:ascii="Nunito Sans" w:cs="Nunito Sans" w:eastAsia="Nunito Sans" w:hAnsi="Nunito Sans"/>
          <w:color w:val="102E3B"/>
          <w:sz w:val="20"/>
          <w:szCs w:val="20"/>
        </w:rPr>
        <w:t xml:space="preserve">The investigator is someone with no involvement in the matter and no close relationship with either side. For serious or complex cases, or where everyone in the organisation is too close to it, we appoint an external investigator. The investigator:</w:t>
      </w:r>
    </w:p>
    <w:p>
      <w:pPr>
        <w:pStyle w:val="ListParagraph"/>
        <w:numPr>
          <w:ilvl w:val="0"/>
          <w:numId w:val="3"/>
        </w:numPr>
        <w:spacing w:after="80" w:line="290"/>
      </w:pPr>
      <w:r>
        <w:rPr>
          <w:rFonts w:ascii="Nunito Sans" w:cs="Nunito Sans" w:eastAsia="Nunito Sans" w:hAnsi="Nunito Sans"/>
          <w:color w:val="102E3B"/>
          <w:sz w:val="20"/>
          <w:szCs w:val="20"/>
        </w:rPr>
        <w:t xml:space="preserve">tells the person concerned the substance of the allegation in writing, and gives them a real chance to respond and suggest witnesses or evidence;</w:t>
      </w:r>
    </w:p>
    <w:p>
      <w:pPr>
        <w:pStyle w:val="ListParagraph"/>
        <w:numPr>
          <w:ilvl w:val="0"/>
          <w:numId w:val="3"/>
        </w:numPr>
        <w:spacing w:after="80" w:line="290"/>
      </w:pPr>
      <w:r>
        <w:rPr>
          <w:rFonts w:ascii="Nunito Sans" w:cs="Nunito Sans" w:eastAsia="Nunito Sans" w:hAnsi="Nunito Sans"/>
          <w:color w:val="102E3B"/>
          <w:sz w:val="20"/>
          <w:szCs w:val="20"/>
        </w:rPr>
        <w:t xml:space="preserve">interviews each person separately, and never asks the person who raised the concern to meet the other person;</w:t>
      </w:r>
    </w:p>
    <w:p>
      <w:pPr>
        <w:pStyle w:val="ListParagraph"/>
        <w:numPr>
          <w:ilvl w:val="0"/>
          <w:numId w:val="3"/>
        </w:numPr>
        <w:spacing w:after="80" w:line="290"/>
      </w:pPr>
      <w:r>
        <w:rPr>
          <w:rFonts w:ascii="Nunito Sans" w:cs="Nunito Sans" w:eastAsia="Nunito Sans" w:hAnsi="Nunito Sans"/>
          <w:color w:val="102E3B"/>
          <w:sz w:val="20"/>
          <w:szCs w:val="20"/>
        </w:rPr>
        <w:t xml:space="preserve">allows each side to be accompanied at meetings by a colleague or trade union representative, or another supporter where we agree;</w:t>
      </w:r>
    </w:p>
    <w:p>
      <w:pPr>
        <w:pStyle w:val="ListParagraph"/>
        <w:numPr>
          <w:ilvl w:val="0"/>
          <w:numId w:val="3"/>
        </w:numPr>
        <w:spacing w:after="80" w:line="290"/>
      </w:pPr>
      <w:r>
        <w:rPr>
          <w:rFonts w:ascii="Nunito Sans" w:cs="Nunito Sans" w:eastAsia="Nunito Sans" w:hAnsi="Nunito Sans"/>
          <w:color w:val="102E3B"/>
          <w:sz w:val="20"/>
          <w:szCs w:val="20"/>
        </w:rPr>
        <w:t xml:space="preserve">keeps written notes, which each person can check;</w:t>
      </w:r>
    </w:p>
    <w:p>
      <w:pPr>
        <w:pStyle w:val="ListParagraph"/>
        <w:numPr>
          <w:ilvl w:val="0"/>
          <w:numId w:val="3"/>
        </w:numPr>
        <w:spacing w:after="80" w:line="290"/>
      </w:pPr>
      <w:r>
        <w:rPr>
          <w:rFonts w:ascii="Nunito Sans" w:cs="Nunito Sans" w:eastAsia="Nunito Sans" w:hAnsi="Nunito Sans"/>
          <w:color w:val="102E3B"/>
          <w:sz w:val="20"/>
          <w:szCs w:val="20"/>
        </w:rPr>
        <w:t xml:space="preserve">looks at relevant messages, records and documents;</w:t>
      </w:r>
    </w:p>
    <w:p>
      <w:pPr>
        <w:pStyle w:val="ListParagraph"/>
        <w:numPr>
          <w:ilvl w:val="0"/>
          <w:numId w:val="3"/>
        </w:numPr>
        <w:spacing w:after="80" w:line="290"/>
      </w:pPr>
      <w:r>
        <w:rPr>
          <w:rFonts w:ascii="Nunito Sans" w:cs="Nunito Sans" w:eastAsia="Nunito Sans" w:hAnsi="Nunito Sans"/>
          <w:color w:val="102E3B"/>
          <w:sz w:val="20"/>
          <w:szCs w:val="20"/>
        </w:rPr>
        <w:t xml:space="preserve">reaches a view on the balance of probabilities (whether it is more likely than not that the conduct happened) and gives reasons.</w:t>
      </w:r>
    </w:p>
    <w:p>
      <w:pPr>
        <w:spacing w:after="120" w:before="0" w:line="300"/>
      </w:pPr>
      <w:r>
        <w:rPr>
          <w:rFonts w:ascii="Nunito Sans" w:cs="Nunito Sans" w:eastAsia="Nunito Sans" w:hAnsi="Nunito Sans"/>
          <w:color w:val="102E3B"/>
          <w:sz w:val="20"/>
          <w:szCs w:val="20"/>
        </w:rPr>
        <w:t xml:space="preserve">No one is presumed to have done wrong until the facts are established. Everyone involved keeps the matter confidential.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INVESTIGATIONS AND YOUR DISCIPLINARY PROCEDURE</w:t>
            </w:r>
          </w:p>
          <w:p>
            <w:pPr>
              <w:spacing w:after="120" w:before="0" w:line="300"/>
            </w:pPr>
            <w:r>
              <w:rPr>
                <w:rFonts w:ascii="Nunito Sans" w:cs="Nunito Sans" w:eastAsia="Nunito Sans" w:hAnsi="Nunito Sans"/>
                <w:color w:val="102E3B"/>
                <w:sz w:val="19"/>
                <w:szCs w:val="19"/>
              </w:rPr>
              <w:t xml:space="preserve">Check your employment law. In many countries, an employer must follow a set process before a warning or dismissal: written notice of the allegation, a hearing, the right to be accompanied, and a written decision. In the United Kingdom, for example, workers have a legal right to be accompanied at disciplinary and grievance hearings. Make sure this section matches your employment contracts and disciplinary procedure. Budget for an external investigator: ask a local employment lawyer, HR consultancy or a peer organisation for names before you need one.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Outcomes</w:t>
      </w:r>
    </w:p>
    <w:p>
      <w:pPr>
        <w:spacing w:after="120" w:before="0" w:line="300"/>
      </w:pPr>
      <w:r>
        <w:rPr>
          <w:rFonts w:ascii="Nunito Sans" w:cs="Nunito Sans" w:eastAsia="Nunito Sans" w:hAnsi="Nunito Sans"/>
          <w:color w:val="102E3B"/>
          <w:sz w:val="20"/>
          <w:szCs w:val="20"/>
        </w:rPr>
        <w:t xml:space="preserve">The decision is "upheld", "partly upheld" or "not upheld". Both sides receive it in writing, with the information they are entitled to, while protecting others' privacy. Depending on the facts and severity, outcomes include:</w:t>
      </w:r>
    </w:p>
    <w:p>
      <w:pPr>
        <w:pStyle w:val="ListParagraph"/>
        <w:numPr>
          <w:ilvl w:val="0"/>
          <w:numId w:val="3"/>
        </w:numPr>
        <w:spacing w:after="80" w:line="290"/>
      </w:pPr>
      <w:r>
        <w:rPr>
          <w:rFonts w:ascii="Nunito Sans" w:cs="Nunito Sans" w:eastAsia="Nunito Sans" w:hAnsi="Nunito Sans"/>
          <w:color w:val="102E3B"/>
          <w:sz w:val="20"/>
          <w:szCs w:val="20"/>
        </w:rPr>
        <w:t xml:space="preserve">no further action, or guidance, training or a facilitated conversation;</w:t>
      </w:r>
    </w:p>
    <w:p>
      <w:pPr>
        <w:pStyle w:val="ListParagraph"/>
        <w:numPr>
          <w:ilvl w:val="0"/>
          <w:numId w:val="3"/>
        </w:numPr>
        <w:spacing w:after="80" w:line="290"/>
      </w:pPr>
      <w:r>
        <w:rPr>
          <w:rFonts w:ascii="Nunito Sans" w:cs="Nunito Sans" w:eastAsia="Nunito Sans" w:hAnsi="Nunito Sans"/>
          <w:color w:val="102E3B"/>
          <w:sz w:val="20"/>
          <w:szCs w:val="20"/>
        </w:rPr>
        <w:t xml:space="preserve">a written warning, or a final written warning;</w:t>
      </w:r>
    </w:p>
    <w:p>
      <w:pPr>
        <w:pStyle w:val="ListParagraph"/>
        <w:numPr>
          <w:ilvl w:val="0"/>
          <w:numId w:val="3"/>
        </w:numPr>
        <w:spacing w:after="80" w:line="290"/>
      </w:pPr>
      <w:r>
        <w:rPr>
          <w:rFonts w:ascii="Nunito Sans" w:cs="Nunito Sans" w:eastAsia="Nunito Sans" w:hAnsi="Nunito Sans"/>
          <w:color w:val="102E3B"/>
          <w:sz w:val="20"/>
          <w:szCs w:val="20"/>
        </w:rPr>
        <w:t xml:space="preserve">changes to roles, reporting lines or working arrangements, which should not disadvantage the person affected;</w:t>
      </w:r>
    </w:p>
    <w:p>
      <w:pPr>
        <w:pStyle w:val="ListParagraph"/>
        <w:numPr>
          <w:ilvl w:val="0"/>
          <w:numId w:val="3"/>
        </w:numPr>
        <w:spacing w:after="80" w:line="290"/>
      </w:pPr>
      <w:r>
        <w:rPr>
          <w:rFonts w:ascii="Nunito Sans" w:cs="Nunito Sans" w:eastAsia="Nunito Sans" w:hAnsi="Nunito Sans"/>
          <w:color w:val="102E3B"/>
          <w:sz w:val="20"/>
          <w:szCs w:val="20"/>
        </w:rPr>
        <w:t xml:space="preserve">dismissal, or ending a volunteer role, board membership, contract or partnership, following our disciplinary procedure and the law;</w:t>
      </w:r>
    </w:p>
    <w:p>
      <w:pPr>
        <w:pStyle w:val="ListParagraph"/>
        <w:numPr>
          <w:ilvl w:val="0"/>
          <w:numId w:val="3"/>
        </w:numPr>
        <w:spacing w:after="80" w:line="290"/>
      </w:pPr>
      <w:r>
        <w:rPr>
          <w:rFonts w:ascii="Nunito Sans" w:cs="Nunito Sans" w:eastAsia="Nunito Sans" w:hAnsi="Nunito Sans"/>
          <w:color w:val="102E3B"/>
          <w:sz w:val="20"/>
          <w:szCs w:val="20"/>
        </w:rPr>
        <w:t xml:space="preserve">referral to the police or other authorities where the law requires it or someone's safety demands it.</w:t>
      </w:r>
    </w:p>
    <w:p>
      <w:pPr>
        <w:spacing w:after="120" w:before="0" w:line="300"/>
      </w:pPr>
      <w:r>
        <w:rPr>
          <w:rFonts w:ascii="Nunito Sans" w:cs="Nunito Sans" w:eastAsia="Nunito Sans" w:hAnsi="Nunito Sans"/>
          <w:color w:val="102E3B"/>
          <w:sz w:val="20"/>
          <w:szCs w:val="20"/>
        </w:rPr>
        <w:t xml:space="preserve">Where the law allows, we may share confirmed findings of sexual harassment with future employers who ask, following the principles of the Misconduct Disclosure Scheme. We also ask what we could change to prevent it happening again.</w:t>
      </w:r>
    </w:p>
    <w:p>
      <w:pPr>
        <w:pStyle w:val="Heading2"/>
        <w:keepNext/>
        <w:spacing w:after="120" w:before="280"/>
      </w:pPr>
      <w:r>
        <w:rPr>
          <w:rFonts w:ascii="DM Serif Display" w:cs="DM Serif Display" w:eastAsia="DM Serif Display" w:hAnsi="DM Serif Display"/>
          <w:color w:val="123C48"/>
          <w:sz w:val="28"/>
          <w:szCs w:val="28"/>
        </w:rPr>
        <w:t xml:space="preserve">15. Appeals</w:t>
      </w:r>
    </w:p>
    <w:p>
      <w:pPr>
        <w:spacing w:after="120" w:before="0" w:line="300"/>
      </w:pPr>
      <w:r>
        <w:rPr>
          <w:rFonts w:ascii="Nunito Sans" w:cs="Nunito Sans" w:eastAsia="Nunito Sans" w:hAnsi="Nunito Sans"/>
          <w:color w:val="102E3B"/>
          <w:sz w:val="20"/>
          <w:szCs w:val="20"/>
        </w:rPr>
        <w:t xml:space="preserve">Either side can appeal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of the decision,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and saying why: for example an unfair process, new evidence, or an outcome out of proportion to the facts. The appeal is heard by someone not involved in the original case. If no such person exists inside the organisation, we ask an external adviser. The appeal decision is final within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It does not affect anyone's rights under the law.</w:t>
      </w:r>
    </w:p>
    <w:p>
      <w:pPr>
        <w:pStyle w:val="Heading1"/>
        <w:keepNext/>
        <w:spacing w:after="160" w:before="360"/>
      </w:pPr>
      <w:r>
        <w:rPr>
          <w:rFonts w:ascii="DM Serif Display" w:cs="DM Serif Display" w:eastAsia="DM Serif Display" w:hAnsi="DM Serif Display"/>
          <w:color w:val="123C48"/>
          <w:sz w:val="40"/>
          <w:szCs w:val="40"/>
        </w:rPr>
        <w:t xml:space="preserve">Support for the person affected</w:t>
      </w:r>
    </w:p>
    <w:p>
      <w:pPr>
        <w:spacing w:after="120" w:before="0" w:line="300"/>
      </w:pPr>
      <w:r>
        <w:rPr>
          <w:rFonts w:ascii="Nunito Sans" w:cs="Nunito Sans" w:eastAsia="Nunito Sans" w:hAnsi="Nunito Sans"/>
          <w:color w:val="102E3B"/>
          <w:sz w:val="20"/>
          <w:szCs w:val="20"/>
        </w:rPr>
        <w:t xml:space="preserve">Raising a concern can be stressful. The responsible person will:</w:t>
      </w:r>
    </w:p>
    <w:p>
      <w:pPr>
        <w:pStyle w:val="ListParagraph"/>
        <w:numPr>
          <w:ilvl w:val="0"/>
          <w:numId w:val="3"/>
        </w:numPr>
        <w:spacing w:after="80" w:line="290"/>
      </w:pPr>
      <w:r>
        <w:rPr>
          <w:rFonts w:ascii="Nunito Sans" w:cs="Nunito Sans" w:eastAsia="Nunito Sans" w:hAnsi="Nunito Sans"/>
          <w:color w:val="102E3B"/>
          <w:sz w:val="20"/>
          <w:szCs w:val="20"/>
        </w:rPr>
        <w:t xml:space="preserve">keep you informed at each stage, at least every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agree with you practical steps that help you feel safe at work, such as flexible hours, working from home or not travelling with the person concerned;</w:t>
      </w:r>
    </w:p>
    <w:p>
      <w:pPr>
        <w:pStyle w:val="ListParagraph"/>
        <w:numPr>
          <w:ilvl w:val="0"/>
          <w:numId w:val="3"/>
        </w:numPr>
        <w:spacing w:after="80" w:line="290"/>
      </w:pPr>
      <w:r>
        <w:rPr>
          <w:rFonts w:ascii="Nunito Sans" w:cs="Nunito Sans" w:eastAsia="Nunito Sans" w:hAnsi="Nunito Sans"/>
          <w:color w:val="102E3B"/>
          <w:sz w:val="20"/>
          <w:szCs w:val="20"/>
        </w:rPr>
        <w:t xml:space="preserve">make sure you lose no pay, hours, training or opportunities because you raised a concern;</w:t>
      </w:r>
    </w:p>
    <w:p>
      <w:pPr>
        <w:pStyle w:val="ListParagraph"/>
        <w:numPr>
          <w:ilvl w:val="0"/>
          <w:numId w:val="3"/>
        </w:numPr>
        <w:spacing w:after="80" w:line="290"/>
      </w:pPr>
      <w:r>
        <w:rPr>
          <w:rFonts w:ascii="Nunito Sans" w:cs="Nunito Sans" w:eastAsia="Nunito Sans" w:hAnsi="Nunito Sans"/>
          <w:color w:val="102E3B"/>
          <w:sz w:val="20"/>
          <w:szCs w:val="20"/>
        </w:rPr>
        <w:t xml:space="preserve">point you to support where you live: </w:t>
      </w:r>
      <w:r>
        <w:rPr>
          <w:rFonts w:ascii="Nunito Sans" w:cs="Nunito Sans" w:eastAsia="Nunito Sans" w:hAnsi="Nunito Sans"/>
          <w:color w:val="102E3B"/>
          <w:sz w:val="20"/>
          <w:szCs w:val="20"/>
          <w:highlight w:val="yellow"/>
        </w:rPr>
        <w:t xml:space="preserve">[employee assistance programme / counselling service / helpline / legal aid]</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give you time off for medical, legal or counselling appointments linked to the matter.</w:t>
      </w:r>
    </w:p>
    <w:p>
      <w:pPr>
        <w:spacing w:after="120" w:before="0" w:line="300"/>
      </w:pPr>
      <w:r>
        <w:rPr>
          <w:rFonts w:ascii="Nunito Sans" w:cs="Nunito Sans" w:eastAsia="Nunito Sans" w:hAnsi="Nunito Sans"/>
          <w:color w:val="102E3B"/>
          <w:sz w:val="20"/>
          <w:szCs w:val="20"/>
        </w:rPr>
        <w:t xml:space="preserve">The person concerned is also offered support, and kept informed.</w:t>
      </w:r>
    </w:p>
    <w:p>
      <w:pPr>
        <w:pStyle w:val="Heading1"/>
        <w:keepNext/>
        <w:spacing w:after="160" w:before="360"/>
      </w:pPr>
      <w:r>
        <w:rPr>
          <w:rFonts w:ascii="DM Serif Display" w:cs="DM Serif Display" w:eastAsia="DM Serif Display" w:hAnsi="DM Serif Display"/>
          <w:color w:val="123C48"/>
          <w:sz w:val="40"/>
          <w:szCs w:val="40"/>
        </w:rPr>
        <w:t xml:space="preserve">Protection from retaliation</w:t>
      </w:r>
    </w:p>
    <w:p>
      <w:pPr>
        <w:spacing w:after="120" w:before="0" w:line="300"/>
      </w:pPr>
      <w:r>
        <w:rPr>
          <w:rFonts w:ascii="Nunito Sans" w:cs="Nunito Sans" w:eastAsia="Nunito Sans" w:hAnsi="Nunito Sans"/>
          <w:color w:val="102E3B"/>
          <w:sz w:val="20"/>
          <w:szCs w:val="20"/>
        </w:rPr>
        <w:t xml:space="preserve">Nobody will be dismissed, demoted, denied work, given a worse reference, excluded, or treated less well for raising a concern honestly or for helping with an investigation. Examples of retaliation: cancelling someone's contract or shifts; withdrawing a training opportunity; giving a poor reference; hostile messages or exclusion from group chats; pressure through family or community members.</w:t>
      </w:r>
    </w:p>
    <w:p>
      <w:pPr>
        <w:spacing w:after="120" w:before="0" w:line="300"/>
      </w:pPr>
      <w:r>
        <w:rPr>
          <w:rFonts w:ascii="Nunito Sans" w:cs="Nunito Sans" w:eastAsia="Nunito Sans" w:hAnsi="Nunito Sans"/>
          <w:color w:val="102E3B"/>
          <w:sz w:val="20"/>
          <w:szCs w:val="20"/>
        </w:rPr>
        <w:t xml:space="preserve">Anyone who retaliates, or threatens to, faces disciplinary action up to dismissal or the end of their agreement. If something harmful happens to you after you raise a concern, we will treat it as retaliation unless there is a clear, separate and legitimate reason. We will reverse its effects where we can.</w:t>
      </w:r>
    </w:p>
    <w:p>
      <w:pPr>
        <w:pStyle w:val="Heading1"/>
        <w:keepNext/>
        <w:spacing w:after="160" w:before="360"/>
      </w:pPr>
      <w:r>
        <w:rPr>
          <w:rFonts w:ascii="DM Serif Display" w:cs="DM Serif Display" w:eastAsia="DM Serif Display" w:hAnsi="DM Serif Display"/>
          <w:color w:val="123C48"/>
          <w:sz w:val="40"/>
          <w:szCs w:val="40"/>
        </w:rPr>
        <w:t xml:space="preserve">False or malicious reports</w:t>
      </w:r>
    </w:p>
    <w:p>
      <w:pPr>
        <w:spacing w:after="120" w:before="0" w:line="300"/>
      </w:pPr>
      <w:r>
        <w:rPr>
          <w:rFonts w:ascii="Nunito Sans" w:cs="Nunito Sans" w:eastAsia="Nunito Sans" w:hAnsi="Nunito Sans"/>
          <w:color w:val="102E3B"/>
          <w:sz w:val="20"/>
          <w:szCs w:val="20"/>
        </w:rPr>
        <w:t xml:space="preserve">Please raise what worries you. Nobody is penalised for a genuine concern, even if it is not upheld or some details are wrong. Knowingly making a false allegation, or reporting to damage someone, is misconduct. We decide this only after a review, never just because a concern was not upheld.</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Receives an anonymised summary of concerns every year. Makes sure concerns about the director are handled independently.</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Responsible person</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concerns, arranges protective steps and investigations, keeps records, supports the people involved and reports trends to the board.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Independent contact</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Handles concerns about the responsible person, the director or board members. Hears appeals or finds someone suitable to hear them.</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Managers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Model respectful behaviour, act on early signs, and never discourage anyone from raising a concern.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Everyone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Treats others with respect, speaks up or reports when safe to do so, cooperates with investigations and keeps them confidential.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share information only with people who need it to handle the concern, and protect the identity of the person raising it as far as we can. In a small team, the other person may guess who raised a concern: we will discuss this with you before we act. Everyone involved must keep the matter confidential, though anyone may get legal advice or contact a regulator.</w:t>
      </w:r>
    </w:p>
    <w:p>
      <w:pPr>
        <w:spacing w:after="120" w:before="0" w:line="300"/>
      </w:pPr>
      <w:r>
        <w:rPr>
          <w:rFonts w:ascii="Nunito Sans" w:cs="Nunito Sans" w:eastAsia="Nunito Sans" w:hAnsi="Nunito Sans"/>
          <w:color w:val="102E3B"/>
          <w:sz w:val="20"/>
          <w:szCs w:val="20"/>
        </w:rPr>
        <w:t xml:space="preserve">The responsible person keeps case notes, evidence and outcomes in </w:t>
      </w:r>
      <w:r>
        <w:rPr>
          <w:rFonts w:ascii="Nunito Sans" w:cs="Nunito Sans" w:eastAsia="Nunito Sans" w:hAnsi="Nunito Sans"/>
          <w:color w:val="102E3B"/>
          <w:sz w:val="20"/>
          <w:szCs w:val="20"/>
          <w:highlight w:val="yellow"/>
        </w:rPr>
        <w:t xml:space="preserve">[a restricted, encrypted folder]</w:t>
      </w:r>
      <w:r>
        <w:rPr>
          <w:rFonts w:ascii="Nunito Sans" w:cs="Nunito Sans" w:eastAsia="Nunito Sans" w:hAnsi="Nunito Sans"/>
          <w:color w:val="102E3B"/>
          <w:sz w:val="20"/>
          <w:szCs w:val="20"/>
        </w:rPr>
        <w:t xml:space="preserve">, separately from personnel files. Only the outcome and any warning go on a personnel file. We keep case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case closes, or longer if legal proceedings are ongoing or expected, and then delete them securely. Personal data is handled under our Data Protection Policy. We never put case information into AI tools or online services we have not approved.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RECORDS AND RETENTION</w:t>
            </w:r>
          </w:p>
          <w:p>
            <w:pPr>
              <w:spacing w:after="120" w:before="0" w:line="300"/>
            </w:pPr>
            <w:r>
              <w:rPr>
                <w:rFonts w:ascii="Nunito Sans" w:cs="Nunito Sans" w:eastAsia="Nunito Sans" w:hAnsi="Nunito Sans"/>
                <w:color w:val="102E3B"/>
                <w:sz w:val="19"/>
                <w:szCs w:val="19"/>
              </w:rPr>
              <w:t xml:space="preserve">Check local employment and data protection law on how long you may keep grievance and disciplinary records, and on employees' rights to see them. Six years is common where it matches the period for bringing legal claims, but limitation periods differ by country. Add your choice to your Records Retention Schedule.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Breaches are handled through the procedure above and can lead to the outcomes in section 14. A manager who ignores a concern, or discourages someone from raising one, also breaches this policy.</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responsible person gives the board an anonymised summary of concerns, timelines, outcomes and lessons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We ask the team every year, through an anonymous survey or conversation, whether they feel safe and respected at work. We review this policy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any formal complaint, and when the law changes.</w:t>
      </w:r>
    </w:p>
    <w:p>
      <w:pPr>
        <w:spacing w:after="120" w:before="0" w:line="300"/>
      </w:pPr>
      <w:r>
        <w:rPr>
          <w:rFonts w:ascii="Nunito Sans" w:cs="Nunito Sans" w:eastAsia="Nunito Sans" w:hAnsi="Nunito Sans"/>
          <w:color w:val="102E3B"/>
          <w:sz w:val="20"/>
          <w:szCs w:val="20"/>
        </w:rPr>
        <w:t xml:space="preserve">This policy follows ILO Conventions 111 (1958) and 190 (2019), the Universal Declaration of Human Rights, the Convention on the Elimination of All Forms of Discrimination against Women (CEDAW) and the Convention on the Rights of Persons with Disabilities.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Contact Role Note</w:t>
      </w:r>
    </w:p>
    <w:p>
      <w:pPr>
        <w:pStyle w:val="ListParagraph"/>
        <w:numPr>
          <w:ilvl w:val="0"/>
          <w:numId w:val="3"/>
        </w:numPr>
        <w:spacing w:after="80" w:line="290"/>
      </w:pPr>
      <w:r>
        <w:rPr>
          <w:rFonts w:ascii="Nunito Sans" w:cs="Nunito Sans" w:eastAsia="Nunito Sans" w:hAnsi="Nunito Sans"/>
          <w:color w:val="102E3B"/>
          <w:sz w:val="20"/>
          <w:szCs w:val="20"/>
        </w:rPr>
        <w:t xml:space="preserve">Equality, Diversity and Inclusion Policy</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and Communications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w:t>
      </w:r>
    </w:p>
    <w:p>
      <w:pPr>
        <w:pStyle w:val="ListParagraph"/>
        <w:numPr>
          <w:ilvl w:val="0"/>
          <w:numId w:val="3"/>
        </w:numPr>
        <w:spacing w:after="80" w:line="290"/>
      </w:pPr>
      <w:r>
        <w:rPr>
          <w:rFonts w:ascii="Nunito Sans" w:cs="Nunito Sans" w:eastAsia="Nunito Sans" w:hAnsi="Nunito Sans"/>
          <w:color w:val="102E3B"/>
          <w:sz w:val="20"/>
          <w:szCs w:val="20"/>
        </w:rPr>
        <w:t xml:space="preserve">Volunteer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[Your disciplinary and grievance procedure]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Anti-Harassment, Intimidation and Bullying Policy and Procedure and have had the chance to ask questions. I will treat everyone I work with with dignity and respect, in person and online. I understand how to raise a concern, and that retaliation against anyone who does is a serious breach.</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Record of a concern</w:t>
      </w:r>
    </w:p>
    <w:p>
      <w:pPr>
        <w:spacing w:after="120" w:before="0" w:line="300"/>
      </w:pPr>
      <w:r>
        <w:rPr>
          <w:rFonts w:ascii="Nunito Sans" w:cs="Nunito Sans" w:eastAsia="Nunito Sans" w:hAnsi="Nunito Sans"/>
          <w:color w:val="102E3B"/>
          <w:sz w:val="20"/>
          <w:szCs w:val="20"/>
        </w:rPr>
        <w:t xml:space="preserve">The responsible person completes this for every concern, informal or formal, and keeps it confidential.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number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received and how (in person, email, phone, anonymous)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and role of the person raising the concern (or "anonymous")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and role of the person concerned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Summary of what was reported, in the reporter's words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Route: informal or formal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Outcome the person raising it hopes for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Protective steps agreed, and date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Referred to another policy or to the authorities?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Investigator (name, internal or external)</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 (upheld, partly upheld, not upheld) and date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 received? Outcome and date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Lessons and changes made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closed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Anti-Harassment, Intimidation and Bullying Policy and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9A40AFA-6D41-60E1-6698-E914BDBD251E}"/>
  </w:font>
  <w:font w:name="DM Serif Display">
    <w:family w:val="auto"/>
    <w:pitch w:val="variable"/>
    <w:sig w:usb0="E0002AFF" w:usb1="C000247B" w:usb2="00000009" w:usb3="00000000" w:csb0="000001FF" w:csb1="00000000"/>
    <w:embedRegular r:id="rId2" w:fontKey="{E1F02EDC-D2A4-02DC-08B5-69481D11C91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Anti-Harassment, Intimidation and Bullying Policy and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ANTI-HARASSMENT, INTIMIDATION AND BULLYING POLICY AND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Anti-Harassment, Intimidation and Bullying Policy and Procedure</dc:title>
  <dc:creator>Method into Impact</dc:creator>
  <dc:description>How [[Organisation name]] prevents harassment, sexual harassment, bullying, intimidation and discrimination, and how anyone can raise a concern and get a fair, timely and confidential response.</dc:description>
  <cp:lastModifiedBy>Un-named</cp:lastModifiedBy>
  <cp:revision>1</cp:revision>
  <dcterms:created xsi:type="dcterms:W3CDTF">2026-10-29T00:41:20.197Z</dcterms:created>
  <dcterms:modified xsi:type="dcterms:W3CDTF">2026-10-29T00:41:20.197Z</dcterms:modified>
</cp:coreProperties>
</file>

<file path=docProps/custom.xml><?xml version="1.0" encoding="utf-8"?>
<Properties xmlns="http://schemas.openxmlformats.org/officeDocument/2006/custom-properties" xmlns:vt="http://schemas.openxmlformats.org/officeDocument/2006/docPropsVTypes"/>
</file>