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DATA PROTECTION AND PRIVACY</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Data Protection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collects, uses, shares, protects and deletes personal information about the people we serve, our team and our supporters.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data protection policy shows how you handle personal information lawfully and safely, from a registration list at a community meeting to a donor database in the cloud. Most countries now have a data protection law, and funders, partners and banks increasingly ask to see this policy in due diligence. This template uses the principles of the EU General Data Protection Regulation (GDPR) as a widely used benchmark, with notes on other national laws.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international NGOs and UN agencies before sharing data; data protection regulators; payment providers and banks; your board and team</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3–5 hours to adapt, plus 2–3 hours to complete the data inventory in Annex 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Privacy Notice · Cookie Policy · IT and Information Security Policy · Data Rights Request Procedure · Data Breach Response Procedure · Data Sharing Agreement · Records Retention Schedule · Data Protection Impact Assessment · Information Sharing Consent Form · Photo and Story Consent Form · Code of Conduct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Data Protection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anyone else who handles personal information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Training and awareness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Data inventory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Processors and cloud services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out what we do now and who does it.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data protection lead.</w:t>
            </w:r>
            <w:r>
              <w:rPr>
                <w:rFonts w:ascii="Nunito Sans" w:cs="Nunito Sans" w:eastAsia="Nunito Sans" w:hAnsi="Nunito Sans"/>
                <w:color w:val="102E3B"/>
                <w:sz w:val="19"/>
                <w:szCs w:val="19"/>
              </w:rPr>
              <w:t xml:space="preserve"> They own this policy, keep the data inventory in Annex A, handle requests from individuals and lead the response to any data breach.</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deputy.</w:t>
            </w:r>
            <w:r>
              <w:rPr>
                <w:rFonts w:ascii="Nunito Sans" w:cs="Nunito Sans" w:eastAsia="Nunito Sans" w:hAnsi="Nunito Sans"/>
                <w:color w:val="102E3B"/>
                <w:sz w:val="19"/>
                <w:szCs w:val="19"/>
              </w:rPr>
              <w:t xml:space="preserve"> They cover when the lead cannot be reached within </w:t>
            </w:r>
            <w:r>
              <w:rPr>
                <w:rFonts w:ascii="Nunito Sans" w:cs="Nunito Sans" w:eastAsia="Nunito Sans" w:hAnsi="Nunito Sans"/>
                <w:color w:val="102E3B"/>
                <w:sz w:val="19"/>
                <w:szCs w:val="19"/>
                <w:highlight w:val="yellow"/>
              </w:rPr>
              <w:t xml:space="preserve">[2 hours]</w:t>
            </w:r>
            <w:r>
              <w:rPr>
                <w:rFonts w:ascii="Nunito Sans" w:cs="Nunito Sans" w:eastAsia="Nunito Sans" w:hAnsi="Nunito Sans"/>
                <w:color w:val="102E3B"/>
                <w:sz w:val="19"/>
                <w:szCs w:val="19"/>
              </w:rPr>
              <w:t xml:space="preserve"> for a suspected breach, or for more than </w:t>
            </w:r>
            <w:r>
              <w:rPr>
                <w:rFonts w:ascii="Nunito Sans" w:cs="Nunito Sans" w:eastAsia="Nunito Sans" w:hAnsi="Nunito Sans"/>
                <w:color w:val="102E3B"/>
                <w:sz w:val="19"/>
                <w:szCs w:val="19"/>
                <w:highlight w:val="yellow"/>
              </w:rPr>
              <w:t xml:space="preserve">[24 hours / 48 hours]</w:t>
            </w:r>
            <w:r>
              <w:rPr>
                <w:rFonts w:ascii="Nunito Sans" w:cs="Nunito Sans" w:eastAsia="Nunito Sans" w:hAnsi="Nunito Sans"/>
                <w:color w:val="102E3B"/>
                <w:sz w:val="19"/>
                <w:szCs w:val="19"/>
              </w:rPr>
              <w:t xml:space="preserve"> otherwise, and handle any request or breach that involves the lead.</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and sooner after a new activity or system, a serious breach or a change in the law.</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The data protection lead is often the founder or operations manager. They need not be a lawyer, but must be organised, trusted and given time for the role. The deputy should be someone the lead does not manage, such as a board member. Do not call the lead a "data protection officer" unless you appoint one formally: in several countries that title carries legal duties (see "Data protection officer" under Roles and responsibilities).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collect only the personal information we need, for a clear purpose, and we tell people why.</w:t>
            </w:r>
          </w:p>
          <w:p>
            <w:pPr>
              <w:pStyle w:val="ListParagraph"/>
              <w:numPr>
                <w:ilvl w:val="0"/>
                <w:numId w:val="3"/>
              </w:numPr>
              <w:spacing w:after="80" w:line="290"/>
            </w:pPr>
            <w:r>
              <w:rPr>
                <w:rFonts w:ascii="Nunito Sans" w:cs="Nunito Sans" w:eastAsia="Nunito Sans" w:hAnsi="Nunito Sans"/>
                <w:color w:val="102E3B"/>
                <w:sz w:val="19"/>
                <w:szCs w:val="19"/>
              </w:rPr>
              <w:t xml:space="preserve">Every use of personal information has a lawful reason, recorded in our data inventory (Annex A).</w:t>
            </w:r>
          </w:p>
          <w:p>
            <w:pPr>
              <w:pStyle w:val="ListParagraph"/>
              <w:numPr>
                <w:ilvl w:val="0"/>
                <w:numId w:val="3"/>
              </w:numPr>
              <w:spacing w:after="80" w:line="290"/>
            </w:pPr>
            <w:r>
              <w:rPr>
                <w:rFonts w:ascii="Nunito Sans" w:cs="Nunito Sans" w:eastAsia="Nunito Sans" w:hAnsi="Nunito Sans"/>
                <w:color w:val="102E3B"/>
                <w:sz w:val="19"/>
                <w:szCs w:val="19"/>
              </w:rPr>
              <w:t xml:space="preserve">Sensitive information, such as health, ethnicity, religion or criminal records, and information about children get extra protection.</w:t>
            </w:r>
          </w:p>
          <w:p>
            <w:pPr>
              <w:pStyle w:val="ListParagraph"/>
              <w:numPr>
                <w:ilvl w:val="0"/>
                <w:numId w:val="3"/>
              </w:numPr>
              <w:spacing w:after="80" w:line="290"/>
            </w:pPr>
            <w:r>
              <w:rPr>
                <w:rFonts w:ascii="Nunito Sans" w:cs="Nunito Sans" w:eastAsia="Nunito Sans" w:hAnsi="Nunito Sans"/>
                <w:color w:val="102E3B"/>
                <w:sz w:val="19"/>
                <w:szCs w:val="19"/>
              </w:rPr>
              <w:t xml:space="preserve">We never sell personal information, and share only the minimum, under a written agreement.</w:t>
            </w:r>
          </w:p>
          <w:p>
            <w:pPr>
              <w:pStyle w:val="ListParagraph"/>
              <w:numPr>
                <w:ilvl w:val="0"/>
                <w:numId w:val="3"/>
              </w:numPr>
              <w:spacing w:after="80" w:line="290"/>
            </w:pPr>
            <w:r>
              <w:rPr>
                <w:rFonts w:ascii="Nunito Sans" w:cs="Nunito Sans" w:eastAsia="Nunito Sans" w:hAnsi="Nunito Sans"/>
                <w:color w:val="102E3B"/>
                <w:sz w:val="19"/>
                <w:szCs w:val="19"/>
              </w:rPr>
              <w:t xml:space="preserve">People can ask to see, correct or delete their information. We answer within </w:t>
            </w:r>
            <w:r>
              <w:rPr>
                <w:rFonts w:ascii="Nunito Sans" w:cs="Nunito Sans" w:eastAsia="Nunito Sans" w:hAnsi="Nunito Sans"/>
                <w:color w:val="102E3B"/>
                <w:sz w:val="19"/>
                <w:szCs w:val="19"/>
                <w:highlight w:val="yellow"/>
              </w:rPr>
              <w:t xml:space="preserve">[one month]</w:t>
            </w:r>
            <w:r>
              <w:rPr>
                <w:rFonts w:ascii="Nunito Sans" w:cs="Nunito Sans" w:eastAsia="Nunito Sans" w:hAnsi="Nunito Sans"/>
                <w:color w:val="102E3B"/>
                <w:sz w:val="19"/>
                <w:szCs w:val="19"/>
              </w:rPr>
              <w:t xml:space="preserve"> and log every request.</w:t>
            </w:r>
          </w:p>
          <w:p>
            <w:pPr>
              <w:pStyle w:val="ListParagraph"/>
              <w:numPr>
                <w:ilvl w:val="0"/>
                <w:numId w:val="3"/>
              </w:numPr>
              <w:spacing w:after="80" w:line="290"/>
            </w:pPr>
            <w:r>
              <w:rPr>
                <w:rFonts w:ascii="Nunito Sans" w:cs="Nunito Sans" w:eastAsia="Nunito Sans" w:hAnsi="Nunito Sans"/>
                <w:color w:val="102E3B"/>
                <w:sz w:val="19"/>
                <w:szCs w:val="19"/>
              </w:rPr>
              <w:t xml:space="preserve">We protect information with strong passwords, multi-factor sign-in, encrypted devices and limited access.</w:t>
            </w:r>
          </w:p>
          <w:p>
            <w:pPr>
              <w:pStyle w:val="ListParagraph"/>
              <w:numPr>
                <w:ilvl w:val="0"/>
                <w:numId w:val="3"/>
              </w:numPr>
              <w:spacing w:after="80" w:line="290"/>
            </w:pPr>
            <w:r>
              <w:rPr>
                <w:rFonts w:ascii="Nunito Sans" w:cs="Nunito Sans" w:eastAsia="Nunito Sans" w:hAnsi="Nunito Sans"/>
                <w:color w:val="102E3B"/>
                <w:sz w:val="19"/>
                <w:szCs w:val="19"/>
              </w:rPr>
              <w:t xml:space="preserve">We keep information only as long as our Records Retention Schedule says, then delete it securely.</w:t>
            </w:r>
          </w:p>
          <w:p>
            <w:pPr>
              <w:pStyle w:val="ListParagraph"/>
              <w:numPr>
                <w:ilvl w:val="0"/>
                <w:numId w:val="3"/>
              </w:numPr>
              <w:spacing w:after="80" w:line="290"/>
            </w:pPr>
            <w:r>
              <w:rPr>
                <w:rFonts w:ascii="Nunito Sans" w:cs="Nunito Sans" w:eastAsia="Nunito Sans" w:hAnsi="Nunito Sans"/>
                <w:color w:val="102E3B"/>
                <w:sz w:val="19"/>
                <w:szCs w:val="19"/>
              </w:rPr>
              <w:t xml:space="preserve">Report any suspected data breach to the data protection lead immediately, and within </w:t>
            </w:r>
            <w:r>
              <w:rPr>
                <w:rFonts w:ascii="Nunito Sans" w:cs="Nunito Sans" w:eastAsia="Nunito Sans" w:hAnsi="Nunito Sans"/>
                <w:color w:val="102E3B"/>
                <w:sz w:val="19"/>
                <w:szCs w:val="19"/>
                <w:highlight w:val="yellow"/>
              </w:rPr>
              <w:t xml:space="preserve">[1 hour]</w:t>
            </w:r>
            <w:r>
              <w:rPr>
                <w:rFonts w:ascii="Nunito Sans" w:cs="Nunito Sans" w:eastAsia="Nunito Sans" w:hAnsi="Nunito Sans"/>
                <w:color w:val="102E3B"/>
                <w:sz w:val="19"/>
                <w:szCs w:val="19"/>
              </w:rPr>
              <w:t xml:space="preserve"> of noticing it at the latest.</w:t>
            </w:r>
          </w:p>
          <w:p>
            <w:pPr>
              <w:pStyle w:val="ListParagraph"/>
              <w:numPr>
                <w:ilvl w:val="0"/>
                <w:numId w:val="3"/>
              </w:numPr>
              <w:spacing w:after="80" w:line="290"/>
            </w:pPr>
            <w:r>
              <w:rPr>
                <w:rFonts w:ascii="Nunito Sans" w:cs="Nunito Sans" w:eastAsia="Nunito Sans" w:hAnsi="Nunito Sans"/>
                <w:color w:val="102E3B"/>
                <w:sz w:val="19"/>
                <w:szCs w:val="19"/>
              </w:rPr>
              <w:t xml:space="preserve">Nobody puts personal or confidential information into an AI tool we have not approved.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handles personal information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contractors and consultants. Contractors and providers follow it through their contract.</w:t>
      </w:r>
    </w:p>
    <w:p>
      <w:pPr>
        <w:spacing w:after="120" w:before="0" w:line="300"/>
      </w:pPr>
      <w:r>
        <w:rPr>
          <w:rFonts w:ascii="Nunito Sans" w:cs="Nunito Sans" w:eastAsia="Nunito Sans" w:hAnsi="Nunito Sans"/>
          <w:color w:val="102E3B"/>
          <w:sz w:val="20"/>
          <w:szCs w:val="20"/>
        </w:rPr>
        <w:t xml:space="preserve">It covers personal information in any form: databases, spreadsheets, email, messaging apps, cloud drives, paper, photos, voice notes and video. It applies in the office, in the field, at home and on personal devices used for work.</w:t>
      </w:r>
    </w:p>
    <w:p>
      <w:pPr>
        <w:spacing w:after="120" w:before="0" w:line="300"/>
      </w:pPr>
      <w:r>
        <w:rPr>
          <w:rFonts w:ascii="Nunito Sans" w:cs="Nunito Sans" w:eastAsia="Nunito Sans" w:hAnsi="Nunito Sans"/>
          <w:b/>
          <w:bCs/>
          <w:color w:val="102E3B"/>
          <w:sz w:val="20"/>
          <w:szCs w:val="20"/>
        </w:rPr>
        <w:t xml:space="preserve">Personal information</w:t>
      </w:r>
      <w:r>
        <w:rPr>
          <w:rFonts w:ascii="Nunito Sans" w:cs="Nunito Sans" w:eastAsia="Nunito Sans" w:hAnsi="Nunito Sans"/>
          <w:color w:val="102E3B"/>
          <w:sz w:val="20"/>
          <w:szCs w:val="20"/>
        </w:rPr>
        <w:t xml:space="preserve"> (also called personal data) is any information that identifies a living person, alone or combined with other information: a name, phone number, photo, voice recording, ID number, location, case note, or a story detailed enough for neighbours to recognise the person.</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data protection law, </w:t>
      </w:r>
      <w:r>
        <w:rPr>
          <w:rFonts w:ascii="Nunito Sans" w:cs="Nunito Sans" w:eastAsia="Nunito Sans" w:hAnsi="Nunito Sans"/>
          <w:color w:val="102E3B"/>
          <w:sz w:val="20"/>
          <w:szCs w:val="20"/>
          <w:highlight w:val="yellow"/>
        </w:rPr>
        <w:t xml:space="preserve">[name of law and year]</w:t>
      </w:r>
      <w:r>
        <w:rPr>
          <w:rFonts w:ascii="Nunito Sans" w:cs="Nunito Sans" w:eastAsia="Nunito Sans" w:hAnsi="Nunito Sans"/>
          <w:color w:val="102E3B"/>
          <w:sz w:val="20"/>
          <w:szCs w:val="20"/>
        </w:rPr>
        <w:t xml:space="preserve">. When we work in, or collect information from people in, other countries, we also follow the law that applies there. Where rules differ, we follow the one that gives people more protection. We use the principles of the EU General Data Protection Regulation (GDPR) as our benchmark, because it is widely recognised by funders and partners.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COUNTRY NOTES: WHICH LAW APPLIES</w:t>
            </w:r>
          </w:p>
          <w:p>
            <w:pPr>
              <w:spacing w:after="120" w:before="0" w:line="300"/>
            </w:pPr>
            <w:r>
              <w:rPr>
                <w:rFonts w:ascii="Nunito Sans" w:cs="Nunito Sans" w:eastAsia="Nunito Sans" w:hAnsi="Nunito Sans"/>
                <w:color w:val="102E3B"/>
                <w:sz w:val="19"/>
                <w:szCs w:val="19"/>
              </w:rPr>
              <w:t xml:space="preserve">Name your main law and delete the rows that do not apply. A foreign law can apply to you too, for example when you offer services to people in that country or a partner there shares data with you. These notes are a starting point only: laws and regulator rules change often, so check the regulator's website and take local advice.</w:t>
            </w:r>
          </w:p>
          <w:tbl>
            <w:tblPr>
              <w:tblW w:type="dxa" w:w="89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3"/>
              <w:gridCol w:w="2226"/>
              <w:gridCol w:w="1691"/>
              <w:gridCol w:w="3474"/>
            </w:tblGrid>
            <w:tr>
              <w:trPr>
                <w:cantSplit/>
                <w:tblHeader/>
              </w:trPr>
              <w:tc>
                <w:tcPr>
                  <w:tcW w:type="dxa" w:w="151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COUNTRY OR REGION</w:t>
                  </w:r>
                </w:p>
              </w:tc>
              <w:tc>
                <w:tcPr>
                  <w:tcW w:type="dxa" w:w="22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MAIN LAW</w:t>
                  </w:r>
                </w:p>
              </w:tc>
              <w:tc>
                <w:tcPr>
                  <w:tcW w:type="dxa" w:w="16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REGULATOR</w:t>
                  </w:r>
                </w:p>
              </w:tc>
              <w:tc>
                <w:tcPr>
                  <w:tcW w:type="dxa" w:w="34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POINTS TO CHECK</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European Union</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General Data Protection Regulation (EU) 2016/679 (GDPR)</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National supervisory authority</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notice within 72 hours where there is a risk to people. Organisations outside the EU that target people there may need an EU representative.</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United Kingdom</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UK GDPR and Data Protection Act 2018, amended by the Data (Use and Access) Act 2025</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Commissioner's Office (ICO)</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notice within 72 hours. Most organisations pay the ICO a data protection fee unless exempt; check the not-for-profit exemption. Most 2025 changes apply from 5 February 2026; a duty to handle data protection complaints (acknowledge within 30 days) applies from 19 June 2026.</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Kenya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Act, 2019</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 of the Data Protection Commissioner (ODPC)</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Controllers and processors must register unless exempt; check the size thresholds and the sectors that must register whatever their size. Breach notice within 72 hours.</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Nigeria</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Nigeria Data Protection Act, 2023</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Nigeria Data Protection Commission (NDPC)</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Breach notice within 72 hours. Controllers and processors "of major importance" must register. Check current NDPC directives on audits and fees.</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South Africa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Protection of Personal Information Act 4 of 2013 (POPIA)</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Regulator</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organisation has an information officer (by default its head), who must be registered. Report security compromises as soon as reasonably possible.</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Brazil</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Law 13.709/2018 (LGPD)</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Autoridade Nacional de Proteção de Dados (ANPD)</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Appoint an encarregado (person in charge of data); small organisations have relief but must offer a contact channel. Breach notice to the ANPD and people affected within 3 working days (ANPD Resolution 15/2024), doubled for small processing agents; check.</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India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Personal Data Protection Act, 2023</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Board of India</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Covers digital data. Mainly consent, plus a short list of "legitimate uses". Parental consent for under-18s. The DPDP Rules 2025, notified in November 2025, apply in phases, with most duties due 18 months later; check which are in force.</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Indonesia</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Law No. 27 of 2022 on Personal Data Protection</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Agency under the law; check its status</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force since October 2024. Breach notice within 3 x 24 hours. Some organisations need a data protection officer.</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Argentina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Data Protection Law No. 25.326</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Agencia de Acceso a la Información Pública (AAIP)</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Provides for registration of databases with the national register; check whether yours must register. Recognised by the EU as adequate. A reform has been discussed; check.</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Peru</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Data Protection Law No. 29733 and its regulation</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National Authority for Personal Data Protection (Ministry of Justice)</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 data banks must be registered; check the current rules. A new regulation in force since March 2025 requires breach notice to the authority within 48 hours and, for some, a data protection officer (phased in by size).</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 countries</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whether a law exists</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there is none, follow this policy as good practice and meet your funders' requirements.</w:t>
                  </w:r>
                </w:p>
              </w:tc>
            </w:tr>
          </w:tbl>
          <w:p>
            <w:pPr>
              <w:spacing w:after="12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pStyle w:val="Heading2"/>
        <w:keepNext/>
        <w:spacing w:after="120" w:before="280"/>
      </w:pPr>
      <w:r>
        <w:rPr>
          <w:rFonts w:ascii="DM Serif Display" w:cs="DM Serif Display" w:eastAsia="DM Serif Display" w:hAnsi="DM Serif Display"/>
          <w:color w:val="123C48"/>
          <w:sz w:val="28"/>
          <w:szCs w:val="28"/>
        </w:rPr>
        <w:t xml:space="preserve">1. The principles we follow</w:t>
      </w:r>
    </w:p>
    <w:p>
      <w:pPr>
        <w:spacing w:after="120" w:before="0" w:line="300"/>
      </w:pPr>
      <w:r>
        <w:rPr>
          <w:rFonts w:ascii="Nunito Sans" w:cs="Nunito Sans" w:eastAsia="Nunito Sans" w:hAnsi="Nunito Sans"/>
          <w:color w:val="102E3B"/>
          <w:sz w:val="20"/>
          <w:szCs w:val="20"/>
        </w:rPr>
        <w:t xml:space="preserve">Every use of personal information follows these seven principles, and we keep records that show it.</w:t>
      </w:r>
    </w:p>
    <w:p>
      <w:pPr>
        <w:pStyle w:val="ListParagraph"/>
        <w:numPr>
          <w:ilvl w:val="0"/>
          <w:numId w:val="4"/>
        </w:numPr>
        <w:spacing w:after="80" w:line="290"/>
      </w:pPr>
      <w:r>
        <w:rPr>
          <w:rFonts w:ascii="Nunito Sans" w:cs="Nunito Sans" w:eastAsia="Nunito Sans" w:hAnsi="Nunito Sans"/>
          <w:b/>
          <w:bCs/>
          <w:color w:val="102E3B"/>
          <w:sz w:val="20"/>
          <w:szCs w:val="20"/>
        </w:rPr>
        <w:t xml:space="preserve">Lawful, fair and transparent.</w:t>
      </w:r>
      <w:r>
        <w:rPr>
          <w:rFonts w:ascii="Nunito Sans" w:cs="Nunito Sans" w:eastAsia="Nunito Sans" w:hAnsi="Nunito Sans"/>
          <w:color w:val="102E3B"/>
          <w:sz w:val="20"/>
          <w:szCs w:val="20"/>
        </w:rPr>
        <w:t xml:space="preserve"> We have a lawful reason for each use (section 2), avoid uses people would not expect, and explain what we do in our Privacy Notice.</w:t>
      </w:r>
    </w:p>
    <w:p>
      <w:pPr>
        <w:pStyle w:val="ListParagraph"/>
        <w:numPr>
          <w:ilvl w:val="0"/>
          <w:numId w:val="4"/>
        </w:numPr>
        <w:spacing w:after="80" w:line="290"/>
      </w:pPr>
      <w:r>
        <w:rPr>
          <w:rFonts w:ascii="Nunito Sans" w:cs="Nunito Sans" w:eastAsia="Nunito Sans" w:hAnsi="Nunito Sans"/>
          <w:b/>
          <w:bCs/>
          <w:color w:val="102E3B"/>
          <w:sz w:val="20"/>
          <w:szCs w:val="20"/>
        </w:rPr>
        <w:t xml:space="preserve">Purpose limitation.</w:t>
      </w:r>
      <w:r>
        <w:rPr>
          <w:rFonts w:ascii="Nunito Sans" w:cs="Nunito Sans" w:eastAsia="Nunito Sans" w:hAnsi="Nunito Sans"/>
          <w:color w:val="102E3B"/>
          <w:sz w:val="20"/>
          <w:szCs w:val="20"/>
        </w:rPr>
        <w:t xml:space="preserve"> We collect information for a specific purpose and do not reuse it for an unrelated one. We never sell personal information.</w:t>
      </w:r>
    </w:p>
    <w:p>
      <w:pPr>
        <w:pStyle w:val="ListParagraph"/>
        <w:numPr>
          <w:ilvl w:val="0"/>
          <w:numId w:val="4"/>
        </w:numPr>
        <w:spacing w:after="80" w:line="290"/>
      </w:pPr>
      <w:r>
        <w:rPr>
          <w:rFonts w:ascii="Nunito Sans" w:cs="Nunito Sans" w:eastAsia="Nunito Sans" w:hAnsi="Nunito Sans"/>
          <w:b/>
          <w:bCs/>
          <w:color w:val="102E3B"/>
          <w:sz w:val="20"/>
          <w:szCs w:val="20"/>
        </w:rPr>
        <w:t xml:space="preserve">Data minimisation.</w:t>
      </w:r>
      <w:r>
        <w:rPr>
          <w:rFonts w:ascii="Nunito Sans" w:cs="Nunito Sans" w:eastAsia="Nunito Sans" w:hAnsi="Nunito Sans"/>
          <w:color w:val="102E3B"/>
          <w:sz w:val="20"/>
          <w:szCs w:val="20"/>
        </w:rPr>
        <w:t xml:space="preserve"> We collect only what each activity needs. If a total, an age range or an anonymous code will do, we do not collect names or exact dates of birth.</w:t>
      </w:r>
    </w:p>
    <w:p>
      <w:pPr>
        <w:pStyle w:val="ListParagraph"/>
        <w:numPr>
          <w:ilvl w:val="0"/>
          <w:numId w:val="4"/>
        </w:numPr>
        <w:spacing w:after="80" w:line="290"/>
      </w:pPr>
      <w:r>
        <w:rPr>
          <w:rFonts w:ascii="Nunito Sans" w:cs="Nunito Sans" w:eastAsia="Nunito Sans" w:hAnsi="Nunito Sans"/>
          <w:b/>
          <w:bCs/>
          <w:color w:val="102E3B"/>
          <w:sz w:val="20"/>
          <w:szCs w:val="20"/>
        </w:rPr>
        <w:t xml:space="preserve">Accuracy.</w:t>
      </w:r>
      <w:r>
        <w:rPr>
          <w:rFonts w:ascii="Nunito Sans" w:cs="Nunito Sans" w:eastAsia="Nunito Sans" w:hAnsi="Nunito Sans"/>
          <w:color w:val="102E3B"/>
          <w:sz w:val="20"/>
          <w:szCs w:val="20"/>
        </w:rPr>
        <w:t xml:space="preserve"> We keep information up to date and correct mistakes quickly.</w:t>
      </w:r>
    </w:p>
    <w:p>
      <w:pPr>
        <w:pStyle w:val="ListParagraph"/>
        <w:numPr>
          <w:ilvl w:val="0"/>
          <w:numId w:val="4"/>
        </w:numPr>
        <w:spacing w:after="80" w:line="290"/>
      </w:pPr>
      <w:r>
        <w:rPr>
          <w:rFonts w:ascii="Nunito Sans" w:cs="Nunito Sans" w:eastAsia="Nunito Sans" w:hAnsi="Nunito Sans"/>
          <w:b/>
          <w:bCs/>
          <w:color w:val="102E3B"/>
          <w:sz w:val="20"/>
          <w:szCs w:val="20"/>
        </w:rPr>
        <w:t xml:space="preserve">Storage limitation.</w:t>
      </w:r>
      <w:r>
        <w:rPr>
          <w:rFonts w:ascii="Nunito Sans" w:cs="Nunito Sans" w:eastAsia="Nunito Sans" w:hAnsi="Nunito Sans"/>
          <w:color w:val="102E3B"/>
          <w:sz w:val="20"/>
          <w:szCs w:val="20"/>
        </w:rPr>
        <w:t xml:space="preserve"> We keep information only as long as we need it, following our Records Retention Schedule, then delete or anonymise it.</w:t>
      </w:r>
    </w:p>
    <w:p>
      <w:pPr>
        <w:pStyle w:val="ListParagraph"/>
        <w:numPr>
          <w:ilvl w:val="0"/>
          <w:numId w:val="4"/>
        </w:numPr>
        <w:spacing w:after="80" w:line="290"/>
      </w:pPr>
      <w:r>
        <w:rPr>
          <w:rFonts w:ascii="Nunito Sans" w:cs="Nunito Sans" w:eastAsia="Nunito Sans" w:hAnsi="Nunito Sans"/>
          <w:b/>
          <w:bCs/>
          <w:color w:val="102E3B"/>
          <w:sz w:val="20"/>
          <w:szCs w:val="20"/>
        </w:rPr>
        <w:t xml:space="preserve">Security.</w:t>
      </w:r>
      <w:r>
        <w:rPr>
          <w:rFonts w:ascii="Nunito Sans" w:cs="Nunito Sans" w:eastAsia="Nunito Sans" w:hAnsi="Nunito Sans"/>
          <w:color w:val="102E3B"/>
          <w:sz w:val="20"/>
          <w:szCs w:val="20"/>
        </w:rPr>
        <w:t xml:space="preserve"> We protect information against loss, theft and misuse (section 11 and our IT and Information Security Policy).</w:t>
      </w:r>
    </w:p>
    <w:p>
      <w:pPr>
        <w:pStyle w:val="ListParagraph"/>
        <w:numPr>
          <w:ilvl w:val="0"/>
          <w:numId w:val="4"/>
        </w:numPr>
        <w:spacing w:after="80" w:line="290"/>
      </w:pPr>
      <w:r>
        <w:rPr>
          <w:rFonts w:ascii="Nunito Sans" w:cs="Nunito Sans" w:eastAsia="Nunito Sans" w:hAnsi="Nunito Sans"/>
          <w:b/>
          <w:bCs/>
          <w:color w:val="102E3B"/>
          <w:sz w:val="20"/>
          <w:szCs w:val="20"/>
        </w:rPr>
        <w:t xml:space="preserve">Accountability.</w:t>
      </w:r>
      <w:r>
        <w:rPr>
          <w:rFonts w:ascii="Nunito Sans" w:cs="Nunito Sans" w:eastAsia="Nunito Sans" w:hAnsi="Nunito Sans"/>
          <w:color w:val="102E3B"/>
          <w:sz w:val="20"/>
          <w:szCs w:val="20"/>
        </w:rPr>
        <w:t xml:space="preserve"> We document our decisions: the data inventory (Annex A), our list of processors (Annex B), DPIAs, the rights request log and the breach log.</w:t>
      </w:r>
    </w:p>
    <w:p>
      <w:pPr>
        <w:pStyle w:val="Heading2"/>
        <w:keepNext/>
        <w:spacing w:after="120" w:before="280"/>
      </w:pPr>
      <w:r>
        <w:rPr>
          <w:rFonts w:ascii="DM Serif Display" w:cs="DM Serif Display" w:eastAsia="DM Serif Display" w:hAnsi="DM Serif Display"/>
          <w:color w:val="123C48"/>
          <w:sz w:val="28"/>
          <w:szCs w:val="28"/>
        </w:rPr>
        <w:t xml:space="preserve">2. Our lawful reasons for using personal information</w:t>
      </w:r>
    </w:p>
    <w:p>
      <w:pPr>
        <w:spacing w:after="120" w:before="0" w:line="300"/>
      </w:pPr>
      <w:r>
        <w:rPr>
          <w:rFonts w:ascii="Nunito Sans" w:cs="Nunito Sans" w:eastAsia="Nunito Sans" w:hAnsi="Nunito Sans"/>
          <w:color w:val="102E3B"/>
          <w:sz w:val="20"/>
          <w:szCs w:val="20"/>
        </w:rPr>
        <w:t xml:space="preserve">Each use of personal information needs one main lawful reason, sometimes called a lawful basis. We record it in Annex A before the activity starts.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3809"/>
        <w:gridCol w:w="3239"/>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LAWFUL REASON</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 PLAIN WORDS</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person has freely agreed, after a clear explanation, and can withdraw at any time.</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Newsletters; photos and stories; optional research.</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Contract</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need it to carry out an agreement with the person, or steps they ask for before one.</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Employment and volunteer agreements; a service someone signed up for.</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obligation</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law requires us to use or keep it.</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Tax, payroll and financial records.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Vital interests</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need it to protect someone's life or physical safety, and they cannot give consent.</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Sharing medical details with emergency services after an accident.</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Public task</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carry out a task set by law or for a public authority.</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Statutory services delivered for government.</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Legitimate interests</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have a genuine reason, the use is necessary, and it does not override the person's rights.</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Securing our systems; handling a complaint.</w:t>
            </w:r>
          </w:p>
        </w:tc>
      </w:tr>
    </w:tbl>
    <w:p>
      <w:pPr>
        <w:spacing w:after="120"/>
      </w:pPr>
    </w:p>
    <w:p>
      <w:pPr>
        <w:spacing w:after="120" w:before="0" w:line="300"/>
      </w:pPr>
      <w:r>
        <w:rPr>
          <w:rFonts w:ascii="Nunito Sans" w:cs="Nunito Sans" w:eastAsia="Nunito Sans" w:hAnsi="Nunito Sans"/>
          <w:b/>
          <w:bCs/>
          <w:color w:val="102E3B"/>
          <w:sz w:val="20"/>
          <w:szCs w:val="20"/>
        </w:rPr>
        <w:t xml:space="preserve">Consent must be real.</w:t>
      </w:r>
      <w:r>
        <w:rPr>
          <w:rFonts w:ascii="Nunito Sans" w:cs="Nunito Sans" w:eastAsia="Nunito Sans" w:hAnsi="Nunito Sans"/>
          <w:color w:val="102E3B"/>
          <w:sz w:val="20"/>
          <w:szCs w:val="20"/>
        </w:rPr>
        <w:t xml:space="preserve"> Where we rely on consent, it is a clear, separate action: a tick box that is not pre-ticked, a signature, or a recorded verbal agreement. We record who agreed, when, how and to what. Withdrawing must be as easy as agreeing. Consent is not free if refusing means losing a service, so we never make assistance conditional on agreeing to photos, stories or research. We use our Photo and Story Consent Form, Research Participation Consent Form and Fundraising and Communications Consent Form.</w:t>
      </w:r>
    </w:p>
    <w:p>
      <w:pPr>
        <w:spacing w:after="120" w:before="0" w:line="300"/>
      </w:pPr>
      <w:r>
        <w:rPr>
          <w:rFonts w:ascii="Nunito Sans" w:cs="Nunito Sans" w:eastAsia="Nunito Sans" w:hAnsi="Nunito Sans"/>
          <w:b/>
          <w:bCs/>
          <w:color w:val="102E3B"/>
          <w:sz w:val="20"/>
          <w:szCs w:val="20"/>
        </w:rPr>
        <w:t xml:space="preserve">Legitimate interests need a check.</w:t>
      </w:r>
      <w:r>
        <w:rPr>
          <w:rFonts w:ascii="Nunito Sans" w:cs="Nunito Sans" w:eastAsia="Nunito Sans" w:hAnsi="Nunito Sans"/>
          <w:color w:val="102E3B"/>
          <w:sz w:val="20"/>
          <w:szCs w:val="20"/>
        </w:rPr>
        <w:t xml:space="preserve"> The data protection lead first writes a short note: why we need it, whether a less intrusive way exists, the impact on people and our safeguards. It is kept with Annex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LAWFUL REASONS: NAMES DIFFER BY COUNTRY</w:t>
            </w:r>
          </w:p>
          <w:p>
            <w:pPr>
              <w:spacing w:after="120" w:before="0" w:line="300"/>
            </w:pPr>
            <w:r>
              <w:rPr>
                <w:rFonts w:ascii="Nunito Sans" w:cs="Nunito Sans" w:eastAsia="Nunito Sans" w:hAnsi="Nunito Sans"/>
                <w:color w:val="102E3B"/>
                <w:sz w:val="19"/>
                <w:szCs w:val="19"/>
              </w:rPr>
              <w:t xml:space="preserve">The six reasons follow the GDPR. Many laws use similar ones, but names and lists differ by country. For example, Brazil's LGPD has ten legal bases, including protection of credit and health protection. India's DPDP Act relies mainly on consent and a short list of "legitimate uses", and has no general legitimate interests basis. South Africa's POPIA sets out similar grounds in section 11. Check the list in your own law, and rename the reasons in the table if needed. Delete "Public task" if you do not deliver statutory services.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Sensitive information and criminal records</w:t>
      </w:r>
    </w:p>
    <w:p>
      <w:pPr>
        <w:spacing w:after="120" w:before="0" w:line="300"/>
      </w:pPr>
      <w:r>
        <w:rPr>
          <w:rFonts w:ascii="Nunito Sans" w:cs="Nunito Sans" w:eastAsia="Nunito Sans" w:hAnsi="Nunito Sans"/>
          <w:color w:val="102E3B"/>
          <w:sz w:val="20"/>
          <w:szCs w:val="20"/>
        </w:rPr>
        <w:t xml:space="preserve">Some information can lead to discrimination, violence or legal danger if misused. It includes a person's:</w:t>
      </w:r>
    </w:p>
    <w:p>
      <w:pPr>
        <w:pStyle w:val="ListParagraph"/>
        <w:numPr>
          <w:ilvl w:val="0"/>
          <w:numId w:val="3"/>
        </w:numPr>
        <w:spacing w:after="80" w:line="290"/>
      </w:pPr>
      <w:r>
        <w:rPr>
          <w:rFonts w:ascii="Nunito Sans" w:cs="Nunito Sans" w:eastAsia="Nunito Sans" w:hAnsi="Nunito Sans"/>
          <w:color w:val="102E3B"/>
          <w:sz w:val="20"/>
          <w:szCs w:val="20"/>
        </w:rPr>
        <w:t xml:space="preserve">physical or mental health, disability, HIV status or pregnancy;</w:t>
      </w:r>
    </w:p>
    <w:p>
      <w:pPr>
        <w:pStyle w:val="ListParagraph"/>
        <w:numPr>
          <w:ilvl w:val="0"/>
          <w:numId w:val="3"/>
        </w:numPr>
        <w:spacing w:after="80" w:line="290"/>
      </w:pPr>
      <w:r>
        <w:rPr>
          <w:rFonts w:ascii="Nunito Sans" w:cs="Nunito Sans" w:eastAsia="Nunito Sans" w:hAnsi="Nunito Sans"/>
          <w:color w:val="102E3B"/>
          <w:sz w:val="20"/>
          <w:szCs w:val="20"/>
        </w:rPr>
        <w:t xml:space="preserve">racial or ethnic origin, caste or tribe;</w:t>
      </w:r>
    </w:p>
    <w:p>
      <w:pPr>
        <w:pStyle w:val="ListParagraph"/>
        <w:numPr>
          <w:ilvl w:val="0"/>
          <w:numId w:val="3"/>
        </w:numPr>
        <w:spacing w:after="80" w:line="290"/>
      </w:pPr>
      <w:r>
        <w:rPr>
          <w:rFonts w:ascii="Nunito Sans" w:cs="Nunito Sans" w:eastAsia="Nunito Sans" w:hAnsi="Nunito Sans"/>
          <w:color w:val="102E3B"/>
          <w:sz w:val="20"/>
          <w:szCs w:val="20"/>
        </w:rPr>
        <w:t xml:space="preserve">religious or philosophical beliefs;</w:t>
      </w:r>
    </w:p>
    <w:p>
      <w:pPr>
        <w:pStyle w:val="ListParagraph"/>
        <w:numPr>
          <w:ilvl w:val="0"/>
          <w:numId w:val="3"/>
        </w:numPr>
        <w:spacing w:after="80" w:line="290"/>
      </w:pPr>
      <w:r>
        <w:rPr>
          <w:rFonts w:ascii="Nunito Sans" w:cs="Nunito Sans" w:eastAsia="Nunito Sans" w:hAnsi="Nunito Sans"/>
          <w:color w:val="102E3B"/>
          <w:sz w:val="20"/>
          <w:szCs w:val="20"/>
        </w:rPr>
        <w:t xml:space="preserve">political opinions or trade union membership;</w:t>
      </w:r>
    </w:p>
    <w:p>
      <w:pPr>
        <w:pStyle w:val="ListParagraph"/>
        <w:numPr>
          <w:ilvl w:val="0"/>
          <w:numId w:val="3"/>
        </w:numPr>
        <w:spacing w:after="80" w:line="290"/>
      </w:pPr>
      <w:r>
        <w:rPr>
          <w:rFonts w:ascii="Nunito Sans" w:cs="Nunito Sans" w:eastAsia="Nunito Sans" w:hAnsi="Nunito Sans"/>
          <w:color w:val="102E3B"/>
          <w:sz w:val="20"/>
          <w:szCs w:val="20"/>
        </w:rPr>
        <w:t xml:space="preserve">sexual life, sexual orientation or gender identity;</w:t>
      </w:r>
    </w:p>
    <w:p>
      <w:pPr>
        <w:pStyle w:val="ListParagraph"/>
        <w:numPr>
          <w:ilvl w:val="0"/>
          <w:numId w:val="3"/>
        </w:numPr>
        <w:spacing w:after="80" w:line="290"/>
      </w:pPr>
      <w:r>
        <w:rPr>
          <w:rFonts w:ascii="Nunito Sans" w:cs="Nunito Sans" w:eastAsia="Nunito Sans" w:hAnsi="Nunito Sans"/>
          <w:color w:val="102E3B"/>
          <w:sz w:val="20"/>
          <w:szCs w:val="20"/>
        </w:rPr>
        <w:t xml:space="preserve">genetic or biometric data used to identify them, such as fingerprints or face scans;</w:t>
      </w:r>
    </w:p>
    <w:p>
      <w:pPr>
        <w:pStyle w:val="ListParagraph"/>
        <w:numPr>
          <w:ilvl w:val="0"/>
          <w:numId w:val="3"/>
        </w:numPr>
        <w:spacing w:after="80" w:line="290"/>
      </w:pPr>
      <w:r>
        <w:rPr>
          <w:rFonts w:ascii="Nunito Sans" w:cs="Nunito Sans" w:eastAsia="Nunito Sans" w:hAnsi="Nunito Sans"/>
          <w:color w:val="102E3B"/>
          <w:sz w:val="20"/>
          <w:szCs w:val="20"/>
        </w:rPr>
        <w:t xml:space="preserve">criminal allegations, convictions or offences.</w:t>
      </w:r>
    </w:p>
    <w:p>
      <w:pPr>
        <w:spacing w:after="120" w:before="0" w:line="300"/>
      </w:pPr>
      <w:r>
        <w:rPr>
          <w:rFonts w:ascii="Nunito Sans" w:cs="Nunito Sans" w:eastAsia="Nunito Sans" w:hAnsi="Nunito Sans"/>
          <w:color w:val="102E3B"/>
          <w:sz w:val="20"/>
          <w:szCs w:val="20"/>
        </w:rPr>
        <w:t xml:space="preserve">Other information can be just as dangerous in our contexts, such as refugee status, survivor status in gender-based violence cases, or exact location. We treat it as sensitive too.</w:t>
      </w:r>
    </w:p>
    <w:p>
      <w:pPr>
        <w:spacing w:after="120" w:before="0" w:line="300"/>
      </w:pPr>
      <w:r>
        <w:rPr>
          <w:rFonts w:ascii="Nunito Sans" w:cs="Nunito Sans" w:eastAsia="Nunito Sans" w:hAnsi="Nunito Sans"/>
          <w:color w:val="102E3B"/>
          <w:sz w:val="20"/>
          <w:szCs w:val="20"/>
        </w:rPr>
        <w:t xml:space="preserve">We collect sensitive information only when necessary for a clear purpose, such as a health or protection service or a legal duty. Then we:</w:t>
      </w:r>
    </w:p>
    <w:p>
      <w:pPr>
        <w:pStyle w:val="ListParagraph"/>
        <w:numPr>
          <w:ilvl w:val="0"/>
          <w:numId w:val="3"/>
        </w:numPr>
        <w:spacing w:after="80" w:line="290"/>
      </w:pPr>
      <w:r>
        <w:rPr>
          <w:rFonts w:ascii="Nunito Sans" w:cs="Nunito Sans" w:eastAsia="Nunito Sans" w:hAnsi="Nunito Sans"/>
          <w:color w:val="102E3B"/>
          <w:sz w:val="20"/>
          <w:szCs w:val="20"/>
        </w:rPr>
        <w:t xml:space="preserve">rely on explicit consent or another condition the law allows, and record it in Annex A;</w:t>
      </w:r>
    </w:p>
    <w:p>
      <w:pPr>
        <w:pStyle w:val="ListParagraph"/>
        <w:numPr>
          <w:ilvl w:val="0"/>
          <w:numId w:val="3"/>
        </w:numPr>
        <w:spacing w:after="80" w:line="290"/>
      </w:pPr>
      <w:r>
        <w:rPr>
          <w:rFonts w:ascii="Nunito Sans" w:cs="Nunito Sans" w:eastAsia="Nunito Sans" w:hAnsi="Nunito Sans"/>
          <w:color w:val="102E3B"/>
          <w:sz w:val="20"/>
          <w:szCs w:val="20"/>
        </w:rPr>
        <w:t xml:space="preserve">restrict access to the people who need it for their task;</w:t>
      </w:r>
    </w:p>
    <w:p>
      <w:pPr>
        <w:pStyle w:val="ListParagraph"/>
        <w:numPr>
          <w:ilvl w:val="0"/>
          <w:numId w:val="3"/>
        </w:numPr>
        <w:spacing w:after="80" w:line="290"/>
      </w:pPr>
      <w:r>
        <w:rPr>
          <w:rFonts w:ascii="Nunito Sans" w:cs="Nunito Sans" w:eastAsia="Nunito Sans" w:hAnsi="Nunito Sans"/>
          <w:color w:val="102E3B"/>
          <w:sz w:val="20"/>
          <w:szCs w:val="20"/>
        </w:rPr>
        <w:t xml:space="preserve">store it separately or encrypted, never in shared spreadsheets or group chats;</w:t>
      </w:r>
    </w:p>
    <w:p>
      <w:pPr>
        <w:pStyle w:val="ListParagraph"/>
        <w:numPr>
          <w:ilvl w:val="0"/>
          <w:numId w:val="3"/>
        </w:numPr>
        <w:spacing w:after="80" w:line="290"/>
      </w:pPr>
      <w:r>
        <w:rPr>
          <w:rFonts w:ascii="Nunito Sans" w:cs="Nunito Sans" w:eastAsia="Nunito Sans" w:hAnsi="Nunito Sans"/>
          <w:color w:val="102E3B"/>
          <w:sz w:val="20"/>
          <w:szCs w:val="20"/>
        </w:rPr>
        <w:t xml:space="preserve">complete a DPIA before starting any large-scale or new use (section 14);</w:t>
      </w:r>
    </w:p>
    <w:p>
      <w:pPr>
        <w:pStyle w:val="ListParagraph"/>
        <w:numPr>
          <w:ilvl w:val="0"/>
          <w:numId w:val="3"/>
        </w:numPr>
        <w:spacing w:after="80" w:line="290"/>
      </w:pPr>
      <w:r>
        <w:rPr>
          <w:rFonts w:ascii="Nunito Sans" w:cs="Nunito Sans" w:eastAsia="Nunito Sans" w:hAnsi="Nunito Sans"/>
          <w:color w:val="102E3B"/>
          <w:sz w:val="20"/>
          <w:szCs w:val="20"/>
        </w:rPr>
        <w:t xml:space="preserve">share it only in line with our Safeguarding Policy and Procedure or where the law requires.</w:t>
      </w:r>
    </w:p>
    <w:p>
      <w:pPr>
        <w:spacing w:after="120" w:before="0" w:line="300"/>
      </w:pPr>
      <w:r>
        <w:rPr>
          <w:rFonts w:ascii="Nunito Sans" w:cs="Nunito Sans" w:eastAsia="Nunito Sans" w:hAnsi="Nunito Sans"/>
          <w:b/>
          <w:bCs/>
          <w:color w:val="102E3B"/>
          <w:sz w:val="20"/>
          <w:szCs w:val="20"/>
        </w:rPr>
        <w:t xml:space="preserve">Criminal records.</w:t>
      </w:r>
      <w:r>
        <w:rPr>
          <w:rFonts w:ascii="Nunito Sans" w:cs="Nunito Sans" w:eastAsia="Nunito Sans" w:hAnsi="Nunito Sans"/>
          <w:color w:val="102E3B"/>
          <w:sz w:val="20"/>
          <w:szCs w:val="20"/>
        </w:rPr>
        <w:t xml:space="preserve"> We ask about criminal records only where the role justifies it, such as work with children, and as far as the law allows. We record the outcome ("check completed, no concerns") and delete certificates after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unless the law requires otherwise.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SENSITIVE INFORMATION IN YOUR WORK</w:t>
            </w:r>
          </w:p>
          <w:p>
            <w:pPr>
              <w:spacing w:after="120" w:before="0" w:line="300"/>
            </w:pPr>
            <w:r>
              <w:rPr>
                <w:rFonts w:ascii="Nunito Sans" w:cs="Nunito Sans" w:eastAsia="Nunito Sans" w:hAnsi="Nunito Sans"/>
                <w:color w:val="102E3B"/>
                <w:sz w:val="19"/>
                <w:szCs w:val="19"/>
              </w:rPr>
              <w:t xml:space="preserve">List the sensitive information you actually hold, such as clinic records, disability data or protection case notes. If you hold none, say so, but keep the rules for free text and messages, where it often appears. Check your law: POPIA, for example, requires prior authorisation from the Regulator for some uses of special or criminal information. Many countries restrict what employers may ask about criminal records.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Children's information</w:t>
      </w:r>
    </w:p>
    <w:p>
      <w:pPr>
        <w:spacing w:after="120" w:before="0" w:line="300"/>
      </w:pPr>
      <w:r>
        <w:rPr>
          <w:rFonts w:ascii="Nunito Sans" w:cs="Nunito Sans" w:eastAsia="Nunito Sans" w:hAnsi="Nunito Sans"/>
          <w:color w:val="102E3B"/>
          <w:sz w:val="20"/>
          <w:szCs w:val="20"/>
        </w:rPr>
        <w:t xml:space="preserve">Children may be less aware of the risks, so their information needs extra care. We collect it only when our activities require it. We:</w:t>
      </w:r>
    </w:p>
    <w:p>
      <w:pPr>
        <w:pStyle w:val="ListParagraph"/>
        <w:numPr>
          <w:ilvl w:val="0"/>
          <w:numId w:val="3"/>
        </w:numPr>
        <w:spacing w:after="80" w:line="290"/>
      </w:pPr>
      <w:r>
        <w:rPr>
          <w:rFonts w:ascii="Nunito Sans" w:cs="Nunito Sans" w:eastAsia="Nunito Sans" w:hAnsi="Nunito Sans"/>
          <w:color w:val="102E3B"/>
          <w:sz w:val="20"/>
          <w:szCs w:val="20"/>
        </w:rPr>
        <w:t xml:space="preserve">ask for the consent of a parent or guardian where consent is our lawful reason and the child is under </w:t>
      </w:r>
      <w:r>
        <w:rPr>
          <w:rFonts w:ascii="Nunito Sans" w:cs="Nunito Sans" w:eastAsia="Nunito Sans" w:hAnsi="Nunito Sans"/>
          <w:color w:val="102E3B"/>
          <w:sz w:val="20"/>
          <w:szCs w:val="20"/>
          <w:highlight w:val="yellow"/>
        </w:rPr>
        <w:t xml:space="preserve">[age set by law]</w:t>
      </w:r>
      <w:r>
        <w:rPr>
          <w:rFonts w:ascii="Nunito Sans" w:cs="Nunito Sans" w:eastAsia="Nunito Sans" w:hAnsi="Nunito Sans"/>
          <w:color w:val="102E3B"/>
          <w:sz w:val="20"/>
          <w:szCs w:val="20"/>
        </w:rPr>
        <w:t xml:space="preserve">, and also explain to the child in words they understand;</w:t>
      </w:r>
    </w:p>
    <w:p>
      <w:pPr>
        <w:pStyle w:val="ListParagraph"/>
        <w:numPr>
          <w:ilvl w:val="0"/>
          <w:numId w:val="3"/>
        </w:numPr>
        <w:spacing w:after="80" w:line="290"/>
      </w:pPr>
      <w:r>
        <w:rPr>
          <w:rFonts w:ascii="Nunito Sans" w:cs="Nunito Sans" w:eastAsia="Nunito Sans" w:hAnsi="Nunito Sans"/>
          <w:color w:val="102E3B"/>
          <w:sz w:val="20"/>
          <w:szCs w:val="20"/>
        </w:rPr>
        <w:t xml:space="preserve">collect the minimum, and avoid names in reports, photos and stories wherever possible;</w:t>
      </w:r>
    </w:p>
    <w:p>
      <w:pPr>
        <w:pStyle w:val="ListParagraph"/>
        <w:numPr>
          <w:ilvl w:val="0"/>
          <w:numId w:val="3"/>
        </w:numPr>
        <w:spacing w:after="80" w:line="290"/>
      </w:pPr>
      <w:r>
        <w:rPr>
          <w:rFonts w:ascii="Nunito Sans" w:cs="Nunito Sans" w:eastAsia="Nunito Sans" w:hAnsi="Nunito Sans"/>
          <w:color w:val="102E3B"/>
          <w:sz w:val="20"/>
          <w:szCs w:val="20"/>
        </w:rPr>
        <w:t xml:space="preserve">never publish information or images that could identify a child at risk or reveal where they live or go to school;</w:t>
      </w:r>
    </w:p>
    <w:p>
      <w:pPr>
        <w:pStyle w:val="ListParagraph"/>
        <w:numPr>
          <w:ilvl w:val="0"/>
          <w:numId w:val="3"/>
        </w:numPr>
        <w:spacing w:after="80" w:line="290"/>
      </w:pPr>
      <w:r>
        <w:rPr>
          <w:rFonts w:ascii="Nunito Sans" w:cs="Nunito Sans" w:eastAsia="Nunito Sans" w:hAnsi="Nunito Sans"/>
          <w:color w:val="102E3B"/>
          <w:sz w:val="20"/>
          <w:szCs w:val="20"/>
        </w:rPr>
        <w:t xml:space="preserve">follow our Safeguarding Policy and Procedure, which sets out how child protection concerns are recorded and shared;</w:t>
      </w:r>
    </w:p>
    <w:p>
      <w:pPr>
        <w:pStyle w:val="ListParagraph"/>
        <w:numPr>
          <w:ilvl w:val="0"/>
          <w:numId w:val="3"/>
        </w:numPr>
        <w:spacing w:after="80" w:line="290"/>
      </w:pPr>
      <w:r>
        <w:rPr>
          <w:rFonts w:ascii="Nunito Sans" w:cs="Nunito Sans" w:eastAsia="Nunito Sans" w:hAnsi="Nunito Sans"/>
          <w:color w:val="102E3B"/>
          <w:sz w:val="20"/>
          <w:szCs w:val="20"/>
        </w:rPr>
        <w:t xml:space="preserve">complete a DPIA before any new activity that processes children's information on a large scale or online.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AGE OF CONSENT FOR DATA</w:t>
            </w:r>
          </w:p>
          <w:p>
            <w:pPr>
              <w:spacing w:after="120" w:before="0" w:line="300"/>
            </w:pPr>
            <w:r>
              <w:rPr>
                <w:rFonts w:ascii="Nunito Sans" w:cs="Nunito Sans" w:eastAsia="Nunito Sans" w:hAnsi="Nunito Sans"/>
                <w:color w:val="102E3B"/>
                <w:sz w:val="19"/>
                <w:szCs w:val="19"/>
              </w:rPr>
              <w:t xml:space="preserve">The age at which a child can consent to the use of their own data varies. Under the GDPR it is 16 for online services, and EU countries may lower it to 13; in the UK it is 13. India's DPDP Act treats everyone under 18 as a child and requires verifiable parental consent. Brazil's LGPD requires a parent's specific consent where consent is used for children under 12. Check your law and insert the age. Even where the law allows a child to consent, ask a parent or guardian too when the activity involves sensitive information or any risk.</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Information about different groups of people</w:t>
      </w:r>
    </w:p>
    <w:p>
      <w:pPr>
        <w:pStyle w:val="Heading3"/>
        <w:keepNext/>
        <w:spacing w:after="80" w:before="200"/>
      </w:pPr>
      <w:r>
        <w:rPr>
          <w:rFonts w:ascii="Nunito Sans" w:cs="Nunito Sans" w:eastAsia="Nunito Sans" w:hAnsi="Nunito Sans"/>
          <w:b/>
          <w:bCs/>
          <w:color w:val="16746E"/>
          <w:sz w:val="21"/>
          <w:szCs w:val="21"/>
        </w:rPr>
        <w:t xml:space="preserve">The people we serve</w:t>
      </w:r>
    </w:p>
    <w:p>
      <w:pPr>
        <w:spacing w:after="120" w:before="0" w:line="300"/>
      </w:pPr>
      <w:r>
        <w:rPr>
          <w:rFonts w:ascii="Nunito Sans" w:cs="Nunito Sans" w:eastAsia="Nunito Sans" w:hAnsi="Nunito Sans"/>
          <w:color w:val="102E3B"/>
          <w:sz w:val="20"/>
          <w:szCs w:val="20"/>
        </w:rPr>
        <w:t xml:space="preserve">This is often the most sensitive information we hold. We:</w:t>
      </w:r>
    </w:p>
    <w:p>
      <w:pPr>
        <w:pStyle w:val="ListParagraph"/>
        <w:numPr>
          <w:ilvl w:val="0"/>
          <w:numId w:val="3"/>
        </w:numPr>
        <w:spacing w:after="80" w:line="290"/>
      </w:pPr>
      <w:r>
        <w:rPr>
          <w:rFonts w:ascii="Nunito Sans" w:cs="Nunito Sans" w:eastAsia="Nunito Sans" w:hAnsi="Nunito Sans"/>
          <w:color w:val="102E3B"/>
          <w:sz w:val="20"/>
          <w:szCs w:val="20"/>
        </w:rPr>
        <w:t xml:space="preserve">explain at the point of collection, in a language and format people understand, what we collect and why, and read it aloud where literacy is low;</w:t>
      </w:r>
    </w:p>
    <w:p>
      <w:pPr>
        <w:pStyle w:val="ListParagraph"/>
        <w:numPr>
          <w:ilvl w:val="0"/>
          <w:numId w:val="3"/>
        </w:numPr>
        <w:spacing w:after="80" w:line="290"/>
      </w:pPr>
      <w:r>
        <w:rPr>
          <w:rFonts w:ascii="Nunito Sans" w:cs="Nunito Sans" w:eastAsia="Nunito Sans" w:hAnsi="Nunito Sans"/>
          <w:color w:val="102E3B"/>
          <w:sz w:val="20"/>
          <w:szCs w:val="20"/>
        </w:rPr>
        <w:t xml:space="preserve">use anonymous or coded data in reports to funders, unless a funder needs names and the person has been told;</w:t>
      </w:r>
    </w:p>
    <w:p>
      <w:pPr>
        <w:pStyle w:val="ListParagraph"/>
        <w:numPr>
          <w:ilvl w:val="0"/>
          <w:numId w:val="3"/>
        </w:numPr>
        <w:spacing w:after="80" w:line="290"/>
      </w:pPr>
      <w:r>
        <w:rPr>
          <w:rFonts w:ascii="Nunito Sans" w:cs="Nunito Sans" w:eastAsia="Nunito Sans" w:hAnsi="Nunito Sans"/>
          <w:color w:val="102E3B"/>
          <w:sz w:val="20"/>
          <w:szCs w:val="20"/>
        </w:rPr>
        <w:t xml:space="preserve">collect information for monitoring and evaluation only when we will use it, and prefer totals and percentages;</w:t>
      </w:r>
    </w:p>
    <w:p>
      <w:pPr>
        <w:pStyle w:val="ListParagraph"/>
        <w:numPr>
          <w:ilvl w:val="0"/>
          <w:numId w:val="3"/>
        </w:numPr>
        <w:spacing w:after="80" w:line="290"/>
      </w:pPr>
      <w:r>
        <w:rPr>
          <w:rFonts w:ascii="Nunito Sans" w:cs="Nunito Sans" w:eastAsia="Nunito Sans" w:hAnsi="Nunito Sans"/>
          <w:color w:val="102E3B"/>
          <w:sz w:val="20"/>
          <w:szCs w:val="20"/>
        </w:rPr>
        <w:t xml:space="preserve">never let a request from a funder, partner or authority override the safety of the people we serve.</w:t>
      </w:r>
    </w:p>
    <w:p>
      <w:pPr>
        <w:pStyle w:val="Heading3"/>
        <w:keepNext/>
        <w:spacing w:after="80" w:before="200"/>
      </w:pPr>
      <w:r>
        <w:rPr>
          <w:rFonts w:ascii="Nunito Sans" w:cs="Nunito Sans" w:eastAsia="Nunito Sans" w:hAnsi="Nunito Sans"/>
          <w:b/>
          <w:bCs/>
          <w:color w:val="16746E"/>
          <w:sz w:val="21"/>
          <w:szCs w:val="21"/>
        </w:rPr>
        <w:t xml:space="preserve">Staff, volunteers and applicants</w:t>
      </w:r>
    </w:p>
    <w:p>
      <w:pPr>
        <w:spacing w:after="120" w:before="0" w:line="300"/>
      </w:pPr>
      <w:r>
        <w:rPr>
          <w:rFonts w:ascii="Nunito Sans" w:cs="Nunito Sans" w:eastAsia="Nunito Sans" w:hAnsi="Nunito Sans"/>
          <w:color w:val="102E3B"/>
          <w:sz w:val="20"/>
          <w:szCs w:val="20"/>
        </w:rPr>
        <w:t xml:space="preserve">We hold recruitment, contract, payroll, performance, health and emergency contact information about our team. Only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and the person's manager see it, as needed.</w:t>
      </w:r>
    </w:p>
    <w:p>
      <w:pPr>
        <w:pStyle w:val="Heading3"/>
        <w:keepNext/>
        <w:spacing w:after="80" w:before="200"/>
      </w:pPr>
      <w:r>
        <w:rPr>
          <w:rFonts w:ascii="Nunito Sans" w:cs="Nunito Sans" w:eastAsia="Nunito Sans" w:hAnsi="Nunito Sans"/>
          <w:b/>
          <w:bCs/>
          <w:color w:val="16746E"/>
          <w:sz w:val="21"/>
          <w:szCs w:val="21"/>
        </w:rPr>
        <w:t xml:space="preserve">Donors and supporters</w:t>
      </w:r>
    </w:p>
    <w:p>
      <w:pPr>
        <w:spacing w:after="120" w:before="0" w:line="300"/>
      </w:pPr>
      <w:r>
        <w:rPr>
          <w:rFonts w:ascii="Nunito Sans" w:cs="Nunito Sans" w:eastAsia="Nunito Sans" w:hAnsi="Nunito Sans"/>
          <w:color w:val="102E3B"/>
          <w:sz w:val="20"/>
          <w:szCs w:val="20"/>
        </w:rPr>
        <w:t xml:space="preserve">We hold contact details, donation history and preferences. We send fundraising messages only to people who agreed or, where the law allows, to existing supporters who have not opted out. Every message has an easy unsubscribe. We never buy or rent mailing lists.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FUNDRAISING AND MARKETING RULES</w:t>
            </w:r>
          </w:p>
          <w:p>
            <w:pPr>
              <w:spacing w:after="120" w:before="0" w:line="300"/>
            </w:pPr>
            <w:r>
              <w:rPr>
                <w:rFonts w:ascii="Nunito Sans" w:cs="Nunito Sans" w:eastAsia="Nunito Sans" w:hAnsi="Nunito Sans"/>
                <w:color w:val="102E3B"/>
                <w:sz w:val="19"/>
                <w:szCs w:val="19"/>
              </w:rPr>
              <w:t xml:space="preserve">Marketing emails and texts are often regulated separately: in the UK by the Privacy and Electronic Communications Regulations (PECR), in the EU by national ePrivacy rules, and in South Africa by POPIA section 69, which generally requires opt-in consent for electronic direct marketing. In the UK, since 5 February 2026 charities may email or text people who gave their details while supporting or showing interest in the charity's purposes, if they offered a simple opt-out (the "charitable purpose soft opt-in"); check ICO guidance. Elsewhere, check whether a "soft opt-in" exists. If you do not fundraise from individuals, shorten this part.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Privacy notices and consent records</w:t>
      </w:r>
    </w:p>
    <w:p>
      <w:pPr>
        <w:spacing w:after="120" w:before="0" w:line="300"/>
      </w:pPr>
      <w:r>
        <w:rPr>
          <w:rFonts w:ascii="Nunito Sans" w:cs="Nunito Sans" w:eastAsia="Nunito Sans" w:hAnsi="Nunito Sans"/>
          <w:color w:val="102E3B"/>
          <w:sz w:val="20"/>
          <w:szCs w:val="20"/>
        </w:rPr>
        <w:t xml:space="preserve">We tell people what we do with their information when we collect it. Our Privacy Notice explains who we are, what we collect, why, who we share it with, how long we keep it and people's rights. We give a short version at the point of collection: on a form, a poster or a script read aloud. The data protection lead keeps a record of consents: who, when, how, the wording used, and any withdrawal.</w:t>
      </w:r>
    </w:p>
    <w:p>
      <w:pPr>
        <w:pStyle w:val="Heading2"/>
        <w:keepNext/>
        <w:spacing w:after="120" w:before="280"/>
      </w:pPr>
      <w:r>
        <w:rPr>
          <w:rFonts w:ascii="DM Serif Display" w:cs="DM Serif Display" w:eastAsia="DM Serif Display" w:hAnsi="DM Serif Display"/>
          <w:color w:val="123C48"/>
          <w:sz w:val="28"/>
          <w:szCs w:val="28"/>
        </w:rPr>
        <w:t xml:space="preserve">7. Individuals' rights</w:t>
      </w:r>
    </w:p>
    <w:p>
      <w:pPr>
        <w:spacing w:after="120" w:before="0" w:line="300"/>
      </w:pPr>
      <w:r>
        <w:rPr>
          <w:rFonts w:ascii="Nunito Sans" w:cs="Nunito Sans" w:eastAsia="Nunito Sans" w:hAnsi="Nunito Sans"/>
          <w:color w:val="102E3B"/>
          <w:sz w:val="20"/>
          <w:szCs w:val="20"/>
        </w:rPr>
        <w:t xml:space="preserve">People have rights over their information. Depending on the law that applies, they can ask to:</w:t>
      </w:r>
    </w:p>
    <w:p>
      <w:pPr>
        <w:pStyle w:val="ListParagraph"/>
        <w:numPr>
          <w:ilvl w:val="0"/>
          <w:numId w:val="3"/>
        </w:numPr>
        <w:spacing w:after="80" w:line="290"/>
      </w:pPr>
      <w:r>
        <w:rPr>
          <w:rFonts w:ascii="Nunito Sans" w:cs="Nunito Sans" w:eastAsia="Nunito Sans" w:hAnsi="Nunito Sans"/>
          <w:b/>
          <w:bCs/>
          <w:color w:val="102E3B"/>
          <w:sz w:val="20"/>
          <w:szCs w:val="20"/>
        </w:rPr>
        <w:t xml:space="preserve">access</w:t>
      </w:r>
      <w:r>
        <w:rPr>
          <w:rFonts w:ascii="Nunito Sans" w:cs="Nunito Sans" w:eastAsia="Nunito Sans" w:hAnsi="Nunito Sans"/>
          <w:color w:val="102E3B"/>
          <w:sz w:val="20"/>
          <w:szCs w:val="20"/>
        </w:rPr>
        <w:t xml:space="preserve"> a copy of the information we hold about them;</w:t>
      </w:r>
    </w:p>
    <w:p>
      <w:pPr>
        <w:pStyle w:val="ListParagraph"/>
        <w:numPr>
          <w:ilvl w:val="0"/>
          <w:numId w:val="3"/>
        </w:numPr>
        <w:spacing w:after="80" w:line="290"/>
      </w:pPr>
      <w:r>
        <w:rPr>
          <w:rFonts w:ascii="Nunito Sans" w:cs="Nunito Sans" w:eastAsia="Nunito Sans" w:hAnsi="Nunito Sans"/>
          <w:b/>
          <w:bCs/>
          <w:color w:val="102E3B"/>
          <w:sz w:val="20"/>
          <w:szCs w:val="20"/>
        </w:rPr>
        <w:t xml:space="preserve">correct</w:t>
      </w:r>
      <w:r>
        <w:rPr>
          <w:rFonts w:ascii="Nunito Sans" w:cs="Nunito Sans" w:eastAsia="Nunito Sans" w:hAnsi="Nunito Sans"/>
          <w:color w:val="102E3B"/>
          <w:sz w:val="20"/>
          <w:szCs w:val="20"/>
        </w:rPr>
        <w:t xml:space="preserve"> information that is wrong or incomplete;</w:t>
      </w:r>
    </w:p>
    <w:p>
      <w:pPr>
        <w:pStyle w:val="ListParagraph"/>
        <w:numPr>
          <w:ilvl w:val="0"/>
          <w:numId w:val="3"/>
        </w:numPr>
        <w:spacing w:after="80" w:line="290"/>
      </w:pPr>
      <w:r>
        <w:rPr>
          <w:rFonts w:ascii="Nunito Sans" w:cs="Nunito Sans" w:eastAsia="Nunito Sans" w:hAnsi="Nunito Sans"/>
          <w:b/>
          <w:bCs/>
          <w:color w:val="102E3B"/>
          <w:sz w:val="20"/>
          <w:szCs w:val="20"/>
        </w:rPr>
        <w:t xml:space="preserve">delete</w:t>
      </w:r>
      <w:r>
        <w:rPr>
          <w:rFonts w:ascii="Nunito Sans" w:cs="Nunito Sans" w:eastAsia="Nunito Sans" w:hAnsi="Nunito Sans"/>
          <w:color w:val="102E3B"/>
          <w:sz w:val="20"/>
          <w:szCs w:val="20"/>
        </w:rPr>
        <w:t xml:space="preserve"> information we no longer need or have no lawful reason to keep;</w:t>
      </w:r>
    </w:p>
    <w:p>
      <w:pPr>
        <w:pStyle w:val="ListParagraph"/>
        <w:numPr>
          <w:ilvl w:val="0"/>
          <w:numId w:val="3"/>
        </w:numPr>
        <w:spacing w:after="80" w:line="290"/>
      </w:pPr>
      <w:r>
        <w:rPr>
          <w:rFonts w:ascii="Nunito Sans" w:cs="Nunito Sans" w:eastAsia="Nunito Sans" w:hAnsi="Nunito Sans"/>
          <w:b/>
          <w:bCs/>
          <w:color w:val="102E3B"/>
          <w:sz w:val="20"/>
          <w:szCs w:val="20"/>
        </w:rPr>
        <w:t xml:space="preserve">restrict</w:t>
      </w:r>
      <w:r>
        <w:rPr>
          <w:rFonts w:ascii="Nunito Sans" w:cs="Nunito Sans" w:eastAsia="Nunito Sans" w:hAnsi="Nunito Sans"/>
          <w:color w:val="102E3B"/>
          <w:sz w:val="20"/>
          <w:szCs w:val="20"/>
        </w:rPr>
        <w:t xml:space="preserve"> or </w:t>
      </w:r>
      <w:r>
        <w:rPr>
          <w:rFonts w:ascii="Nunito Sans" w:cs="Nunito Sans" w:eastAsia="Nunito Sans" w:hAnsi="Nunito Sans"/>
          <w:b/>
          <w:bCs/>
          <w:color w:val="102E3B"/>
          <w:sz w:val="20"/>
          <w:szCs w:val="20"/>
        </w:rPr>
        <w:t xml:space="preserve">object</w:t>
      </w:r>
      <w:r>
        <w:rPr>
          <w:rFonts w:ascii="Nunito Sans" w:cs="Nunito Sans" w:eastAsia="Nunito Sans" w:hAnsi="Nunito Sans"/>
          <w:color w:val="102E3B"/>
          <w:sz w:val="20"/>
          <w:szCs w:val="20"/>
        </w:rPr>
        <w:t xml:space="preserve"> to some uses, including direct marketing, which we always stop;</w:t>
      </w:r>
    </w:p>
    <w:p>
      <w:pPr>
        <w:pStyle w:val="ListParagraph"/>
        <w:numPr>
          <w:ilvl w:val="0"/>
          <w:numId w:val="3"/>
        </w:numPr>
        <w:spacing w:after="80" w:line="290"/>
      </w:pPr>
      <w:r>
        <w:rPr>
          <w:rFonts w:ascii="Nunito Sans" w:cs="Nunito Sans" w:eastAsia="Nunito Sans" w:hAnsi="Nunito Sans"/>
          <w:b/>
          <w:bCs/>
          <w:color w:val="102E3B"/>
          <w:sz w:val="20"/>
          <w:szCs w:val="20"/>
        </w:rPr>
        <w:t xml:space="preserve">receive</w:t>
      </w:r>
      <w:r>
        <w:rPr>
          <w:rFonts w:ascii="Nunito Sans" w:cs="Nunito Sans" w:eastAsia="Nunito Sans" w:hAnsi="Nunito Sans"/>
          <w:color w:val="102E3B"/>
          <w:sz w:val="20"/>
          <w:szCs w:val="20"/>
        </w:rPr>
        <w:t xml:space="preserve"> information they gave us in a portable format;</w:t>
      </w:r>
    </w:p>
    <w:p>
      <w:pPr>
        <w:pStyle w:val="ListParagraph"/>
        <w:numPr>
          <w:ilvl w:val="0"/>
          <w:numId w:val="3"/>
        </w:numPr>
        <w:spacing w:after="80" w:line="290"/>
      </w:pPr>
      <w:r>
        <w:rPr>
          <w:rFonts w:ascii="Nunito Sans" w:cs="Nunito Sans" w:eastAsia="Nunito Sans" w:hAnsi="Nunito Sans"/>
          <w:b/>
          <w:bCs/>
          <w:color w:val="102E3B"/>
          <w:sz w:val="20"/>
          <w:szCs w:val="20"/>
        </w:rPr>
        <w:t xml:space="preserve">withdraw consent</w:t>
      </w:r>
      <w:r>
        <w:rPr>
          <w:rFonts w:ascii="Nunito Sans" w:cs="Nunito Sans" w:eastAsia="Nunito Sans" w:hAnsi="Nunito Sans"/>
          <w:color w:val="102E3B"/>
          <w:sz w:val="20"/>
          <w:szCs w:val="20"/>
        </w:rPr>
        <w:t xml:space="preserve"> at any time, without affecting what we did before;</w:t>
      </w:r>
    </w:p>
    <w:p>
      <w:pPr>
        <w:pStyle w:val="ListParagraph"/>
        <w:numPr>
          <w:ilvl w:val="0"/>
          <w:numId w:val="3"/>
        </w:numPr>
        <w:spacing w:after="80" w:line="290"/>
      </w:pPr>
      <w:r>
        <w:rPr>
          <w:rFonts w:ascii="Nunito Sans" w:cs="Nunito Sans" w:eastAsia="Nunito Sans" w:hAnsi="Nunito Sans"/>
          <w:color w:val="102E3B"/>
          <w:sz w:val="20"/>
          <w:szCs w:val="20"/>
        </w:rPr>
        <w:t xml:space="preserve">ask for </w:t>
      </w:r>
      <w:r>
        <w:rPr>
          <w:rFonts w:ascii="Nunito Sans" w:cs="Nunito Sans" w:eastAsia="Nunito Sans" w:hAnsi="Nunito Sans"/>
          <w:b/>
          <w:bCs/>
          <w:color w:val="102E3B"/>
          <w:sz w:val="20"/>
          <w:szCs w:val="20"/>
        </w:rPr>
        <w:t xml:space="preserve">human review</w:t>
      </w:r>
      <w:r>
        <w:rPr>
          <w:rFonts w:ascii="Nunito Sans" w:cs="Nunito Sans" w:eastAsia="Nunito Sans" w:hAnsi="Nunito Sans"/>
          <w:color w:val="102E3B"/>
          <w:sz w:val="20"/>
          <w:szCs w:val="20"/>
        </w:rPr>
        <w:t xml:space="preserve"> of any decision made about them by automated means alone;</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complain</w:t>
      </w:r>
      <w:r>
        <w:rPr>
          <w:rFonts w:ascii="Nunito Sans" w:cs="Nunito Sans" w:eastAsia="Nunito Sans" w:hAnsi="Nunito Sans"/>
          <w:color w:val="102E3B"/>
          <w:sz w:val="20"/>
          <w:szCs w:val="20"/>
        </w:rPr>
        <w:t xml:space="preserve"> to the data protection regulator.</w:t>
      </w:r>
    </w:p>
    <w:p>
      <w:pPr>
        <w:spacing w:after="120" w:before="0" w:line="300"/>
      </w:pPr>
      <w:r>
        <w:rPr>
          <w:rFonts w:ascii="Nunito Sans" w:cs="Nunito Sans" w:eastAsia="Nunito Sans" w:hAnsi="Nunito Sans"/>
          <w:color w:val="102E3B"/>
          <w:sz w:val="20"/>
          <w:szCs w:val="20"/>
        </w:rPr>
        <w:t xml:space="preserve">A request can be made in any way, to anyone in our team, without legal words. Whoever receives it passes it to the data protection lead within </w:t>
      </w:r>
      <w:r>
        <w:rPr>
          <w:rFonts w:ascii="Nunito Sans" w:cs="Nunito Sans" w:eastAsia="Nunito Sans" w:hAnsi="Nunito Sans"/>
          <w:color w:val="102E3B"/>
          <w:sz w:val="20"/>
          <w:szCs w:val="20"/>
          <w:highlight w:val="yellow"/>
        </w:rPr>
        <w:t xml:space="preserve">[1 working day]</w:t>
      </w:r>
      <w:r>
        <w:rPr>
          <w:rFonts w:ascii="Nunito Sans" w:cs="Nunito Sans" w:eastAsia="Nunito Sans" w:hAnsi="Nunito Sans"/>
          <w:color w:val="102E3B"/>
          <w:sz w:val="20"/>
          <w:szCs w:val="20"/>
        </w:rPr>
        <w:t xml:space="preserve">. We confirm identity proportionately, respond free of charge within </w:t>
      </w:r>
      <w:r>
        <w:rPr>
          <w:rFonts w:ascii="Nunito Sans" w:cs="Nunito Sans" w:eastAsia="Nunito Sans" w:hAnsi="Nunito Sans"/>
          <w:color w:val="102E3B"/>
          <w:sz w:val="20"/>
          <w:szCs w:val="20"/>
          <w:highlight w:val="yellow"/>
        </w:rPr>
        <w:t xml:space="preserve">[one month]</w:t>
      </w:r>
      <w:r>
        <w:rPr>
          <w:rFonts w:ascii="Nunito Sans" w:cs="Nunito Sans" w:eastAsia="Nunito Sans" w:hAnsi="Nunito Sans"/>
          <w:color w:val="102E3B"/>
          <w:sz w:val="20"/>
          <w:szCs w:val="20"/>
        </w:rPr>
        <w:t xml:space="preserve">, and log every request. Our Data Rights Request Procedure sets out each step.</w:t>
      </w:r>
    </w:p>
    <w:p>
      <w:pPr>
        <w:pStyle w:val="Heading2"/>
        <w:keepNext/>
        <w:spacing w:after="120" w:before="280"/>
      </w:pPr>
      <w:r>
        <w:rPr>
          <w:rFonts w:ascii="DM Serif Display" w:cs="DM Serif Display" w:eastAsia="DM Serif Display" w:hAnsi="DM Serif Display"/>
          <w:color w:val="123C48"/>
          <w:sz w:val="28"/>
          <w:szCs w:val="28"/>
        </w:rPr>
        <w:t xml:space="preserve">8. Sharing with partners, funders and others</w:t>
      </w:r>
    </w:p>
    <w:p>
      <w:pPr>
        <w:spacing w:after="120" w:before="0" w:line="300"/>
      </w:pPr>
      <w:r>
        <w:rPr>
          <w:rFonts w:ascii="Nunito Sans" w:cs="Nunito Sans" w:eastAsia="Nunito Sans" w:hAnsi="Nunito Sans"/>
          <w:color w:val="102E3B"/>
          <w:sz w:val="20"/>
          <w:szCs w:val="20"/>
        </w:rPr>
        <w:t xml:space="preserve">We share personal information only when it is necessary, lawful and safe, and only the minimum needed.</w:t>
      </w:r>
    </w:p>
    <w:p>
      <w:pPr>
        <w:pStyle w:val="ListParagraph"/>
        <w:numPr>
          <w:ilvl w:val="0"/>
          <w:numId w:val="3"/>
        </w:numPr>
        <w:spacing w:after="80" w:line="290"/>
      </w:pPr>
      <w:r>
        <w:rPr>
          <w:rFonts w:ascii="Nunito Sans" w:cs="Nunito Sans" w:eastAsia="Nunito Sans" w:hAnsi="Nunito Sans"/>
          <w:b/>
          <w:bCs/>
          <w:color w:val="102E3B"/>
          <w:sz w:val="20"/>
          <w:szCs w:val="20"/>
        </w:rPr>
        <w:t xml:space="preserve">Partners.</w:t>
      </w:r>
      <w:r>
        <w:rPr>
          <w:rFonts w:ascii="Nunito Sans" w:cs="Nunito Sans" w:eastAsia="Nunito Sans" w:hAnsi="Nunito Sans"/>
          <w:color w:val="102E3B"/>
          <w:sz w:val="20"/>
          <w:szCs w:val="20"/>
        </w:rPr>
        <w:t xml:space="preserve"> Before sharing personal information with a partner regularly, we sign a Data Sharing Agreement: what is shared, why, how it is protected, how long it is kept and what happens in a breach. For one-off sharing about an individual, we use the Information Sharing Consent Form or record another lawful reason.</w:t>
      </w:r>
    </w:p>
    <w:p>
      <w:pPr>
        <w:pStyle w:val="ListParagraph"/>
        <w:numPr>
          <w:ilvl w:val="0"/>
          <w:numId w:val="3"/>
        </w:numPr>
        <w:spacing w:after="80" w:line="290"/>
      </w:pPr>
      <w:r>
        <w:rPr>
          <w:rFonts w:ascii="Nunito Sans" w:cs="Nunito Sans" w:eastAsia="Nunito Sans" w:hAnsi="Nunito Sans"/>
          <w:b/>
          <w:bCs/>
          <w:color w:val="102E3B"/>
          <w:sz w:val="20"/>
          <w:szCs w:val="20"/>
        </w:rPr>
        <w:t xml:space="preserve">Funders.</w:t>
      </w:r>
      <w:r>
        <w:rPr>
          <w:rFonts w:ascii="Nunito Sans" w:cs="Nunito Sans" w:eastAsia="Nunito Sans" w:hAnsi="Nunito Sans"/>
          <w:color w:val="102E3B"/>
          <w:sz w:val="20"/>
          <w:szCs w:val="20"/>
        </w:rPr>
        <w:t xml:space="preserve"> We send totals and anonymised case studies by default. If a funder requires names, for example for audit, we check the grant agreement, tell the people concerned and use a secure channel.</w:t>
      </w:r>
    </w:p>
    <w:p>
      <w:pPr>
        <w:pStyle w:val="ListParagraph"/>
        <w:numPr>
          <w:ilvl w:val="0"/>
          <w:numId w:val="3"/>
        </w:numPr>
        <w:spacing w:after="80" w:line="290"/>
      </w:pPr>
      <w:r>
        <w:rPr>
          <w:rFonts w:ascii="Nunito Sans" w:cs="Nunito Sans" w:eastAsia="Nunito Sans" w:hAnsi="Nunito Sans"/>
          <w:b/>
          <w:bCs/>
          <w:color w:val="102E3B"/>
          <w:sz w:val="20"/>
          <w:szCs w:val="20"/>
        </w:rPr>
        <w:t xml:space="preserve">Authorities.</w:t>
      </w:r>
      <w:r>
        <w:rPr>
          <w:rFonts w:ascii="Nunito Sans" w:cs="Nunito Sans" w:eastAsia="Nunito Sans" w:hAnsi="Nunito Sans"/>
          <w:color w:val="102E3B"/>
          <w:sz w:val="20"/>
          <w:szCs w:val="20"/>
        </w:rPr>
        <w:t xml:space="preserve"> Only where the law requires it or someone is in immediate danger. The data protection lead decides, records the reason and shares the minimum. If a request could put people at risk, we take legal advice first where time allows.</w:t>
      </w:r>
    </w:p>
    <w:p>
      <w:pPr>
        <w:pStyle w:val="ListParagraph"/>
        <w:numPr>
          <w:ilvl w:val="0"/>
          <w:numId w:val="3"/>
        </w:numPr>
        <w:spacing w:after="80" w:line="290"/>
      </w:pPr>
      <w:r>
        <w:rPr>
          <w:rFonts w:ascii="Nunito Sans" w:cs="Nunito Sans" w:eastAsia="Nunito Sans" w:hAnsi="Nunito Sans"/>
          <w:b/>
          <w:bCs/>
          <w:color w:val="102E3B"/>
          <w:sz w:val="20"/>
          <w:szCs w:val="20"/>
        </w:rPr>
        <w:t xml:space="preserve">Emergencies.</w:t>
      </w:r>
      <w:r>
        <w:rPr>
          <w:rFonts w:ascii="Nunito Sans" w:cs="Nunito Sans" w:eastAsia="Nunito Sans" w:hAnsi="Nunito Sans"/>
          <w:color w:val="102E3B"/>
          <w:sz w:val="20"/>
          <w:szCs w:val="20"/>
        </w:rPr>
        <w:t xml:space="preserve"> If a life is at risk, share what is needed and tell the data protection lead afterwards.</w:t>
      </w:r>
    </w:p>
    <w:p>
      <w:pPr>
        <w:pStyle w:val="Heading2"/>
        <w:keepNext/>
        <w:spacing w:after="120" w:before="280"/>
      </w:pPr>
      <w:r>
        <w:rPr>
          <w:rFonts w:ascii="DM Serif Display" w:cs="DM Serif Display" w:eastAsia="DM Serif Display" w:hAnsi="DM Serif Display"/>
          <w:color w:val="123C48"/>
          <w:sz w:val="28"/>
          <w:szCs w:val="28"/>
        </w:rPr>
        <w:t xml:space="preserve">9. Processors and cloud services</w:t>
      </w:r>
    </w:p>
    <w:p>
      <w:pPr>
        <w:spacing w:after="120" w:before="0" w:line="300"/>
      </w:pPr>
      <w:r>
        <w:rPr>
          <w:rFonts w:ascii="Nunito Sans" w:cs="Nunito Sans" w:eastAsia="Nunito Sans" w:hAnsi="Nunito Sans"/>
          <w:color w:val="102E3B"/>
          <w:sz w:val="20"/>
          <w:szCs w:val="20"/>
        </w:rPr>
        <w:t xml:space="preserve">We are the </w:t>
      </w:r>
      <w:r>
        <w:rPr>
          <w:rFonts w:ascii="Nunito Sans" w:cs="Nunito Sans" w:eastAsia="Nunito Sans" w:hAnsi="Nunito Sans"/>
          <w:b/>
          <w:bCs/>
          <w:color w:val="102E3B"/>
          <w:sz w:val="20"/>
          <w:szCs w:val="20"/>
        </w:rPr>
        <w:t xml:space="preserve">controller</w:t>
      </w:r>
      <w:r>
        <w:rPr>
          <w:rFonts w:ascii="Nunito Sans" w:cs="Nunito Sans" w:eastAsia="Nunito Sans" w:hAnsi="Nunito Sans"/>
          <w:color w:val="102E3B"/>
          <w:sz w:val="20"/>
          <w:szCs w:val="20"/>
        </w:rPr>
        <w:t xml:space="preserve"> for our own activities: we decide why and how personal information is used. A </w:t>
      </w:r>
      <w:r>
        <w:rPr>
          <w:rFonts w:ascii="Nunito Sans" w:cs="Nunito Sans" w:eastAsia="Nunito Sans" w:hAnsi="Nunito Sans"/>
          <w:b/>
          <w:bCs/>
          <w:color w:val="102E3B"/>
          <w:sz w:val="20"/>
          <w:szCs w:val="20"/>
        </w:rPr>
        <w:t xml:space="preserve">processor</w:t>
      </w:r>
      <w:r>
        <w:rPr>
          <w:rFonts w:ascii="Nunito Sans" w:cs="Nunito Sans" w:eastAsia="Nunito Sans" w:hAnsi="Nunito Sans"/>
          <w:color w:val="102E3B"/>
          <w:sz w:val="20"/>
          <w:szCs w:val="20"/>
        </w:rPr>
        <w:t xml:space="preserve"> is a provider that handles it only on our instructions. Many processors work for us: email, cloud drives, messaging apps, survey tools, accounting and payroll software, customer relationship management (CRM) systems and website hosts. Before we use a new provider that will hold personal information, the data protection lead:</w:t>
      </w:r>
    </w:p>
    <w:p>
      <w:pPr>
        <w:pStyle w:val="ListParagraph"/>
        <w:numPr>
          <w:ilvl w:val="0"/>
          <w:numId w:val="5"/>
        </w:numPr>
        <w:spacing w:after="80" w:line="290"/>
      </w:pPr>
      <w:r>
        <w:rPr>
          <w:rFonts w:ascii="Nunito Sans" w:cs="Nunito Sans" w:eastAsia="Nunito Sans" w:hAnsi="Nunito Sans"/>
          <w:color w:val="102E3B"/>
          <w:sz w:val="20"/>
          <w:szCs w:val="20"/>
        </w:rPr>
        <w:t xml:space="preserve">checks that it has adequate security, such as encryption and multi-factor sign-in;</w:t>
      </w:r>
    </w:p>
    <w:p>
      <w:pPr>
        <w:pStyle w:val="ListParagraph"/>
        <w:numPr>
          <w:ilvl w:val="0"/>
          <w:numId w:val="5"/>
        </w:numPr>
        <w:spacing w:after="80" w:line="290"/>
      </w:pPr>
      <w:r>
        <w:rPr>
          <w:rFonts w:ascii="Nunito Sans" w:cs="Nunito Sans" w:eastAsia="Nunito Sans" w:hAnsi="Nunito Sans"/>
          <w:color w:val="102E3B"/>
          <w:sz w:val="20"/>
          <w:szCs w:val="20"/>
        </w:rPr>
        <w:t xml:space="preserve">makes sure a data processing agreement is in place (often part of the provider's terms) that limits use of our data to our instructions;</w:t>
      </w:r>
    </w:p>
    <w:p>
      <w:pPr>
        <w:pStyle w:val="ListParagraph"/>
        <w:numPr>
          <w:ilvl w:val="0"/>
          <w:numId w:val="5"/>
        </w:numPr>
        <w:spacing w:after="80" w:line="290"/>
      </w:pPr>
      <w:r>
        <w:rPr>
          <w:rFonts w:ascii="Nunito Sans" w:cs="Nunito Sans" w:eastAsia="Nunito Sans" w:hAnsi="Nunito Sans"/>
          <w:color w:val="102E3B"/>
          <w:sz w:val="20"/>
          <w:szCs w:val="20"/>
        </w:rPr>
        <w:t xml:space="preserve">records where it stores data and what transfer safeguard applies (section 10);</w:t>
      </w:r>
    </w:p>
    <w:p>
      <w:pPr>
        <w:pStyle w:val="ListParagraph"/>
        <w:numPr>
          <w:ilvl w:val="0"/>
          <w:numId w:val="5"/>
        </w:numPr>
        <w:spacing w:after="80" w:line="290"/>
      </w:pPr>
      <w:r>
        <w:rPr>
          <w:rFonts w:ascii="Nunito Sans" w:cs="Nunito Sans" w:eastAsia="Nunito Sans" w:hAnsi="Nunito Sans"/>
          <w:color w:val="102E3B"/>
          <w:sz w:val="20"/>
          <w:szCs w:val="20"/>
        </w:rPr>
        <w:t xml:space="preserve">checks whether it uses our data to train its own AI models, and switches this off where possible;</w:t>
      </w:r>
    </w:p>
    <w:p>
      <w:pPr>
        <w:pStyle w:val="ListParagraph"/>
        <w:numPr>
          <w:ilvl w:val="0"/>
          <w:numId w:val="5"/>
        </w:numPr>
        <w:spacing w:after="80" w:line="290"/>
      </w:pPr>
      <w:r>
        <w:rPr>
          <w:rFonts w:ascii="Nunito Sans" w:cs="Nunito Sans" w:eastAsia="Nunito Sans" w:hAnsi="Nunito Sans"/>
          <w:color w:val="102E3B"/>
          <w:sz w:val="20"/>
          <w:szCs w:val="20"/>
        </w:rPr>
        <w:t xml:space="preserve">adds it to the list of processors in Annex B.</w:t>
      </w:r>
    </w:p>
    <w:p>
      <w:pPr>
        <w:spacing w:after="120" w:before="0" w:line="300"/>
      </w:pPr>
      <w:r>
        <w:rPr>
          <w:rFonts w:ascii="Nunito Sans" w:cs="Nunito Sans" w:eastAsia="Nunito Sans" w:hAnsi="Nunito Sans"/>
          <w:color w:val="102E3B"/>
          <w:sz w:val="20"/>
          <w:szCs w:val="20"/>
        </w:rPr>
        <w:t xml:space="preserve">We use organisational accounts, not personal ones, for any tool that holds personal information. Free consumer versions often give weaker protection, so we check their terms first.</w:t>
      </w:r>
    </w:p>
    <w:p>
      <w:pPr>
        <w:pStyle w:val="Heading2"/>
        <w:keepNext/>
        <w:spacing w:after="120" w:before="280"/>
      </w:pPr>
      <w:r>
        <w:rPr>
          <w:rFonts w:ascii="DM Serif Display" w:cs="DM Serif Display" w:eastAsia="DM Serif Display" w:hAnsi="DM Serif Display"/>
          <w:color w:val="123C48"/>
          <w:sz w:val="28"/>
          <w:szCs w:val="28"/>
        </w:rPr>
        <w:t xml:space="preserve">10. International transfers</w:t>
      </w:r>
    </w:p>
    <w:p>
      <w:pPr>
        <w:spacing w:after="120" w:before="0" w:line="300"/>
      </w:pPr>
      <w:r>
        <w:rPr>
          <w:rFonts w:ascii="Nunito Sans" w:cs="Nunito Sans" w:eastAsia="Nunito Sans" w:hAnsi="Nunito Sans"/>
          <w:color w:val="102E3B"/>
          <w:sz w:val="20"/>
          <w:szCs w:val="20"/>
        </w:rPr>
        <w:t xml:space="preserve">Personal information often leaves the country unnoticed. Cloud drives, email, survey tools and messaging apps may store data on servers abroad. Emailing a spreadsheet to a partner in another country is also a transfer. Many laws allow transfers only with safeguards, so before using such a provider or sending data abroad, we check that one of these applies:</w:t>
      </w:r>
    </w:p>
    <w:p>
      <w:pPr>
        <w:pStyle w:val="ListParagraph"/>
        <w:numPr>
          <w:ilvl w:val="0"/>
          <w:numId w:val="3"/>
        </w:numPr>
        <w:spacing w:after="80" w:line="290"/>
      </w:pPr>
      <w:r>
        <w:rPr>
          <w:rFonts w:ascii="Nunito Sans" w:cs="Nunito Sans" w:eastAsia="Nunito Sans" w:hAnsi="Nunito Sans"/>
          <w:color w:val="102E3B"/>
          <w:sz w:val="20"/>
          <w:szCs w:val="20"/>
        </w:rPr>
        <w:t xml:space="preserve">the destination country is recognised by our regulator as giving adequate protection;</w:t>
      </w:r>
    </w:p>
    <w:p>
      <w:pPr>
        <w:pStyle w:val="ListParagraph"/>
        <w:numPr>
          <w:ilvl w:val="0"/>
          <w:numId w:val="3"/>
        </w:numPr>
        <w:spacing w:after="80" w:line="290"/>
      </w:pPr>
      <w:r>
        <w:rPr>
          <w:rFonts w:ascii="Nunito Sans" w:cs="Nunito Sans" w:eastAsia="Nunito Sans" w:hAnsi="Nunito Sans"/>
          <w:color w:val="102E3B"/>
          <w:sz w:val="20"/>
          <w:szCs w:val="20"/>
        </w:rPr>
        <w:t xml:space="preserve">the provider or recipient has signed standard contractual clauses or another approved safeguard;</w:t>
      </w:r>
    </w:p>
    <w:p>
      <w:pPr>
        <w:pStyle w:val="ListParagraph"/>
        <w:numPr>
          <w:ilvl w:val="0"/>
          <w:numId w:val="3"/>
        </w:numPr>
        <w:spacing w:after="80" w:line="290"/>
      </w:pPr>
      <w:r>
        <w:rPr>
          <w:rFonts w:ascii="Nunito Sans" w:cs="Nunito Sans" w:eastAsia="Nunito Sans" w:hAnsi="Nunito Sans"/>
          <w:color w:val="102E3B"/>
          <w:sz w:val="20"/>
          <w:szCs w:val="20"/>
        </w:rPr>
        <w:t xml:space="preserve">the person has given informed consent, for occasional transfers;</w:t>
      </w:r>
    </w:p>
    <w:p>
      <w:pPr>
        <w:pStyle w:val="ListParagraph"/>
        <w:numPr>
          <w:ilvl w:val="0"/>
          <w:numId w:val="3"/>
        </w:numPr>
        <w:spacing w:after="80" w:line="290"/>
      </w:pPr>
      <w:r>
        <w:rPr>
          <w:rFonts w:ascii="Nunito Sans" w:cs="Nunito Sans" w:eastAsia="Nunito Sans" w:hAnsi="Nunito Sans"/>
          <w:color w:val="102E3B"/>
          <w:sz w:val="20"/>
          <w:szCs w:val="20"/>
        </w:rPr>
        <w:t xml:space="preserve">another exception in our law applies, recorded in Annex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INTERNATIONAL TRANSFERS</w:t>
            </w:r>
          </w:p>
          <w:p>
            <w:pPr>
              <w:spacing w:after="120" w:before="0" w:line="300"/>
            </w:pPr>
            <w:r>
              <w:rPr>
                <w:rFonts w:ascii="Nunito Sans" w:cs="Nunito Sans" w:eastAsia="Nunito Sans" w:hAnsi="Nunito Sans"/>
                <w:color w:val="102E3B"/>
                <w:sz w:val="19"/>
                <w:szCs w:val="19"/>
              </w:rPr>
              <w:t xml:space="preserve">Check the transfer rules in your law. Under the GDPR, transfers need an adequacy decision (for the United States, this covers companies certified under the EU–US Data Privacy Framework), standard contractual clauses or another safeguard. Other laws have their own rules: some require the regulator's approval or the person's consent, and a few require certain data to be stored in the country. If your team uses a messaging app to share participant information, check where it stores messages and backups, and move sensitive case work to an approved tool.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Security</w:t>
      </w:r>
    </w:p>
    <w:p>
      <w:pPr>
        <w:spacing w:after="120" w:before="0" w:line="300"/>
      </w:pPr>
      <w:r>
        <w:rPr>
          <w:rFonts w:ascii="Nunito Sans" w:cs="Nunito Sans" w:eastAsia="Nunito Sans" w:hAnsi="Nunito Sans"/>
          <w:color w:val="102E3B"/>
          <w:sz w:val="20"/>
          <w:szCs w:val="20"/>
        </w:rPr>
        <w:t xml:space="preserve">We protect personal information in proportion to the harm its loss would cause. Our IT and Information Security Policy sets out the detail. The basics:</w:t>
      </w:r>
    </w:p>
    <w:p>
      <w:pPr>
        <w:pStyle w:val="ListParagraph"/>
        <w:numPr>
          <w:ilvl w:val="0"/>
          <w:numId w:val="3"/>
        </w:numPr>
        <w:spacing w:after="80" w:line="290"/>
      </w:pPr>
      <w:r>
        <w:rPr>
          <w:rFonts w:ascii="Nunito Sans" w:cs="Nunito Sans" w:eastAsia="Nunito Sans" w:hAnsi="Nunito Sans"/>
          <w:b/>
          <w:bCs/>
          <w:color w:val="102E3B"/>
          <w:sz w:val="20"/>
          <w:szCs w:val="20"/>
        </w:rPr>
        <w:t xml:space="preserve">Accounts.</w:t>
      </w:r>
      <w:r>
        <w:rPr>
          <w:rFonts w:ascii="Nunito Sans" w:cs="Nunito Sans" w:eastAsia="Nunito Sans" w:hAnsi="Nunito Sans"/>
          <w:color w:val="102E3B"/>
          <w:sz w:val="20"/>
          <w:szCs w:val="20"/>
        </w:rPr>
        <w:t xml:space="preserve"> Organisational accounts only, a password manager, unique passwords and multi-factor sign-in on email and every system that holds personal information.</w:t>
      </w:r>
    </w:p>
    <w:p>
      <w:pPr>
        <w:pStyle w:val="ListParagraph"/>
        <w:numPr>
          <w:ilvl w:val="0"/>
          <w:numId w:val="3"/>
        </w:numPr>
        <w:spacing w:after="80" w:line="290"/>
      </w:pPr>
      <w:r>
        <w:rPr>
          <w:rFonts w:ascii="Nunito Sans" w:cs="Nunito Sans" w:eastAsia="Nunito Sans" w:hAnsi="Nunito Sans"/>
          <w:b/>
          <w:bCs/>
          <w:color w:val="102E3B"/>
          <w:sz w:val="20"/>
          <w:szCs w:val="20"/>
        </w:rPr>
        <w:t xml:space="preserve">Access.</w:t>
      </w:r>
      <w:r>
        <w:rPr>
          <w:rFonts w:ascii="Nunito Sans" w:cs="Nunito Sans" w:eastAsia="Nunito Sans" w:hAnsi="Nunito Sans"/>
          <w:color w:val="102E3B"/>
          <w:sz w:val="20"/>
          <w:szCs w:val="20"/>
        </w:rPr>
        <w:t xml:space="preserve"> Each person sees only what their task needs. We review access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and remove it on the day someone leaves.</w:t>
      </w:r>
    </w:p>
    <w:p>
      <w:pPr>
        <w:pStyle w:val="ListParagraph"/>
        <w:numPr>
          <w:ilvl w:val="0"/>
          <w:numId w:val="3"/>
        </w:numPr>
        <w:spacing w:after="80" w:line="290"/>
      </w:pPr>
      <w:r>
        <w:rPr>
          <w:rFonts w:ascii="Nunito Sans" w:cs="Nunito Sans" w:eastAsia="Nunito Sans" w:hAnsi="Nunito Sans"/>
          <w:b/>
          <w:bCs/>
          <w:color w:val="102E3B"/>
          <w:sz w:val="20"/>
          <w:szCs w:val="20"/>
        </w:rPr>
        <w:t xml:space="preserve">Devices.</w:t>
      </w:r>
      <w:r>
        <w:rPr>
          <w:rFonts w:ascii="Nunito Sans" w:cs="Nunito Sans" w:eastAsia="Nunito Sans" w:hAnsi="Nunito Sans"/>
          <w:color w:val="102E3B"/>
          <w:sz w:val="20"/>
          <w:szCs w:val="20"/>
        </w:rPr>
        <w:t xml:space="preserve"> Encrypted laptops and phones, screen lock, automatic updates and the ability to wipe a lost device remotely.</w:t>
      </w:r>
    </w:p>
    <w:p>
      <w:pPr>
        <w:pStyle w:val="ListParagraph"/>
        <w:numPr>
          <w:ilvl w:val="0"/>
          <w:numId w:val="3"/>
        </w:numPr>
        <w:spacing w:after="80" w:line="290"/>
      </w:pPr>
      <w:r>
        <w:rPr>
          <w:rFonts w:ascii="Nunito Sans" w:cs="Nunito Sans" w:eastAsia="Nunito Sans" w:hAnsi="Nunito Sans"/>
          <w:b/>
          <w:bCs/>
          <w:color w:val="102E3B"/>
          <w:sz w:val="20"/>
          <w:szCs w:val="20"/>
        </w:rPr>
        <w:t xml:space="preserve">Sharing files.</w:t>
      </w:r>
      <w:r>
        <w:rPr>
          <w:rFonts w:ascii="Nunito Sans" w:cs="Nunito Sans" w:eastAsia="Nunito Sans" w:hAnsi="Nunito Sans"/>
          <w:color w:val="102E3B"/>
          <w:sz w:val="20"/>
          <w:szCs w:val="20"/>
        </w:rPr>
        <w:t xml:space="preserve"> Share with named people, not "anyone with the link", and never send sensitive information in group chats.</w:t>
      </w:r>
    </w:p>
    <w:p>
      <w:pPr>
        <w:pStyle w:val="ListParagraph"/>
        <w:numPr>
          <w:ilvl w:val="0"/>
          <w:numId w:val="3"/>
        </w:numPr>
        <w:spacing w:after="80" w:line="290"/>
      </w:pPr>
      <w:r>
        <w:rPr>
          <w:rFonts w:ascii="Nunito Sans" w:cs="Nunito Sans" w:eastAsia="Nunito Sans" w:hAnsi="Nunito Sans"/>
          <w:b/>
          <w:bCs/>
          <w:color w:val="102E3B"/>
          <w:sz w:val="20"/>
          <w:szCs w:val="20"/>
        </w:rPr>
        <w:t xml:space="preserve">Paper.</w:t>
      </w:r>
      <w:r>
        <w:rPr>
          <w:rFonts w:ascii="Nunito Sans" w:cs="Nunito Sans" w:eastAsia="Nunito Sans" w:hAnsi="Nunito Sans"/>
          <w:color w:val="102E3B"/>
          <w:sz w:val="20"/>
          <w:szCs w:val="20"/>
        </w:rPr>
        <w:t xml:space="preserve"> Lock records away, take only what you need to the field, and shred what is no longer needed.</w:t>
      </w:r>
    </w:p>
    <w:p>
      <w:pPr>
        <w:pStyle w:val="ListParagraph"/>
        <w:numPr>
          <w:ilvl w:val="0"/>
          <w:numId w:val="3"/>
        </w:numPr>
        <w:spacing w:after="80" w:line="290"/>
      </w:pPr>
      <w:r>
        <w:rPr>
          <w:rFonts w:ascii="Nunito Sans" w:cs="Nunito Sans" w:eastAsia="Nunito Sans" w:hAnsi="Nunito Sans"/>
          <w:b/>
          <w:bCs/>
          <w:color w:val="102E3B"/>
          <w:sz w:val="20"/>
          <w:szCs w:val="20"/>
        </w:rPr>
        <w:t xml:space="preserve">Field data.</w:t>
      </w:r>
      <w:r>
        <w:rPr>
          <w:rFonts w:ascii="Nunito Sans" w:cs="Nunito Sans" w:eastAsia="Nunito Sans" w:hAnsi="Nunito Sans"/>
          <w:color w:val="102E3B"/>
          <w:sz w:val="20"/>
          <w:szCs w:val="20"/>
        </w:rPr>
        <w:t xml:space="preserve"> Phones and tablets used to collect participant information are encrypted, and data is uploaded and removed from the device as soon as possible.</w:t>
      </w:r>
    </w:p>
    <w:p>
      <w:pPr>
        <w:pStyle w:val="Heading2"/>
        <w:keepNext/>
        <w:spacing w:after="120" w:before="280"/>
      </w:pPr>
      <w:r>
        <w:rPr>
          <w:rFonts w:ascii="DM Serif Display" w:cs="DM Serif Display" w:eastAsia="DM Serif Display" w:hAnsi="DM Serif Display"/>
          <w:color w:val="123C48"/>
          <w:sz w:val="28"/>
          <w:szCs w:val="28"/>
        </w:rPr>
        <w:t xml:space="preserve">12. Retention and deletion</w:t>
      </w:r>
    </w:p>
    <w:p>
      <w:pPr>
        <w:spacing w:after="120" w:before="0" w:line="300"/>
      </w:pPr>
      <w:r>
        <w:rPr>
          <w:rFonts w:ascii="Nunito Sans" w:cs="Nunito Sans" w:eastAsia="Nunito Sans" w:hAnsi="Nunito Sans"/>
          <w:color w:val="102E3B"/>
          <w:sz w:val="20"/>
          <w:szCs w:val="20"/>
        </w:rPr>
        <w:t xml:space="preserve">We keep personal information only as long as its purpose or the law requires. Our Records Retention Schedule sets the period for each type of record and what happens at the end: secure deletion, anonymisation or review. In short:</w:t>
      </w:r>
    </w:p>
    <w:p>
      <w:pPr>
        <w:pStyle w:val="ListParagraph"/>
        <w:numPr>
          <w:ilvl w:val="0"/>
          <w:numId w:val="3"/>
        </w:numPr>
        <w:spacing w:after="80" w:line="290"/>
      </w:pPr>
      <w:r>
        <w:rPr>
          <w:rFonts w:ascii="Nunito Sans" w:cs="Nunito Sans" w:eastAsia="Nunito Sans" w:hAnsi="Nunito Sans"/>
          <w:b/>
          <w:bCs/>
          <w:color w:val="102E3B"/>
          <w:sz w:val="20"/>
          <w:szCs w:val="20"/>
        </w:rPr>
        <w:t xml:space="preserve">Participant and case records: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[X years]</w:t>
      </w:r>
      <w:r>
        <w:rPr>
          <w:rFonts w:ascii="Nunito Sans" w:cs="Nunito Sans" w:eastAsia="Nunito Sans" w:hAnsi="Nunito Sans"/>
          <w:color w:val="102E3B"/>
          <w:sz w:val="20"/>
          <w:szCs w:val="20"/>
        </w:rPr>
        <w:t xml:space="preserve"> after our work with the person ends. Safeguarding records follow our Safeguarding Policy and Procedure and may be kept longer.</w:t>
      </w:r>
    </w:p>
    <w:p>
      <w:pPr>
        <w:pStyle w:val="ListParagraph"/>
        <w:numPr>
          <w:ilvl w:val="0"/>
          <w:numId w:val="3"/>
        </w:numPr>
        <w:spacing w:after="80" w:line="290"/>
      </w:pPr>
      <w:r>
        <w:rPr>
          <w:rFonts w:ascii="Nunito Sans" w:cs="Nunito Sans" w:eastAsia="Nunito Sans" w:hAnsi="Nunito Sans"/>
          <w:b/>
          <w:bCs/>
          <w:color w:val="102E3B"/>
          <w:sz w:val="20"/>
          <w:szCs w:val="20"/>
        </w:rPr>
        <w:t xml:space="preserve">Staff and volunteer records: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[X years]</w:t>
      </w:r>
      <w:r>
        <w:rPr>
          <w:rFonts w:ascii="Nunito Sans" w:cs="Nunito Sans" w:eastAsia="Nunito Sans" w:hAnsi="Nunito Sans"/>
          <w:color w:val="102E3B"/>
          <w:sz w:val="20"/>
          <w:szCs w:val="20"/>
        </w:rPr>
        <w:t xml:space="preserve"> after the person leaves.</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Financial and donation records: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[X years]</w:t>
      </w:r>
      <w:r>
        <w:rPr>
          <w:rFonts w:ascii="Nunito Sans" w:cs="Nunito Sans" w:eastAsia="Nunito Sans" w:hAnsi="Nunito Sans"/>
          <w:color w:val="102E3B"/>
          <w:sz w:val="20"/>
          <w:szCs w:val="20"/>
        </w:rPr>
        <w:t xml:space="preserve">, as tax and funder rules require.</w:t>
      </w:r>
    </w:p>
    <w:p>
      <w:pPr>
        <w:pStyle w:val="ListParagraph"/>
        <w:numPr>
          <w:ilvl w:val="0"/>
          <w:numId w:val="3"/>
        </w:numPr>
        <w:spacing w:after="80" w:line="290"/>
      </w:pPr>
      <w:r>
        <w:rPr>
          <w:rFonts w:ascii="Nunito Sans" w:cs="Nunito Sans" w:eastAsia="Nunito Sans" w:hAnsi="Nunito Sans"/>
          <w:b/>
          <w:bCs/>
          <w:color w:val="102E3B"/>
          <w:sz w:val="20"/>
          <w:szCs w:val="20"/>
        </w:rPr>
        <w:t xml:space="preserve">Unsuccessful job applications: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Marketing contacts:</w:t>
      </w:r>
      <w:r>
        <w:rPr>
          <w:rFonts w:ascii="Nunito Sans" w:cs="Nunito Sans" w:eastAsia="Nunito Sans" w:hAnsi="Nunito Sans"/>
          <w:color w:val="102E3B"/>
          <w:sz w:val="20"/>
          <w:szCs w:val="20"/>
        </w:rPr>
        <w:t xml:space="preserve"> until the person unsubscribes; reviewed every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Each year the data protection lead checks that deletion has happened, including copies in email, downloads and devices.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RETENTION PERIODS</w:t>
            </w:r>
          </w:p>
          <w:p>
            <w:pPr>
              <w:spacing w:after="120" w:before="0" w:line="300"/>
            </w:pPr>
            <w:r>
              <w:rPr>
                <w:rFonts w:ascii="Nunito Sans" w:cs="Nunito Sans" w:eastAsia="Nunito Sans" w:hAnsi="Nunito Sans"/>
                <w:color w:val="102E3B"/>
                <w:sz w:val="19"/>
                <w:szCs w:val="19"/>
              </w:rPr>
              <w:t xml:space="preserve">Set real periods with your accountant and your funders' requirements in mind. Tax and accounting laws often require financial records to be kept for several years, and many grant agreements set their own periods. Employment, health and children's records may have legal periods too. Check your local law, record the reason for each period, and do not keep things "just in case".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Data breaches</w:t>
      </w:r>
    </w:p>
    <w:p>
      <w:pPr>
        <w:spacing w:after="120" w:before="0" w:line="300"/>
      </w:pPr>
      <w:r>
        <w:rPr>
          <w:rFonts w:ascii="Nunito Sans" w:cs="Nunito Sans" w:eastAsia="Nunito Sans" w:hAnsi="Nunito Sans"/>
          <w:color w:val="102E3B"/>
          <w:sz w:val="20"/>
          <w:szCs w:val="20"/>
        </w:rPr>
        <w:t xml:space="preserve">A data breach can be as simple as an email to the wrong person, a lost phone, a link anyone can open, or a hacked account. It can also happen at a provider.</w:t>
      </w:r>
    </w:p>
    <w:p>
      <w:pPr>
        <w:spacing w:after="120" w:before="0" w:line="300"/>
      </w:pPr>
      <w:r>
        <w:rPr>
          <w:rFonts w:ascii="Nunito Sans" w:cs="Nunito Sans" w:eastAsia="Nunito Sans" w:hAnsi="Nunito Sans"/>
          <w:b/>
          <w:bCs/>
          <w:color w:val="102E3B"/>
          <w:sz w:val="20"/>
          <w:szCs w:val="20"/>
        </w:rPr>
        <w:t xml:space="preserve">If you suspect a breach, report it immediately</w:t>
      </w:r>
      <w:r>
        <w:rPr>
          <w:rFonts w:ascii="Nunito Sans" w:cs="Nunito Sans" w:eastAsia="Nunito Sans" w:hAnsi="Nunito Sans"/>
          <w:color w:val="102E3B"/>
          <w:sz w:val="20"/>
          <w:szCs w:val="20"/>
        </w:rPr>
        <w:t xml:space="preserve">, and within </w:t>
      </w:r>
      <w:r>
        <w:rPr>
          <w:rFonts w:ascii="Nunito Sans" w:cs="Nunito Sans" w:eastAsia="Nunito Sans" w:hAnsi="Nunito Sans"/>
          <w:color w:val="102E3B"/>
          <w:sz w:val="20"/>
          <w:szCs w:val="20"/>
          <w:highlight w:val="yellow"/>
        </w:rPr>
        <w:t xml:space="preserve">[1 hour]</w:t>
      </w:r>
      <w:r>
        <w:rPr>
          <w:rFonts w:ascii="Nunito Sans" w:cs="Nunito Sans" w:eastAsia="Nunito Sans" w:hAnsi="Nunito Sans"/>
          <w:color w:val="102E3B"/>
          <w:sz w:val="20"/>
          <w:szCs w:val="20"/>
        </w:rPr>
        <w:t xml:space="preserve"> of noticing it at the latest, to the data protection lead at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or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 Do not wait until you are sure. Do not try to investigate alone, and do not delete evidence.</w:t>
      </w:r>
    </w:p>
    <w:p>
      <w:pPr>
        <w:spacing w:after="120" w:before="0" w:line="300"/>
      </w:pPr>
      <w:r>
        <w:rPr>
          <w:rFonts w:ascii="Nunito Sans" w:cs="Nunito Sans" w:eastAsia="Nunito Sans" w:hAnsi="Nunito Sans"/>
          <w:color w:val="102E3B"/>
          <w:sz w:val="20"/>
          <w:szCs w:val="20"/>
        </w:rPr>
        <w:t xml:space="preserve">The data protection lead follows our Data Breach Response Procedure: contain the breach, assess the risk to people, decide whether to notify the regulator and those affected, and record every breach, even those not reported. Under the GDPR, a breach likely to put people at risk must be reported to the regulator within 72 hours of becoming aware of it. Other laws set similar or shorter deadlines (see the country notes). If anyone may be in danger, we follow our Safeguarding Policy and Procedure first.</w:t>
      </w:r>
    </w:p>
    <w:p>
      <w:pPr>
        <w:pStyle w:val="Heading2"/>
        <w:keepNext/>
        <w:spacing w:after="120" w:before="280"/>
      </w:pPr>
      <w:r>
        <w:rPr>
          <w:rFonts w:ascii="DM Serif Display" w:cs="DM Serif Display" w:eastAsia="DM Serif Display" w:hAnsi="DM Serif Display"/>
          <w:color w:val="123C48"/>
          <w:sz w:val="28"/>
          <w:szCs w:val="28"/>
        </w:rPr>
        <w:t xml:space="preserve">14. Privacy by design and impact assessments</w:t>
      </w:r>
    </w:p>
    <w:p>
      <w:pPr>
        <w:spacing w:after="120" w:before="0" w:line="300"/>
      </w:pPr>
      <w:r>
        <w:rPr>
          <w:rFonts w:ascii="Nunito Sans" w:cs="Nunito Sans" w:eastAsia="Nunito Sans" w:hAnsi="Nunito Sans"/>
          <w:color w:val="102E3B"/>
          <w:sz w:val="20"/>
          <w:szCs w:val="20"/>
        </w:rPr>
        <w:t xml:space="preserve">We think about privacy at the start of every new project or system. The data protection lead first does a short screening: what personal information is involved, is it all needed, who will see it, where it is stored and for how long.</w:t>
      </w:r>
    </w:p>
    <w:p>
      <w:pPr>
        <w:spacing w:after="120" w:before="0" w:line="300"/>
      </w:pPr>
      <w:r>
        <w:rPr>
          <w:rFonts w:ascii="Nunito Sans" w:cs="Nunito Sans" w:eastAsia="Nunito Sans" w:hAnsi="Nunito Sans"/>
          <w:color w:val="102E3B"/>
          <w:sz w:val="20"/>
          <w:szCs w:val="20"/>
        </w:rPr>
        <w:t xml:space="preserve">We complete a full Data Protection Impact Assessment before any activity likely to create a high risk to people, for example:</w:t>
      </w:r>
    </w:p>
    <w:p>
      <w:pPr>
        <w:pStyle w:val="ListParagraph"/>
        <w:numPr>
          <w:ilvl w:val="0"/>
          <w:numId w:val="3"/>
        </w:numPr>
        <w:spacing w:after="80" w:line="290"/>
      </w:pPr>
      <w:r>
        <w:rPr>
          <w:rFonts w:ascii="Nunito Sans" w:cs="Nunito Sans" w:eastAsia="Nunito Sans" w:hAnsi="Nunito Sans"/>
          <w:color w:val="102E3B"/>
          <w:sz w:val="20"/>
          <w:szCs w:val="20"/>
        </w:rPr>
        <w:t xml:space="preserve">collecting sensitive information, or information about children or adults at risk, on a large scale;</w:t>
      </w:r>
    </w:p>
    <w:p>
      <w:pPr>
        <w:pStyle w:val="ListParagraph"/>
        <w:numPr>
          <w:ilvl w:val="0"/>
          <w:numId w:val="3"/>
        </w:numPr>
        <w:spacing w:after="80" w:line="290"/>
      </w:pPr>
      <w:r>
        <w:rPr>
          <w:rFonts w:ascii="Nunito Sans" w:cs="Nunito Sans" w:eastAsia="Nunito Sans" w:hAnsi="Nunito Sans"/>
          <w:color w:val="102E3B"/>
          <w:sz w:val="20"/>
          <w:szCs w:val="20"/>
        </w:rPr>
        <w:t xml:space="preserve">using biometrics, such as fingerprints or face scans, for registration or identity checks;</w:t>
      </w:r>
    </w:p>
    <w:p>
      <w:pPr>
        <w:pStyle w:val="ListParagraph"/>
        <w:numPr>
          <w:ilvl w:val="0"/>
          <w:numId w:val="3"/>
        </w:numPr>
        <w:spacing w:after="80" w:line="290"/>
      </w:pPr>
      <w:r>
        <w:rPr>
          <w:rFonts w:ascii="Nunito Sans" w:cs="Nunito Sans" w:eastAsia="Nunito Sans" w:hAnsi="Nunito Sans"/>
          <w:color w:val="102E3B"/>
          <w:sz w:val="20"/>
          <w:szCs w:val="20"/>
        </w:rPr>
        <w:t xml:space="preserve">tracking people's location, or monitoring people systematically;</w:t>
      </w:r>
    </w:p>
    <w:p>
      <w:pPr>
        <w:pStyle w:val="ListParagraph"/>
        <w:numPr>
          <w:ilvl w:val="0"/>
          <w:numId w:val="3"/>
        </w:numPr>
        <w:spacing w:after="80" w:line="290"/>
      </w:pPr>
      <w:r>
        <w:rPr>
          <w:rFonts w:ascii="Nunito Sans" w:cs="Nunito Sans" w:eastAsia="Nunito Sans" w:hAnsi="Nunito Sans"/>
          <w:color w:val="102E3B"/>
          <w:sz w:val="20"/>
          <w:szCs w:val="20"/>
        </w:rPr>
        <w:t xml:space="preserve">using AI or automated tools to assess, score or select people;</w:t>
      </w:r>
    </w:p>
    <w:p>
      <w:pPr>
        <w:pStyle w:val="ListParagraph"/>
        <w:numPr>
          <w:ilvl w:val="0"/>
          <w:numId w:val="3"/>
        </w:numPr>
        <w:spacing w:after="80" w:line="290"/>
      </w:pPr>
      <w:r>
        <w:rPr>
          <w:rFonts w:ascii="Nunito Sans" w:cs="Nunito Sans" w:eastAsia="Nunito Sans" w:hAnsi="Nunito Sans"/>
          <w:color w:val="102E3B"/>
          <w:sz w:val="20"/>
          <w:szCs w:val="20"/>
        </w:rPr>
        <w:t xml:space="preserve">sharing data about vulnerable groups with authorities or new partners.</w:t>
      </w:r>
    </w:p>
    <w:p>
      <w:pPr>
        <w:spacing w:after="120" w:before="0" w:line="30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approves each DPIA. If high risk remains after safeguards, we take advice and, where the law requires, consult the regulator before starting.</w:t>
      </w:r>
    </w:p>
    <w:p>
      <w:pPr>
        <w:pStyle w:val="Heading2"/>
        <w:keepNext/>
        <w:spacing w:after="120" w:before="280"/>
      </w:pPr>
      <w:r>
        <w:rPr>
          <w:rFonts w:ascii="DM Serif Display" w:cs="DM Serif Display" w:eastAsia="DM Serif Display" w:hAnsi="DM Serif Display"/>
          <w:color w:val="123C48"/>
          <w:sz w:val="28"/>
          <w:szCs w:val="28"/>
        </w:rPr>
        <w:t xml:space="preserve">15. AI tools and automated decisions</w:t>
      </w:r>
    </w:p>
    <w:p>
      <w:pPr>
        <w:spacing w:after="120" w:before="0" w:line="300"/>
      </w:pPr>
      <w:r>
        <w:rPr>
          <w:rFonts w:ascii="Nunito Sans" w:cs="Nunito Sans" w:eastAsia="Nunito Sans" w:hAnsi="Nunito Sans"/>
          <w:color w:val="102E3B"/>
          <w:sz w:val="20"/>
          <w:szCs w:val="20"/>
        </w:rPr>
        <w:t xml:space="preserve">Anything typed or uploaded into an AI tool may be stored, reviewed or used to train models.</w:t>
      </w:r>
    </w:p>
    <w:p>
      <w:pPr>
        <w:pStyle w:val="ListParagraph"/>
        <w:numPr>
          <w:ilvl w:val="0"/>
          <w:numId w:val="3"/>
        </w:numPr>
        <w:spacing w:after="80" w:line="290"/>
      </w:pPr>
      <w:r>
        <w:rPr>
          <w:rFonts w:ascii="Nunito Sans" w:cs="Nunito Sans" w:eastAsia="Nunito Sans" w:hAnsi="Nunito Sans"/>
          <w:color w:val="102E3B"/>
          <w:sz w:val="20"/>
          <w:szCs w:val="20"/>
        </w:rPr>
        <w:t xml:space="preserve">Use only AI tools approved in our IT and Information Security Policy, through organisational accounts, with training on our data switched off where possible.</w:t>
      </w:r>
    </w:p>
    <w:p>
      <w:pPr>
        <w:pStyle w:val="ListParagraph"/>
        <w:numPr>
          <w:ilvl w:val="0"/>
          <w:numId w:val="3"/>
        </w:numPr>
        <w:spacing w:after="80" w:line="290"/>
      </w:pPr>
      <w:r>
        <w:rPr>
          <w:rFonts w:ascii="Nunito Sans" w:cs="Nunito Sans" w:eastAsia="Nunito Sans" w:hAnsi="Nunito Sans"/>
          <w:color w:val="102E3B"/>
          <w:sz w:val="20"/>
          <w:szCs w:val="20"/>
        </w:rPr>
        <w:t xml:space="preserve">Never enter personal, safeguarding or confidential information into an AI tool not approved for that purpose.</w:t>
      </w:r>
    </w:p>
    <w:p>
      <w:pPr>
        <w:pStyle w:val="ListParagraph"/>
        <w:numPr>
          <w:ilvl w:val="0"/>
          <w:numId w:val="3"/>
        </w:numPr>
        <w:spacing w:after="80" w:line="290"/>
      </w:pPr>
      <w:r>
        <w:rPr>
          <w:rFonts w:ascii="Nunito Sans" w:cs="Nunito Sans" w:eastAsia="Nunito Sans" w:hAnsi="Nunito Sans"/>
          <w:color w:val="102E3B"/>
          <w:sz w:val="20"/>
          <w:szCs w:val="20"/>
        </w:rPr>
        <w:t xml:space="preserve">Check everything AI produces for accuracy and bias. You remain responsible for your work.</w:t>
      </w:r>
    </w:p>
    <w:p>
      <w:pPr>
        <w:pStyle w:val="ListParagraph"/>
        <w:numPr>
          <w:ilvl w:val="0"/>
          <w:numId w:val="3"/>
        </w:numPr>
        <w:spacing w:after="80" w:line="290"/>
      </w:pPr>
      <w:r>
        <w:rPr>
          <w:rFonts w:ascii="Nunito Sans" w:cs="Nunito Sans" w:eastAsia="Nunito Sans" w:hAnsi="Nunito Sans"/>
          <w:color w:val="102E3B"/>
          <w:sz w:val="20"/>
          <w:szCs w:val="20"/>
        </w:rPr>
        <w:t xml:space="preserve">No significant decision about anyone, such as selection for support or recruitment, is made by automated means alone.</w:t>
      </w:r>
    </w:p>
    <w:p>
      <w:pPr>
        <w:pStyle w:val="ListParagraph"/>
        <w:numPr>
          <w:ilvl w:val="0"/>
          <w:numId w:val="3"/>
        </w:numPr>
        <w:spacing w:after="80" w:line="290"/>
      </w:pPr>
      <w:r>
        <w:rPr>
          <w:rFonts w:ascii="Nunito Sans" w:cs="Nunito Sans" w:eastAsia="Nunito Sans" w:hAnsi="Nunito Sans"/>
          <w:color w:val="102E3B"/>
          <w:sz w:val="20"/>
          <w:szCs w:val="20"/>
        </w:rPr>
        <w:t xml:space="preserve">Any new use of AI that assesses people needs a DPIA first.</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7239"/>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7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w:t>
            </w:r>
            <w:r>
              <w:rPr>
                <w:rFonts w:ascii="Nunito Sans" w:cs="Nunito Sans" w:eastAsia="Nunito Sans" w:hAnsi="Nunito Sans"/>
                <w:color w:val="102E3B"/>
                <w:sz w:val="18"/>
                <w:szCs w:val="18"/>
                <w:highlight w:val="yellow"/>
              </w:rPr>
              <w:t xml:space="preserve">[trustees / directors]</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Receives a yearly report on data protection, and reports of any serious breach.</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lead, </w:t>
            </w:r>
            <w:r>
              <w:rPr>
                <w:rFonts w:ascii="Nunito Sans" w:cs="Nunito Sans" w:eastAsia="Nunito Sans" w:hAnsi="Nunito Sans"/>
                <w:color w:val="102E3B"/>
                <w:sz w:val="18"/>
                <w:szCs w:val="18"/>
                <w:highlight w:val="yellow"/>
              </w:rPr>
              <w:t xml:space="preserve">[Name]</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Owns this policy and its annexes. Screens new activities and approves DPIAs. Handles rights requests and breaches. Contact point for the regulator and individuals.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 </w:t>
            </w:r>
            <w:r>
              <w:rPr>
                <w:rFonts w:ascii="Nunito Sans" w:cs="Nunito Sans" w:eastAsia="Nunito Sans" w:hAnsi="Nunito Sans"/>
                <w:color w:val="102E3B"/>
                <w:sz w:val="18"/>
                <w:szCs w:val="18"/>
                <w:highlight w:val="yellow"/>
              </w:rPr>
              <w:t xml:space="preserve">[Name]</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Covers urgent breaches and requests when the lead is unavailable, and handles anything involving the lead.</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Managers and project leads</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Apply this policy in their projects, keep Annex A up to date and make sure their team is trained.</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uses personal information only for their task, keeps it secure, reports suspected breaches at once, and passes on concerns and rights requests within </w:t>
            </w:r>
            <w:r>
              <w:rPr>
                <w:rFonts w:ascii="Nunito Sans" w:cs="Nunito Sans" w:eastAsia="Nunito Sans" w:hAnsi="Nunito Sans"/>
                <w:color w:val="102E3B"/>
                <w:sz w:val="18"/>
                <w:szCs w:val="18"/>
                <w:highlight w:val="yellow"/>
              </w:rPr>
              <w:t xml:space="preserve">[1 working day]</w:t>
            </w:r>
            <w:r>
              <w:rPr>
                <w:rFonts w:ascii="Nunito Sans" w:cs="Nunito Sans" w:eastAsia="Nunito Sans" w:hAnsi="Nunito Sans"/>
                <w:color w:val="102E3B"/>
                <w:sz w:val="18"/>
                <w:szCs w:val="18"/>
              </w:rPr>
              <w:t xml:space="preserv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 Data protection officer</w:t>
      </w:r>
    </w:p>
    <w:p>
      <w:pPr>
        <w:spacing w:after="120" w:before="0" w:line="300"/>
      </w:pPr>
      <w:r>
        <w:rPr>
          <w:rFonts w:ascii="Nunito Sans" w:cs="Nunito Sans" w:eastAsia="Nunito Sans" w:hAnsi="Nunito Sans"/>
          <w:color w:val="102E3B"/>
          <w:sz w:val="20"/>
          <w:szCs w:val="20"/>
        </w:rPr>
        <w:t xml:space="preserve">A data protection officer (DPO) is a formal role with legal duties and independence. Laws usually require one only in some cases, such as large-scale processing of sensitive information or large-scale monitoring of people.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[has not appointed a DPO because the law does not require one / has appointed Name or provider as DPO]</w:t>
      </w:r>
      <w:r>
        <w:rPr>
          <w:rFonts w:ascii="Nunito Sans" w:cs="Nunito Sans" w:eastAsia="Nunito Sans" w:hAnsi="Nunito Sans"/>
          <w:color w:val="102E3B"/>
          <w:sz w:val="20"/>
          <w:szCs w:val="20"/>
        </w:rPr>
        <w:t xml:space="preserve">. The data protection lead checks once a year whether this has changed, and records the answer.</w:t>
      </w:r>
    </w:p>
    <w:p>
      <w:pPr>
        <w:pStyle w:val="Heading2"/>
        <w:keepNext/>
        <w:spacing w:after="120" w:before="280"/>
      </w:pPr>
      <w:r>
        <w:rPr>
          <w:rFonts w:ascii="DM Serif Display" w:cs="DM Serif Display" w:eastAsia="DM Serif Display" w:hAnsi="DM Serif Display"/>
          <w:color w:val="123C48"/>
          <w:sz w:val="28"/>
          <w:szCs w:val="28"/>
        </w:rPr>
        <w:t xml:space="preserve">2. Registration with the regulator</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[is registered with the regulator, number and renewal date / has checked and is not required to register]</w:t>
      </w:r>
      <w:r>
        <w:rPr>
          <w:rFonts w:ascii="Nunito Sans" w:cs="Nunito Sans" w:eastAsia="Nunito Sans" w:hAnsi="Nunito Sans"/>
          <w:color w:val="102E3B"/>
          <w:sz w:val="20"/>
          <w:szCs w:val="20"/>
        </w:rPr>
        <w:t xml:space="preserve">. The data protection lead checks this each year and when we start working in a new country.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 OFFICER AND REGISTRATION</w:t>
            </w:r>
          </w:p>
          <w:p>
            <w:pPr>
              <w:spacing w:after="120" w:before="0" w:line="300"/>
            </w:pPr>
            <w:r>
              <w:rPr>
                <w:rFonts w:ascii="Nunito Sans" w:cs="Nunito Sans" w:eastAsia="Nunito Sans" w:hAnsi="Nunito Sans"/>
                <w:color w:val="102E3B"/>
                <w:sz w:val="19"/>
                <w:szCs w:val="19"/>
              </w:rPr>
              <w:t xml:space="preserve">Check carefully whether your law requires a DPO or registration; the country notes above give a starting point. Under the GDPR, many small NGOs do not need a DPO but still need a lead. Brazil requires an encarregado, with relief for small organisations, and South Africa requires a registered information officer. Some countries require controllers or databases to be registered, for example Kenya (subject to thresholds and sector rules), Peru and Argentina; Ghana and Uganda have registration duties too. Check the regulator's website for current thresholds, forms and fees, and set a reminder for renewals.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Training and awareness</w:t>
      </w:r>
    </w:p>
    <w:p>
      <w:pPr>
        <w:spacing w:after="120" w:before="0" w:line="300"/>
      </w:pPr>
      <w:r>
        <w:rPr>
          <w:rFonts w:ascii="Nunito Sans" w:cs="Nunito Sans" w:eastAsia="Nunito Sans" w:hAnsi="Nunito Sans"/>
          <w:color w:val="102E3B"/>
          <w:sz w:val="20"/>
          <w:szCs w:val="20"/>
        </w:rPr>
        <w:t xml:space="preserve">Everyone who handles personal information completes a short data protection briefing within </w:t>
      </w:r>
      <w:r>
        <w:rPr>
          <w:rFonts w:ascii="Nunito Sans" w:cs="Nunito Sans" w:eastAsia="Nunito Sans" w:hAnsi="Nunito Sans"/>
          <w:color w:val="102E3B"/>
          <w:sz w:val="20"/>
          <w:szCs w:val="20"/>
          <w:highlight w:val="yellow"/>
        </w:rPr>
        <w:t xml:space="preserve">[their first two weeks]</w:t>
      </w:r>
      <w:r>
        <w:rPr>
          <w:rFonts w:ascii="Nunito Sans" w:cs="Nunito Sans" w:eastAsia="Nunito Sans" w:hAnsi="Nunito Sans"/>
          <w:color w:val="102E3B"/>
          <w:sz w:val="20"/>
          <w:szCs w:val="20"/>
        </w:rPr>
        <w:t xml:space="preserve">: this policy, security basics and how to report a breach. Staff who collect information from the people we serve also learn how to explain privacy, take consent and keep field data safe. Everyone has a refresher each year, and after any significant breach. The data protection lead records who was trained and when.</w:t>
      </w: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The data protection lead keeps the data inventory, processor list, legitimate interests notes, DPIAs, consent records, request and breach logs and training records securely; only the lead and deputy can access them. Everyone who handles personal information for us keeps it confidential, during and after their time with us.</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Misusing personal information, ignoring security rules or failing to report a breach can cause real harm. We may give guidance or training, remove access, or act under our disciplinary procedure, up to dismissal or ending a contract or volunteer role. Deliberate misuse can also be a criminal offence in some countries.</w:t>
      </w:r>
    </w:p>
    <w:p>
      <w:pPr>
        <w:spacing w:after="120" w:before="0" w:line="300"/>
      </w:pPr>
      <w:r>
        <w:rPr>
          <w:rFonts w:ascii="Nunito Sans" w:cs="Nunito Sans" w:eastAsia="Nunito Sans" w:hAnsi="Nunito Sans"/>
          <w:color w:val="102E3B"/>
          <w:sz w:val="20"/>
          <w:szCs w:val="20"/>
        </w:rPr>
        <w:t xml:space="preserve">You can raise concerns about how personal information is handled with the data protection lead, the deputy, or through our Whistleblowing Policy and Procedure. Nobody is penalised for raising a genuine concern.</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data protection lead reviews this policy and its annexes every year, and sooner after a serious breach, a new activity, system or provider, or a change in the law. Each year the lead reports to the board on requests, breaches and lessons learned, DPIAs, training, and any change in registration or DPO duties.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Privacy Notice</w:t>
      </w:r>
    </w:p>
    <w:p>
      <w:pPr>
        <w:pStyle w:val="ListParagraph"/>
        <w:numPr>
          <w:ilvl w:val="0"/>
          <w:numId w:val="3"/>
        </w:numPr>
        <w:spacing w:after="80" w:line="290"/>
      </w:pPr>
      <w:r>
        <w:rPr>
          <w:rFonts w:ascii="Nunito Sans" w:cs="Nunito Sans" w:eastAsia="Nunito Sans" w:hAnsi="Nunito Sans"/>
          <w:color w:val="102E3B"/>
          <w:sz w:val="20"/>
          <w:szCs w:val="20"/>
        </w:rPr>
        <w:t xml:space="preserve">Cookie Policy</w:t>
      </w:r>
    </w:p>
    <w:p>
      <w:pPr>
        <w:pStyle w:val="ListParagraph"/>
        <w:numPr>
          <w:ilvl w:val="0"/>
          <w:numId w:val="3"/>
        </w:numPr>
        <w:spacing w:after="80" w:line="290"/>
      </w:pPr>
      <w:r>
        <w:rPr>
          <w:rFonts w:ascii="Nunito Sans" w:cs="Nunito Sans" w:eastAsia="Nunito Sans" w:hAnsi="Nunito Sans"/>
          <w:color w:val="102E3B"/>
          <w:sz w:val="20"/>
          <w:szCs w:val="20"/>
        </w:rPr>
        <w:t xml:space="preserve">IT and Information Security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Rights Request Procedure</w:t>
      </w:r>
    </w:p>
    <w:p>
      <w:pPr>
        <w:pStyle w:val="ListParagraph"/>
        <w:numPr>
          <w:ilvl w:val="0"/>
          <w:numId w:val="3"/>
        </w:numPr>
        <w:spacing w:after="80" w:line="290"/>
      </w:pPr>
      <w:r>
        <w:rPr>
          <w:rFonts w:ascii="Nunito Sans" w:cs="Nunito Sans" w:eastAsia="Nunito Sans" w:hAnsi="Nunito Sans"/>
          <w:color w:val="102E3B"/>
          <w:sz w:val="20"/>
          <w:szCs w:val="20"/>
        </w:rPr>
        <w:t xml:space="preserve">Data Breach Response Procedure</w:t>
      </w:r>
    </w:p>
    <w:p>
      <w:pPr>
        <w:pStyle w:val="ListParagraph"/>
        <w:numPr>
          <w:ilvl w:val="0"/>
          <w:numId w:val="3"/>
        </w:numPr>
        <w:spacing w:after="80" w:line="290"/>
      </w:pPr>
      <w:r>
        <w:rPr>
          <w:rFonts w:ascii="Nunito Sans" w:cs="Nunito Sans" w:eastAsia="Nunito Sans" w:hAnsi="Nunito Sans"/>
          <w:color w:val="102E3B"/>
          <w:sz w:val="20"/>
          <w:szCs w:val="20"/>
        </w:rPr>
        <w:t xml:space="preserve">Data Sharing Agreement</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Impact Assessment</w:t>
      </w:r>
    </w:p>
    <w:p>
      <w:pPr>
        <w:pStyle w:val="ListParagraph"/>
        <w:numPr>
          <w:ilvl w:val="0"/>
          <w:numId w:val="3"/>
        </w:numPr>
        <w:spacing w:after="80" w:line="290"/>
      </w:pPr>
      <w:r>
        <w:rPr>
          <w:rFonts w:ascii="Nunito Sans" w:cs="Nunito Sans" w:eastAsia="Nunito Sans" w:hAnsi="Nunito Sans"/>
          <w:color w:val="102E3B"/>
          <w:sz w:val="20"/>
          <w:szCs w:val="20"/>
        </w:rPr>
        <w:t xml:space="preserve">Information Sharing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Photo and Story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who handles personal information for us confirms this policy when they join and after significant changes.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Data Protection Policy and I have had the chance to ask questions about it. I will use personal information only for my tasks, keep it secure and confidential, and report any suspected data breach immediately. I understand that misusing personal information can lead to the end of my role with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Data inventory</w:t>
      </w:r>
    </w:p>
    <w:p>
      <w:pPr>
        <w:spacing w:after="120" w:before="0" w:line="300"/>
      </w:pPr>
      <w:r>
        <w:rPr>
          <w:rFonts w:ascii="Nunito Sans" w:cs="Nunito Sans" w:eastAsia="Nunito Sans" w:hAnsi="Nunito Sans"/>
          <w:color w:val="102E3B"/>
          <w:sz w:val="20"/>
          <w:szCs w:val="20"/>
        </w:rPr>
        <w:t xml:space="preserve">The data inventory, also called a record of processing, lists each activity that uses personal information. We use it to write the Privacy Notice, answer rights requests, assess breaches and set retention periods. The rows below are </w:t>
      </w:r>
      <w:r>
        <w:rPr>
          <w:rFonts w:ascii="Nunito Sans" w:cs="Nunito Sans" w:eastAsia="Nunito Sans" w:hAnsi="Nunito Sans"/>
          <w:b/>
          <w:bCs/>
          <w:color w:val="102E3B"/>
          <w:sz w:val="20"/>
          <w:szCs w:val="20"/>
        </w:rPr>
        <w:t xml:space="preserve">examples</w:t>
      </w:r>
      <w:r>
        <w:rPr>
          <w:rFonts w:ascii="Nunito Sans" w:cs="Nunito Sans" w:eastAsia="Nunito Sans" w:hAnsi="Nunito Sans"/>
          <w:color w:val="102E3B"/>
          <w:sz w:val="20"/>
          <w:szCs w:val="20"/>
        </w:rPr>
        <w:t xml:space="preserve">. Replace them with your own activities.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476"/>
        <w:gridCol w:w="1523"/>
        <w:gridCol w:w="1714"/>
        <w:gridCol w:w="1907"/>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ACTIVITY</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PERSONAL INFORMATION</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PEOPLE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LAWFUL REASON</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RETENTION AND WHO CAN SEE IT</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programme registration</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age range, village, phone, household size</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[Contract / legitimate interests / consent]</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after the programme ends; programme team</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case management</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Case notes, health or protection details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Participants at risk</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Explicit consent or another condition in law</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after closure; case worker and lead only</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photos and stories</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Photos, quotes, first name, location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Participants, community members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 recorded on our Photo and Story Consent Form</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Until consent is withdrawn or </w:t>
            </w: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communications team</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payroll and HR</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 bank details, salary, tax number, emergency contact, sick leave</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Contract; legal obligation</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after leaving; </w:t>
            </w:r>
            <w:r>
              <w:rPr>
                <w:rFonts w:ascii="Nunito Sans" w:cs="Nunito Sans" w:eastAsia="Nunito Sans" w:hAnsi="Nunito Sans"/>
                <w:color w:val="102E3B"/>
                <w:sz w:val="18"/>
                <w:szCs w:val="18"/>
                <w:highlight w:val="yellow"/>
              </w:rPr>
              <w:t xml:space="preserve">[Name, role]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donations</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contact details, donation history, tax receipts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Donors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Contract; legal obligation for tax records</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finance and fundraising</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website analytics</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Device data, cookie IDs, approximate location</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Website visitors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 through the cookie banner</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out in our Cookie Policy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HOW TO COMPLETE THE INVENTORY</w:t>
            </w:r>
          </w:p>
          <w:p>
            <w:pPr>
              <w:spacing w:after="120" w:before="0" w:line="300"/>
            </w:pPr>
            <w:r>
              <w:rPr>
                <w:rFonts w:ascii="Nunito Sans" w:cs="Nunito Sans" w:eastAsia="Nunito Sans" w:hAnsi="Nunito Sans"/>
                <w:color w:val="102E3B"/>
                <w:sz w:val="19"/>
                <w:szCs w:val="19"/>
              </w:rPr>
              <w:t xml:space="preserve">Spend 30 minutes with your team listing every form, spreadsheet, app, folder and notebook that holds personal details. Add one row per activity. If you need more columns, such as storage location, transfers abroad or DPIA status, keep the inventory in a spreadsheet. Update it whenever you start a new activity or tool.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Processors and cloud services</w:t>
      </w:r>
    </w:p>
    <w:p>
      <w:pPr>
        <w:spacing w:after="120" w:before="0" w:line="300"/>
      </w:pPr>
      <w:r>
        <w:rPr>
          <w:rFonts w:ascii="Nunito Sans" w:cs="Nunito Sans" w:eastAsia="Nunito Sans" w:hAnsi="Nunito Sans"/>
          <w:color w:val="102E3B"/>
          <w:sz w:val="20"/>
          <w:szCs w:val="20"/>
        </w:rPr>
        <w:t xml:space="preserve">The rows are </w:t>
      </w:r>
      <w:r>
        <w:rPr>
          <w:rFonts w:ascii="Nunito Sans" w:cs="Nunito Sans" w:eastAsia="Nunito Sans" w:hAnsi="Nunito Sans"/>
          <w:b/>
          <w:bCs/>
          <w:color w:val="102E3B"/>
          <w:sz w:val="20"/>
          <w:szCs w:val="20"/>
        </w:rPr>
        <w:t xml:space="preserve">examples</w:t>
      </w:r>
      <w:r>
        <w:rPr>
          <w:rFonts w:ascii="Nunito Sans" w:cs="Nunito Sans" w:eastAsia="Nunito Sans" w:hAnsi="Nunito Sans"/>
          <w:color w:val="102E3B"/>
          <w:sz w:val="20"/>
          <w:szCs w:val="20"/>
        </w:rPr>
        <w:t xml:space="preserve">. List every provider that holds personal information for us.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285"/>
        <w:gridCol w:w="1714"/>
        <w:gridCol w:w="2095"/>
        <w:gridCol w:w="1526"/>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PROVIDER</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IT DOES FOR US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WHERE DATA IS STORED</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AGREEMENT AND TRANSFER SAFEGUARD</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LAST REVIEWED</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[email and cloud drive provider]</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documents, calendars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[Country or region]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Provider's data processing terms; </w:t>
            </w:r>
            <w:r>
              <w:rPr>
                <w:rFonts w:ascii="Nunito Sans" w:cs="Nunito Sans" w:eastAsia="Nunito Sans" w:hAnsi="Nunito Sans"/>
                <w:color w:val="102E3B"/>
                <w:sz w:val="18"/>
                <w:szCs w:val="18"/>
                <w:highlight w:val="yellow"/>
              </w:rPr>
              <w:t xml:space="preserve">[adequacy / standard contractual clauses]</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[survey or data collection tool]</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Registration and monitoring forms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[Country or region]</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[Data processing agreement signed on date]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[messaging app]</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Team communication; no participant case information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[Country or region]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[Provider's terms]</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Data Protection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646397B9-8C35-1FC1-43EA-D57180FB321B}"/>
  </w:font>
  <w:font w:name="DM Serif Display">
    <w:family w:val="auto"/>
    <w:pitch w:val="variable"/>
    <w:sig w:usb0="E0002AFF" w:usb1="C000247B" w:usb2="00000009" w:usb3="00000000" w:csb0="000001FF" w:csb1="00000000"/>
    <w:embedRegular r:id="rId2" w:fontKey="{0DBE86F8-A7D6-A5ED-8181-FF759F3DB09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Data Protection Policy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DATA PROTECTION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Policy</dc:title>
  <dc:creator>Method into Impact</dc:creator>
  <dc:description>How [[Organisation name]] collects, uses, shares, protects and deletes personal information about the people we serve, our team and our supporters.</dc:description>
  <cp:lastModifiedBy>Un-named</cp:lastModifiedBy>
  <cp:revision>1</cp:revision>
  <dcterms:created xsi:type="dcterms:W3CDTF">2026-10-29T00:41:21.156Z</dcterms:created>
  <dcterms:modified xsi:type="dcterms:W3CDTF">2026-10-29T00:41:21.156Z</dcterms:modified>
</cp:coreProperties>
</file>

<file path=docProps/custom.xml><?xml version="1.0" encoding="utf-8"?>
<Properties xmlns="http://schemas.openxmlformats.org/officeDocument/2006/custom-properties" xmlns:vt="http://schemas.openxmlformats.org/officeDocument/2006/docPropsVTypes"/>
</file>