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INCIDENTS AND RISK</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Incident Reporting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everyone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when something goes wrong: keep people safe, report it quickly to the right person, tell the authorities and funders on time, and learn from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incident procedure makes sure that when something goes wrong, people act safely and fast, the right people know, and outside reporting deadlines are not missed. Funders, regulators and insurers often set short deadlines, sometimes 24 to 72 hours, and missing them can cost you a grant, a fine or an insurance claim. This template gives a simple severity scale, clear time limits and a report form a small team can actually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grant agreements; charity or NGO regulators; insurers; your board; auditors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1 hour to agree with your board and test with a practice scenario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Data Breach Response Procedure · Whistleblowing Policy and Procedure · Complaints and Feedback Procedure · Travel Safety and Duty of Care Policy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Incident Reporting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delivering work with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[incidents@yourorganisation.org]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[emergency phone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Close and learn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Severity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Make people safe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and 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Report it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and escalate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Incident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External notifications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Incident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Respond and investigate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incident lead.</w:t>
            </w:r>
            <w:r>
              <w:rPr>
                <w:rFonts w:ascii="Nunito Sans" w:cs="Nunito Sans" w:eastAsia="Nunito Sans" w:hAnsi="Nunito Sans"/>
                <w:color w:val="102E3B"/>
                <w:sz w:val="19"/>
                <w:szCs w:val="19"/>
              </w:rPr>
              <w:t xml:space="preserve"> They receive reports, set the severity level, coordinate the response, make external notifications and keep the incident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incident lead.</w:t>
            </w:r>
            <w:r>
              <w:rPr>
                <w:rFonts w:ascii="Nunito Sans" w:cs="Nunito Sans" w:eastAsia="Nunito Sans" w:hAnsi="Nunito Sans"/>
                <w:color w:val="102E3B"/>
                <w:sz w:val="19"/>
                <w:szCs w:val="19"/>
              </w:rPr>
              <w:t xml:space="preserve"> They act when the incident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high or critical incident, and handle any incident that involves the incident lead.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chair of our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is told of every high and critical incident.</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high or critical incident, and when our activities, funders or countries of work change.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founder or director is usually the incident lead. The deputy should be someone who does not report to the incident lead, such as a board member, so that an incident involving the lead still has somewhere to go. Safeguarding incidents are led by the safeguarding lead; this can be the same person, but say so. If you have no board yet, name an external adviser who agrees to be called for serious incidents. Give a phone number answered out of hours if you run evening or field activities.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 incident is any event that has harmed, or could harm, people, money, information or our reputation. Near misses count too.</w:t>
            </w:r>
          </w:p>
          <w:p>
            <w:pPr>
              <w:pStyle w:val="ListParagraph"/>
              <w:numPr>
                <w:ilvl w:val="0"/>
                <w:numId w:val="3"/>
              </w:numPr>
              <w:spacing w:after="80" w:line="290"/>
            </w:pPr>
            <w:r>
              <w:rPr>
                <w:rFonts w:ascii="Nunito Sans" w:cs="Nunito Sans" w:eastAsia="Nunito Sans" w:hAnsi="Nunito Sans"/>
                <w:color w:val="102E3B"/>
                <w:sz w:val="19"/>
                <w:szCs w:val="19"/>
              </w:rPr>
              <w:t xml:space="preserve">Safety first: if anyone is in danger, call emergency services on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before anything else.</w:t>
            </w:r>
          </w:p>
          <w:p>
            <w:pPr>
              <w:pStyle w:val="ListParagraph"/>
              <w:numPr>
                <w:ilvl w:val="0"/>
                <w:numId w:val="3"/>
              </w:numPr>
              <w:spacing w:after="80" w:line="290"/>
            </w:pPr>
            <w:r>
              <w:rPr>
                <w:rFonts w:ascii="Nunito Sans" w:cs="Nunito Sans" w:eastAsia="Nunito Sans" w:hAnsi="Nunito Sans"/>
                <w:color w:val="102E3B"/>
                <w:sz w:val="19"/>
                <w:szCs w:val="19"/>
              </w:rPr>
              <w:t xml:space="preserve">Report every incident to the incident lead </w:t>
            </w:r>
            <w:r>
              <w:rPr>
                <w:rFonts w:ascii="Nunito Sans" w:cs="Nunito Sans" w:eastAsia="Nunito Sans" w:hAnsi="Nunito Sans"/>
                <w:b/>
                <w:bCs/>
                <w:color w:val="102E3B"/>
                <w:sz w:val="19"/>
                <w:szCs w:val="19"/>
              </w:rPr>
              <w:t xml:space="preserve">within </w:t>
            </w:r>
            <w:r>
              <w:rPr>
                <w:rFonts w:ascii="Nunito Sans" w:cs="Nunito Sans" w:eastAsia="Nunito Sans" w:hAnsi="Nunito Sans"/>
                <w:b/>
                <w:bCs/>
                <w:color w:val="102E3B"/>
                <w:sz w:val="19"/>
                <w:szCs w:val="19"/>
                <w:highlight w:val="yellow"/>
              </w:rPr>
              <w:t xml:space="preserve">[24 hours]</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rPr>
              <w:t xml:space="preserve">immediately</w:t>
            </w:r>
            <w:r>
              <w:rPr>
                <w:rFonts w:ascii="Nunito Sans" w:cs="Nunito Sans" w:eastAsia="Nunito Sans" w:hAnsi="Nunito Sans"/>
                <w:color w:val="102E3B"/>
                <w:sz w:val="19"/>
                <w:szCs w:val="19"/>
              </w:rPr>
              <w:t xml:space="preserve"> if it is high or critical. Safeguarding concerns go to the safeguarding lead. You do not need all the facts.</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sets the severity level: low, medium, high or critical.</w:t>
            </w:r>
          </w:p>
          <w:p>
            <w:pPr>
              <w:pStyle w:val="ListParagraph"/>
              <w:numPr>
                <w:ilvl w:val="0"/>
                <w:numId w:val="3"/>
              </w:numPr>
              <w:spacing w:after="80" w:line="290"/>
            </w:pPr>
            <w:r>
              <w:rPr>
                <w:rFonts w:ascii="Nunito Sans" w:cs="Nunito Sans" w:eastAsia="Nunito Sans" w:hAnsi="Nunito Sans"/>
                <w:color w:val="102E3B"/>
                <w:sz w:val="19"/>
                <w:szCs w:val="19"/>
              </w:rPr>
              <w:t xml:space="preserve">High and critical incidents go to the director and the board chair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makes external reports on time: police, regulators, the data protection authority (often within 72 hours), funders (often within 24 to 72 hours) and insurers.</w:t>
            </w:r>
          </w:p>
          <w:p>
            <w:pPr>
              <w:pStyle w:val="ListParagraph"/>
              <w:numPr>
                <w:ilvl w:val="0"/>
                <w:numId w:val="3"/>
              </w:numPr>
              <w:spacing w:after="80" w:line="290"/>
            </w:pPr>
            <w:r>
              <w:rPr>
                <w:rFonts w:ascii="Nunito Sans" w:cs="Nunito Sans" w:eastAsia="Nunito Sans" w:hAnsi="Nunito Sans"/>
                <w:color w:val="102E3B"/>
                <w:sz w:val="19"/>
                <w:szCs w:val="19"/>
              </w:rPr>
              <w:t xml:space="preserve">Records are confidential. Every incident is closed with a short learning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what to do when an incident happens in connection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at work, at our activities, when travelling for us, and online.</w:t>
      </w:r>
    </w:p>
    <w:p>
      <w:pPr>
        <w:spacing w:after="120" w:before="0" w:line="300"/>
      </w:pPr>
      <w:r>
        <w:rPr>
          <w:rFonts w:ascii="Nunito Sans" w:cs="Nunito Sans" w:eastAsia="Nunito Sans" w:hAnsi="Nunito Sans"/>
          <w:color w:val="102E3B"/>
          <w:sz w:val="20"/>
          <w:szCs w:val="20"/>
        </w:rPr>
        <w:t xml:space="preserve">An </w:t>
      </w:r>
      <w:r>
        <w:rPr>
          <w:rFonts w:ascii="Nunito Sans" w:cs="Nunito Sans" w:eastAsia="Nunito Sans" w:hAnsi="Nunito Sans"/>
          <w:b/>
          <w:bCs/>
          <w:color w:val="102E3B"/>
          <w:sz w:val="20"/>
          <w:szCs w:val="20"/>
        </w:rPr>
        <w:t xml:space="preserve">incident</w:t>
      </w:r>
      <w:r>
        <w:rPr>
          <w:rFonts w:ascii="Nunito Sans" w:cs="Nunito Sans" w:eastAsia="Nunito Sans" w:hAnsi="Nunito Sans"/>
          <w:color w:val="102E3B"/>
          <w:sz w:val="20"/>
          <w:szCs w:val="20"/>
        </w:rPr>
        <w:t xml:space="preserve"> is an event that has caused, or could cause, harm to people, money, property, personal information or our reputation. 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could have caused harm but did not. Report near misses too: they show us where to improve.</w:t>
      </w:r>
    </w:p>
    <w:p>
      <w:pPr>
        <w:spacing w:after="120" w:before="0" w:line="300"/>
      </w:pPr>
      <w:r>
        <w:rPr>
          <w:rFonts w:ascii="Nunito Sans" w:cs="Nunito Sans" w:eastAsia="Nunito Sans" w:hAnsi="Nunito Sans"/>
          <w:color w:val="102E3B"/>
          <w:sz w:val="20"/>
          <w:szCs w:val="20"/>
        </w:rPr>
        <w:t xml:space="preserve">Some incidents are then investigated under their own policy:</w:t>
      </w:r>
    </w:p>
    <w:p>
      <w:pPr>
        <w:pStyle w:val="ListParagraph"/>
        <w:numPr>
          <w:ilvl w:val="0"/>
          <w:numId w:val="3"/>
        </w:numPr>
        <w:spacing w:after="80" w:line="290"/>
      </w:pPr>
      <w:r>
        <w:rPr>
          <w:rFonts w:ascii="Nunito Sans" w:cs="Nunito Sans" w:eastAsia="Nunito Sans" w:hAnsi="Nunito Sans"/>
          <w:color w:val="102E3B"/>
          <w:sz w:val="20"/>
          <w:szCs w:val="20"/>
        </w:rPr>
        <w:t xml:space="preserve">harm, abuse or exploitation: 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theft, bribery or corruption: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lost, stolen or wrongly shared personal data: 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from the people we serve, supporters or the public: Complaints and Feedback Procedure.</w:t>
      </w:r>
    </w:p>
    <w:p>
      <w:pPr>
        <w:spacing w:after="120" w:before="0" w:line="300"/>
      </w:pPr>
      <w:r>
        <w:rPr>
          <w:rFonts w:ascii="Nunito Sans" w:cs="Nunito Sans" w:eastAsia="Nunito Sans" w:hAnsi="Nunito Sans"/>
          <w:color w:val="102E3B"/>
          <w:sz w:val="20"/>
          <w:szCs w:val="20"/>
        </w:rPr>
        <w:t xml:space="preserve">If you are not sure which applies, report under this procedure. The incident lead will route it. You can also raise a concern confidentially under our Whistleblowing Policy and Procedure.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any other country where we work. Where a funder's or partner's rules are stricter than this procedure, the stricter rule applies to their project.</w:t>
      </w:r>
    </w:p>
    <w:p>
      <w:pPr>
        <w:pStyle w:val="Heading1"/>
        <w:keepNext/>
        <w:spacing w:after="160" w:before="360"/>
      </w:pPr>
      <w:r>
        <w:rPr>
          <w:rFonts w:ascii="DM Serif Display" w:cs="DM Serif Display" w:eastAsia="DM Serif Display" w:hAnsi="DM Serif Display"/>
          <w:color w:val="123C48"/>
          <w:sz w:val="40"/>
          <w:szCs w:val="40"/>
        </w:rPr>
        <w:t xml:space="preserve">Severity levels</w:t>
      </w:r>
    </w:p>
    <w:p>
      <w:pPr>
        <w:spacing w:after="120" w:before="0" w:line="300"/>
      </w:pPr>
      <w:r>
        <w:rPr>
          <w:rFonts w:ascii="Nunito Sans" w:cs="Nunito Sans" w:eastAsia="Nunito Sans" w:hAnsi="Nunito Sans"/>
          <w:color w:val="102E3B"/>
          <w:sz w:val="20"/>
          <w:szCs w:val="20"/>
        </w:rPr>
        <w:t xml:space="preserve">The incident lead sets the level on receiving a report. If unsure, choose the higher level: it can go down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571"/>
        <w:gridCol w:w="3428"/>
        <w:gridCol w:w="2287"/>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IS TOLD, AND WHEN</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Low</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harm or a near miss. No lasting effect.</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minor cut at an activity; a small payment error, found and fixed; a rude comment on social media.</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Logged.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Medium</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harm or loss, or a clear risk of more. Needs a planned response.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injury needing medical treatment; theft of equipment; an email with personal data sent to the wrong person; a formal complaint about a staff member.</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Director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High</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or loss, or serious risk to people, funds or our reputation. May need outside reporting.</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safeguarding concern; an allegation of sexual exploitation, abuse or harassment; suspected fraud over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 data breach affecting the people we serve; a serious injury; a threat against staff; a serious complaint from a community; negative media coverage.</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(safeguarding lead for safeguarding)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Director and board chair the </w:t>
            </w:r>
            <w:r>
              <w:rPr>
                <w:rFonts w:ascii="Nunito Sans" w:cs="Nunito Sans" w:eastAsia="Nunito Sans" w:hAnsi="Nunito Sans"/>
                <w:b/>
                <w:bCs/>
                <w:color w:val="102E3B"/>
                <w:sz w:val="18"/>
                <w:szCs w:val="18"/>
              </w:rPr>
              <w:t xml:space="preserve">same day</w:t>
            </w:r>
            <w:r>
              <w:rPr>
                <w:rFonts w:ascii="Nunito Sans" w:cs="Nunito Sans" w:eastAsia="Nunito Sans" w:hAnsi="Nunito Sans"/>
                <w:color w:val="102E3B"/>
                <w:sz w:val="18"/>
                <w:szCs w:val="18"/>
              </w:rPr>
              <w:t xml:space="preserve">, unless involved.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Critical</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Life-threatening, or a threat to our ability to operate.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death; kidnapping, arrest or detention of anyone working for us; a sexual assault; large-scale fraud; a serious breach of sensitive data; a ban on our work; a national media crisis.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by phone. Director and board chair </w:t>
            </w:r>
            <w:r>
              <w:rPr>
                <w:rFonts w:ascii="Nunito Sans" w:cs="Nunito Sans" w:eastAsia="Nunito Sans" w:hAnsi="Nunito Sans"/>
                <w:b/>
                <w:bCs/>
                <w:color w:val="102E3B"/>
                <w:sz w:val="18"/>
                <w:szCs w:val="18"/>
              </w:rPr>
              <w:t xml:space="preserve">within </w:t>
            </w:r>
            <w:r>
              <w:rPr>
                <w:rFonts w:ascii="Nunito Sans" w:cs="Nunito Sans" w:eastAsia="Nunito Sans" w:hAnsi="Nunito Sans"/>
                <w:b/>
                <w:bCs/>
                <w:color w:val="102E3B"/>
                <w:sz w:val="18"/>
                <w:szCs w:val="18"/>
                <w:highlight w:val="yellow"/>
              </w:rPr>
              <w:t xml:space="preserve">[2 hours]</w:t>
            </w:r>
            <w:r>
              <w:rPr>
                <w:rFonts w:ascii="Nunito Sans" w:cs="Nunito Sans" w:eastAsia="Nunito Sans" w:hAnsi="Nunito Sans"/>
                <w:color w:val="102E3B"/>
                <w:sz w:val="18"/>
                <w:szCs w:val="18"/>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SEVERITY LEVELS AND THRESHOLDS</w:t>
            </w:r>
          </w:p>
          <w:p>
            <w:pPr>
              <w:spacing w:after="120" w:before="0" w:line="300"/>
            </w:pPr>
            <w:r>
              <w:rPr>
                <w:rFonts w:ascii="Nunito Sans" w:cs="Nunito Sans" w:eastAsia="Nunito Sans" w:hAnsi="Nunito Sans"/>
                <w:color w:val="102E3B"/>
                <w:sz w:val="19"/>
                <w:szCs w:val="19"/>
              </w:rPr>
              <w:t xml:space="preserve">Set a money threshold for "high" that fits your budget, for example any loss over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We recommend treating every safeguarding concern as at least high, because of the risk to the person affected and the reporting duties that may follow. Add examples from your own work, such as a child going missing at a club, a vehicle accident in the field or a cyber attack. If your grant agreements define a "serious incident", copy that definition here so nothing is missed.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1: Make people safe</w:t>
      </w:r>
    </w:p>
    <w:p>
      <w:pPr>
        <w:pStyle w:val="ListParagraph"/>
        <w:numPr>
          <w:ilvl w:val="0"/>
          <w:numId w:val="4"/>
        </w:numPr>
        <w:spacing w:after="80" w:line="290"/>
      </w:pPr>
      <w:r>
        <w:rPr>
          <w:rFonts w:ascii="Nunito Sans" w:cs="Nunito Sans" w:eastAsia="Nunito Sans" w:hAnsi="Nunito Sans"/>
          <w:b/>
          <w:bCs/>
          <w:color w:val="102E3B"/>
          <w:sz w:val="20"/>
          <w:szCs w:val="20"/>
        </w:rPr>
        <w:t xml:space="preserve">If anyone is in immediate danger</w:t>
      </w:r>
      <w:r>
        <w:rPr>
          <w:rFonts w:ascii="Nunito Sans" w:cs="Nunito Sans" w:eastAsia="Nunito Sans" w:hAnsi="Nunito Sans"/>
          <w:color w:val="102E3B"/>
          <w:sz w:val="20"/>
          <w:szCs w:val="20"/>
        </w:rPr>
        <w:t xml:space="preserve">, call emergency services on </w:t>
      </w:r>
      <w:r>
        <w:rPr>
          <w:rFonts w:ascii="Nunito Sans" w:cs="Nunito Sans" w:eastAsia="Nunito Sans" w:hAnsi="Nunito Sans"/>
          <w:color w:val="102E3B"/>
          <w:sz w:val="20"/>
          <w:szCs w:val="20"/>
          <w:highlight w:val="yellow"/>
        </w:rPr>
        <w:t xml:space="preserve">[emergency number]</w:t>
      </w:r>
      <w:r>
        <w:rPr>
          <w:rFonts w:ascii="Nunito Sans" w:cs="Nunito Sans" w:eastAsia="Nunito Sans" w:hAnsi="Nunito Sans"/>
          <w:color w:val="102E3B"/>
          <w:sz w:val="20"/>
          <w:szCs w:val="20"/>
        </w:rPr>
        <w:t xml:space="preserve"> or the police on </w:t>
      </w:r>
      <w:r>
        <w:rPr>
          <w:rFonts w:ascii="Nunito Sans" w:cs="Nunito Sans" w:eastAsia="Nunito Sans" w:hAnsi="Nunito Sans"/>
          <w:color w:val="102E3B"/>
          <w:sz w:val="20"/>
          <w:szCs w:val="20"/>
          <w:highlight w:val="yellow"/>
        </w:rPr>
        <w:t xml:space="preserve">[police number]</w:t>
      </w:r>
      <w:r>
        <w:rPr>
          <w:rFonts w:ascii="Nunito Sans" w:cs="Nunito Sans" w:eastAsia="Nunito Sans" w:hAnsi="Nunito Sans"/>
          <w:color w:val="102E3B"/>
          <w:sz w:val="20"/>
          <w:szCs w:val="20"/>
        </w:rPr>
        <w:t xml:space="preserve">. Get medical help for anyone injured.</w:t>
      </w:r>
    </w:p>
    <w:p>
      <w:pPr>
        <w:pStyle w:val="ListParagraph"/>
        <w:numPr>
          <w:ilvl w:val="0"/>
          <w:numId w:val="4"/>
        </w:numPr>
        <w:spacing w:after="80" w:line="290"/>
      </w:pPr>
      <w:r>
        <w:rPr>
          <w:rFonts w:ascii="Nunito Sans" w:cs="Nunito Sans" w:eastAsia="Nunito Sans" w:hAnsi="Nunito Sans"/>
          <w:b/>
          <w:bCs/>
          <w:color w:val="102E3B"/>
          <w:sz w:val="20"/>
          <w:szCs w:val="20"/>
        </w:rPr>
        <w:t xml:space="preserve">Protect yourself.</w:t>
      </w:r>
      <w:r>
        <w:rPr>
          <w:rFonts w:ascii="Nunito Sans" w:cs="Nunito Sans" w:eastAsia="Nunito Sans" w:hAnsi="Nunito Sans"/>
          <w:color w:val="102E3B"/>
          <w:sz w:val="20"/>
          <w:szCs w:val="20"/>
        </w:rPr>
        <w:t xml:space="preserve"> Do not put yourself at risk to protect property or evidence.</w:t>
      </w:r>
    </w:p>
    <w:p>
      <w:pPr>
        <w:pStyle w:val="ListParagraph"/>
        <w:numPr>
          <w:ilvl w:val="0"/>
          <w:numId w:val="4"/>
        </w:numPr>
        <w:spacing w:after="80" w:line="290"/>
      </w:pPr>
      <w:r>
        <w:rPr>
          <w:rFonts w:ascii="Nunito Sans" w:cs="Nunito Sans" w:eastAsia="Nunito Sans" w:hAnsi="Nunito Sans"/>
          <w:b/>
          <w:bCs/>
          <w:color w:val="102E3B"/>
          <w:sz w:val="20"/>
          <w:szCs w:val="20"/>
        </w:rPr>
        <w:t xml:space="preserve">Stop the harm if you safely can</w:t>
      </w:r>
      <w:r>
        <w:rPr>
          <w:rFonts w:ascii="Nunito Sans" w:cs="Nunito Sans" w:eastAsia="Nunito Sans" w:hAnsi="Nunito Sans"/>
          <w:color w:val="102E3B"/>
          <w:sz w:val="20"/>
          <w:szCs w:val="20"/>
        </w:rPr>
        <w:t xml:space="preserve">, for example by moving people away from a hazard or disconnecting a compromised device from the network.</w:t>
      </w:r>
    </w:p>
    <w:p>
      <w:pPr>
        <w:pStyle w:val="ListParagraph"/>
        <w:numPr>
          <w:ilvl w:val="0"/>
          <w:numId w:val="4"/>
        </w:numPr>
        <w:spacing w:after="80" w:line="290"/>
      </w:pPr>
      <w:r>
        <w:rPr>
          <w:rFonts w:ascii="Nunito Sans" w:cs="Nunito Sans" w:eastAsia="Nunito Sans" w:hAnsi="Nunito Sans"/>
          <w:b/>
          <w:bCs/>
          <w:color w:val="102E3B"/>
          <w:sz w:val="20"/>
          <w:szCs w:val="20"/>
        </w:rPr>
        <w:t xml:space="preserve">Look after the person affected.</w:t>
      </w:r>
      <w:r>
        <w:rPr>
          <w:rFonts w:ascii="Nunito Sans" w:cs="Nunito Sans" w:eastAsia="Nunito Sans" w:hAnsi="Nunito Sans"/>
          <w:color w:val="102E3B"/>
          <w:sz w:val="20"/>
          <w:szCs w:val="20"/>
        </w:rPr>
        <w:t xml:space="preserve"> Listen, stay calm, and tell them they were right to speak up. Do not ask leading questions or promise to keep secrets.</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Preserve evidence.</w:t>
      </w:r>
      <w:r>
        <w:rPr>
          <w:rFonts w:ascii="Nunito Sans" w:cs="Nunito Sans" w:eastAsia="Nunito Sans" w:hAnsi="Nunito Sans"/>
          <w:color w:val="102E3B"/>
          <w:sz w:val="20"/>
          <w:szCs w:val="20"/>
        </w:rPr>
        <w:t xml:space="preserve"> Do not delete messages, clean up or change records. Never photograph a person who has been harmed.</w:t>
      </w:r>
    </w:p>
    <w:p>
      <w:pPr>
        <w:pStyle w:val="ListParagraph"/>
        <w:numPr>
          <w:ilvl w:val="0"/>
          <w:numId w:val="4"/>
        </w:numPr>
        <w:spacing w:after="80" w:line="290"/>
      </w:pPr>
      <w:r>
        <w:rPr>
          <w:rFonts w:ascii="Nunito Sans" w:cs="Nunito Sans" w:eastAsia="Nunito Sans" w:hAnsi="Nunito Sans"/>
          <w:b/>
          <w:bCs/>
          <w:color w:val="102E3B"/>
          <w:sz w:val="20"/>
          <w:szCs w:val="20"/>
        </w:rPr>
        <w:t xml:space="preserve">Do not investigate or confront anyone</w:t>
      </w:r>
      <w:r>
        <w:rPr>
          <w:rFonts w:ascii="Nunito Sans" w:cs="Nunito Sans" w:eastAsia="Nunito Sans" w:hAnsi="Nunito Sans"/>
          <w:color w:val="102E3B"/>
          <w:sz w:val="20"/>
          <w:szCs w:val="20"/>
        </w:rPr>
        <w:t xml:space="preserve"> you think is responsible. It can put people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EMERGENCY CONTACTS</w:t>
            </w:r>
          </w:p>
          <w:p>
            <w:pPr>
              <w:spacing w:after="120" w:before="0" w:line="300"/>
            </w:pPr>
            <w:r>
              <w:rPr>
                <w:rFonts w:ascii="Nunito Sans" w:cs="Nunito Sans" w:eastAsia="Nunito Sans" w:hAnsi="Nunito Sans"/>
                <w:color w:val="102E3B"/>
                <w:sz w:val="19"/>
                <w:szCs w:val="19"/>
              </w:rPr>
              <w:t xml:space="preserve">List real numbers for each place you work: police, ambulance, fire, the nearest hospital or clinic, and security contacts. Common numbers include 112 (EU and many other countries), 999 (UK, Kenya and others) and 911 (US and several Latin American countries), but coverage and response vary: check locally and test the number. Where calling the police could put survivors or staff at risk, write down who decides and how. Keep the list in everyone's phone.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2: Report it</w:t>
      </w:r>
    </w:p>
    <w:p>
      <w:pPr>
        <w:spacing w:after="120" w:before="0" w:line="300"/>
      </w:pPr>
      <w:r>
        <w:rPr>
          <w:rFonts w:ascii="Nunito Sans" w:cs="Nunito Sans" w:eastAsia="Nunito Sans" w:hAnsi="Nunito Sans"/>
          <w:color w:val="102E3B"/>
          <w:sz w:val="20"/>
          <w:szCs w:val="20"/>
        </w:rPr>
        <w:t xml:space="preserve">Report every incident to the incident lead, even if it seems small or someone else may already have reported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SERIOUS</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TO REPORT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Critical</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the incident lead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No answer within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phone the deputy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Follow up in writing.</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message the incident lead, then send the report form (Annex A).</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 form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 or low</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report form to </w:t>
            </w:r>
            <w:r>
              <w:rPr>
                <w:rFonts w:ascii="Nunito Sans" w:cs="Nunito Sans" w:eastAsia="Nunito Sans" w:hAnsi="Nunito Sans"/>
                <w:color w:val="102E3B"/>
                <w:sz w:val="18"/>
                <w:szCs w:val="18"/>
                <w:highlight w:val="yellow"/>
              </w:rPr>
              <w:t xml:space="preserve">[incidents@yourorganisation.org]</w:t>
            </w:r>
            <w:r>
              <w:rPr>
                <w:rFonts w:ascii="Nunito Sans" w:cs="Nunito Sans" w:eastAsia="Nunito Sans" w:hAnsi="Nunito Sans"/>
                <w:color w:val="102E3B"/>
                <w:sz w:val="18"/>
                <w:szCs w:val="18"/>
              </w:rPr>
              <w:t xml:space="preserv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 miss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form, or raise it at the next team meeting.</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You do not need proof. Report what you saw, heard or were told, in plain words. If you cannot use the form, report by phone or in person and the incident lead will complete it with you. Do not put names or sensitive details in group chats.</w:t>
      </w:r>
    </w:p>
    <w:p>
      <w:pPr>
        <w:spacing w:after="120" w:before="0" w:line="300"/>
      </w:pPr>
      <w:r>
        <w:rPr>
          <w:rFonts w:ascii="Nunito Sans" w:cs="Nunito Sans" w:eastAsia="Nunito Sans" w:hAnsi="Nunito Sans"/>
          <w:b/>
          <w:bCs/>
          <w:color w:val="102E3B"/>
          <w:sz w:val="20"/>
          <w:szCs w:val="20"/>
        </w:rPr>
        <w:t xml:space="preserve">If the incident involves the incident lead,</w:t>
      </w:r>
      <w:r>
        <w:rPr>
          <w:rFonts w:ascii="Nunito Sans" w:cs="Nunito Sans" w:eastAsia="Nunito Sans" w:hAnsi="Nunito Sans"/>
          <w:color w:val="102E3B"/>
          <w:sz w:val="20"/>
          <w:szCs w:val="20"/>
        </w:rPr>
        <w:t xml:space="preserve"> report to the deputy,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If it involves the director, report to the board chair,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Safeguarding concerns</w:t>
      </w:r>
      <w:r>
        <w:rPr>
          <w:rFonts w:ascii="Nunito Sans" w:cs="Nunito Sans" w:eastAsia="Nunito Sans" w:hAnsi="Nunito Sans"/>
          <w:color w:val="102E3B"/>
          <w:sz w:val="20"/>
          <w:szCs w:val="20"/>
        </w:rPr>
        <w:t xml:space="preserve"> go to the safeguarding lead, not the incident lead, within the time limits of the Safeguarding Policy and Procedure: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 if someone is in danger or it is serious, otherwise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safeguarding lead logs only a reference number and level here, and tells the director and board chair only what they need, without names. </w:t>
      </w:r>
      <w:r>
        <w:rPr>
          <w:rFonts w:ascii="Nunito Sans" w:cs="Nunito Sans" w:eastAsia="Nunito Sans" w:hAnsi="Nunito Sans"/>
          <w:b/>
          <w:bCs/>
          <w:color w:val="102E3B"/>
          <w:sz w:val="20"/>
          <w:szCs w:val="20"/>
        </w:rPr>
        <w:t xml:space="preserve">Partners and contractors</w:t>
      </w:r>
      <w:r>
        <w:rPr>
          <w:rFonts w:ascii="Nunito Sans" w:cs="Nunito Sans" w:eastAsia="Nunito Sans" w:hAnsi="Nunito Sans"/>
          <w:color w:val="102E3B"/>
          <w:sz w:val="20"/>
          <w:szCs w:val="20"/>
        </w:rPr>
        <w:t xml:space="preserve"> report incidents connected to our work to our incident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as their agreement with us requires.</w:t>
      </w:r>
    </w:p>
    <w:p>
      <w:pPr>
        <w:pStyle w:val="Heading1"/>
        <w:keepNext/>
        <w:spacing w:after="160" w:before="360"/>
      </w:pPr>
      <w:r>
        <w:rPr>
          <w:rFonts w:ascii="DM Serif Display" w:cs="DM Serif Display" w:eastAsia="DM Serif Display" w:hAnsi="DM Serif Display"/>
          <w:color w:val="123C48"/>
          <w:sz w:val="40"/>
          <w:szCs w:val="40"/>
        </w:rPr>
        <w:t xml:space="preserve">Step 3: Assess and escalate</w:t>
      </w:r>
    </w:p>
    <w:p>
      <w:pPr>
        <w:spacing w:after="120" w:before="0" w:line="300"/>
      </w:pPr>
      <w:r>
        <w:rPr>
          <w:rFonts w:ascii="Nunito Sans" w:cs="Nunito Sans" w:eastAsia="Nunito Sans" w:hAnsi="Nunito Sans"/>
          <w:color w:val="102E3B"/>
          <w:sz w:val="20"/>
          <w:szCs w:val="20"/>
        </w:rPr>
        <w:t xml:space="preserve">When the incident lead receives a report, they:</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 it</w:t>
      </w:r>
      <w:r>
        <w:rPr>
          <w:rFonts w:ascii="Nunito Sans" w:cs="Nunito Sans" w:eastAsia="Nunito Sans" w:hAnsi="Nunito Sans"/>
          <w:color w:val="102E3B"/>
          <w:sz w:val="20"/>
          <w:szCs w:val="20"/>
        </w:rPr>
        <w:t xml:space="preserve">: the same day for high and critical incidents,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for others.</w:t>
      </w:r>
    </w:p>
    <w:p>
      <w:pPr>
        <w:pStyle w:val="ListParagraph"/>
        <w:numPr>
          <w:ilvl w:val="0"/>
          <w:numId w:val="5"/>
        </w:numPr>
        <w:spacing w:after="80" w:line="290"/>
      </w:pPr>
      <w:r>
        <w:rPr>
          <w:rFonts w:ascii="Nunito Sans" w:cs="Nunito Sans" w:eastAsia="Nunito Sans" w:hAnsi="Nunito Sans"/>
          <w:b/>
          <w:bCs/>
          <w:color w:val="102E3B"/>
          <w:sz w:val="20"/>
          <w:szCs w:val="20"/>
        </w:rPr>
        <w:t xml:space="preserve">Set the severity level</w:t>
      </w:r>
      <w:r>
        <w:rPr>
          <w:rFonts w:ascii="Nunito Sans" w:cs="Nunito Sans" w:eastAsia="Nunito Sans" w:hAnsi="Nunito Sans"/>
          <w:color w:val="102E3B"/>
          <w:sz w:val="20"/>
          <w:szCs w:val="20"/>
        </w:rPr>
        <w:t xml:space="preserve"> and open an entry in the incident log (Annex B) with a reference number.</w:t>
      </w:r>
    </w:p>
    <w:p>
      <w:pPr>
        <w:pStyle w:val="ListParagraph"/>
        <w:numPr>
          <w:ilvl w:val="0"/>
          <w:numId w:val="5"/>
        </w:numPr>
        <w:spacing w:after="80" w:line="290"/>
      </w:pPr>
      <w:r>
        <w:rPr>
          <w:rFonts w:ascii="Nunito Sans" w:cs="Nunito Sans" w:eastAsia="Nunito Sans" w:hAnsi="Nunito Sans"/>
          <w:b/>
          <w:bCs/>
          <w:color w:val="102E3B"/>
          <w:sz w:val="20"/>
          <w:szCs w:val="20"/>
        </w:rPr>
        <w:t xml:space="preserve">Agree immediate protective action</w:t>
      </w:r>
      <w:r>
        <w:rPr>
          <w:rFonts w:ascii="Nunito Sans" w:cs="Nunito Sans" w:eastAsia="Nunito Sans" w:hAnsi="Nunito Sans"/>
          <w:color w:val="102E3B"/>
          <w:sz w:val="20"/>
          <w:szCs w:val="20"/>
        </w:rPr>
        <w:t xml:space="preserve">, for example medical care, moving staff to safety, blocking access to systems or bank accounts, or suspending a person from their role. A suspension is a precaution, not a finding of wrongdoing.</w:t>
      </w:r>
    </w:p>
    <w:p>
      <w:pPr>
        <w:pStyle w:val="ListParagraph"/>
        <w:numPr>
          <w:ilvl w:val="0"/>
          <w:numId w:val="5"/>
        </w:numPr>
        <w:spacing w:after="80" w:line="290"/>
      </w:pPr>
      <w:r>
        <w:rPr>
          <w:rFonts w:ascii="Nunito Sans" w:cs="Nunito Sans" w:eastAsia="Nunito Sans" w:hAnsi="Nunito Sans"/>
          <w:b/>
          <w:bCs/>
          <w:color w:val="102E3B"/>
          <w:sz w:val="20"/>
          <w:szCs w:val="20"/>
        </w:rPr>
        <w:t xml:space="preserve">Escalate</w:t>
      </w:r>
      <w:r>
        <w:rPr>
          <w:rFonts w:ascii="Nunito Sans" w:cs="Nunito Sans" w:eastAsia="Nunito Sans" w:hAnsi="Nunito Sans"/>
          <w:color w:val="102E3B"/>
          <w:sz w:val="20"/>
          <w:szCs w:val="20"/>
        </w:rPr>
        <w:t xml:space="preserve">: medium incidents to the director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high incidents to the director and board chair the same day; critical incidents to both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Pass the case</w:t>
      </w:r>
      <w:r>
        <w:rPr>
          <w:rFonts w:ascii="Nunito Sans" w:cs="Nunito Sans" w:eastAsia="Nunito Sans" w:hAnsi="Nunito Sans"/>
          <w:color w:val="102E3B"/>
          <w:sz w:val="20"/>
          <w:szCs w:val="20"/>
        </w:rPr>
        <w:t xml:space="preserve"> to the lead under the policy that applies (safeguarding, fraud, data breach or complaints), if that is someone else.</w:t>
      </w:r>
    </w:p>
    <w:p>
      <w:pPr>
        <w:pStyle w:val="ListParagraph"/>
        <w:numPr>
          <w:ilvl w:val="0"/>
          <w:numId w:val="5"/>
        </w:numPr>
        <w:spacing w:after="80" w:line="290"/>
      </w:pPr>
      <w:r>
        <w:rPr>
          <w:rFonts w:ascii="Nunito Sans" w:cs="Nunito Sans" w:eastAsia="Nunito Sans" w:hAnsi="Nunito Sans"/>
          <w:b/>
          <w:bCs/>
          <w:color w:val="102E3B"/>
          <w:sz w:val="20"/>
          <w:szCs w:val="20"/>
        </w:rPr>
        <w:t xml:space="preserve">Check external reporting duties</w:t>
      </w:r>
      <w:r>
        <w:rPr>
          <w:rFonts w:ascii="Nunito Sans" w:cs="Nunito Sans" w:eastAsia="Nunito Sans" w:hAnsi="Nunito Sans"/>
          <w:color w:val="102E3B"/>
          <w:sz w:val="20"/>
          <w:szCs w:val="20"/>
        </w:rPr>
        <w:t xml:space="preserve"> (Step 4), and record each decision, including any decision not to report and why.</w:t>
      </w:r>
    </w:p>
    <w:p>
      <w:pPr>
        <w:spacing w:after="120" w:before="0" w:line="300"/>
      </w:pPr>
      <w:r>
        <w:rPr>
          <w:rFonts w:ascii="Nunito Sans" w:cs="Nunito Sans" w:eastAsia="Nunito Sans" w:hAnsi="Nunito Sans"/>
          <w:color w:val="102E3B"/>
          <w:sz w:val="20"/>
          <w:szCs w:val="20"/>
        </w:rPr>
        <w:t xml:space="preserve">For a critical incident, the director, incident lead and one board member form a response team that talks at least daily until the situation is stable. The board chair decides when the full board is told; for critical incidents,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Step 4: External notifications</w:t>
      </w:r>
    </w:p>
    <w:p>
      <w:pPr>
        <w:spacing w:after="120" w:before="0" w:line="300"/>
      </w:pPr>
      <w:r>
        <w:rPr>
          <w:rFonts w:ascii="Nunito Sans" w:cs="Nunito Sans" w:eastAsia="Nunito Sans" w:hAnsi="Nunito Sans"/>
          <w:color w:val="102E3B"/>
          <w:sz w:val="20"/>
          <w:szCs w:val="20"/>
        </w:rPr>
        <w:t xml:space="preserve">The incident lead makes these reports, or agrees who will, and records the date, time, person contacted and any reference. Reporting early and updating later is better than reporting late.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047"/>
        <w:gridCol w:w="1904"/>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TO TELL THEM</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TIMESCALE</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Police or emergency services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crime, a death, a threat to life, or where the law requires it (for example some child abuse cases).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safeguarding cases, think first about the safety and wishes of the person affected.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Charity or NGO regulator</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incidents such as significant fraud or loss, safeguarding incidents or a criminal investigation, where the regulator has a reporting duty.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[Promptly / within X days]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Usually the board's duty; the incident lead prepares the report.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authority</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data breach likely to put people's rights and freedoms at risk.</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within 72 hours of becoming aware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Data Breach Response Procedure. Tell the people affected without undue delay if the risk is high.</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each grant agreement lists: usually safeguarding concerns, fraud or suspected fraud, misuse of funds, sanctions or terrorism-financing concerns, and serious delays.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24 to 72 hours; check each grant</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the personal data the funder needs.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Insurers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event that may lead to a claim: injury, theft, damage, legal action, cyber incident.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policy says, usually as soon as reasonably possible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Late notice can invalidate a claim. Do not admit liability first.</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Others the law requires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 example a labour authority for serious workplace injuries, or a financial intelligence unit for suspected terrorism financing or sanctions matches.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law requires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the Partner Due Diligence and Sanctions Screening Policy. Never warn the person concerned.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CHARITY OR NGO REGULATOR REPORTING</w:t>
            </w:r>
          </w:p>
          <w:p>
            <w:pPr>
              <w:spacing w:after="120" w:before="0" w:line="300"/>
            </w:pPr>
            <w:r>
              <w:rPr>
                <w:rFonts w:ascii="Nunito Sans" w:cs="Nunito Sans" w:eastAsia="Nunito Sans" w:hAnsi="Nunito Sans"/>
                <w:color w:val="102E3B"/>
                <w:sz w:val="19"/>
                <w:szCs w:val="19"/>
              </w:rPr>
              <w:t xml:space="preserve">Check whether your regulator has a formal "serious incident" or "notifiable event" duty, what counts and the deadline. For example, the Charity Commission for England and Wales expects trustees to report serious incidents promptly, and the Scottish Charity Regulator (OSCR) asks charities to report notifiable events. Many regulators elsewhere have no formal incident route. If you are registered as an NGO, trust, society, non-profit company or public benefit organisation, check your local law on reporting duties to the registering body. Rules change: check current guidance.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DEADLINES</w:t>
            </w:r>
          </w:p>
          <w:p>
            <w:pPr>
              <w:spacing w:after="120" w:before="0" w:line="300"/>
            </w:pPr>
            <w:r>
              <w:rPr>
                <w:rFonts w:ascii="Nunito Sans" w:cs="Nunito Sans" w:eastAsia="Nunito Sans" w:hAnsi="Nunito Sans"/>
                <w:color w:val="102E3B"/>
                <w:sz w:val="19"/>
                <w:szCs w:val="19"/>
              </w:rPr>
              <w:t xml:space="preserve">Under the EU and UK GDPR, a personal data breach must be reported to the supervisory authority within 72 hours of becoming aware of it, unless it is unlikely to result in a risk to people. The Kenya Data Protection Act 2019 and the Nigeria Data Protection Act 2023 also use 72 hours. South Africa's POPIA requires notice to the Information Regulator and the people affected as soon as reasonably possible. Brazil's LGPD, India's DPDP Act 2023 and Indonesia's Law 27 of 2022 set timescales through their rules and regulations: check your local law on breach notification, including what the notice must contain.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 AND WORKPLACE INJURIES</w:t>
            </w:r>
          </w:p>
          <w:p>
            <w:pPr>
              <w:spacing w:after="120" w:before="0" w:line="300"/>
            </w:pPr>
            <w:r>
              <w:rPr>
                <w:rFonts w:ascii="Nunito Sans" w:cs="Nunito Sans" w:eastAsia="Nunito Sans" w:hAnsi="Nunito Sans"/>
                <w:color w:val="102E3B"/>
                <w:sz w:val="19"/>
                <w:szCs w:val="19"/>
              </w:rPr>
              <w:t xml:space="preserve">Keep a table of each active grant: what must be reported, deadline and contact. Many institutional funders require safeguarding allegations and suspected fraud to be reported within 24 to 72 hours, even when unproven. Add each new agreement's reporting clause to the table the day you sign it. For workplace injuries, many countries require employers to report serious accidents to a labour authority or a work-injury insurer (in the UK, under the RIDDOR Regulations 2013): check your local law on workplace accident reporting.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Respond and investigate</w:t>
      </w:r>
    </w:p>
    <w:p>
      <w:pPr>
        <w:spacing w:after="120" w:before="0" w:line="300"/>
      </w:pPr>
      <w:r>
        <w:rPr>
          <w:rFonts w:ascii="Nunito Sans" w:cs="Nunito Sans" w:eastAsia="Nunito Sans" w:hAnsi="Nunito Sans"/>
          <w:color w:val="102E3B"/>
          <w:sz w:val="20"/>
          <w:szCs w:val="20"/>
        </w:rPr>
        <w:t xml:space="preserve">For most low and medium incidents, the response means fixing the cause, supporting anyone affected and recording what was done. For high and critical incidents, the incident lead and the director decide:</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investigates</w:t>
      </w:r>
      <w:r>
        <w:rPr>
          <w:rFonts w:ascii="Nunito Sans" w:cs="Nunito Sans" w:eastAsia="Nunito Sans" w:hAnsi="Nunito Sans"/>
          <w:color w:val="102E3B"/>
          <w:sz w:val="20"/>
          <w:szCs w:val="20"/>
        </w:rPr>
        <w:t xml:space="preserve">, under the policy that applies. Nobody involved, or who manages someone involved, investigates. For serious cases we may use an external investigator;</w:t>
      </w:r>
    </w:p>
    <w:p>
      <w:pPr>
        <w:pStyle w:val="ListParagraph"/>
        <w:numPr>
          <w:ilvl w:val="0"/>
          <w:numId w:val="3"/>
        </w:numPr>
        <w:spacing w:after="80" w:line="290"/>
      </w:pPr>
      <w:r>
        <w:rPr>
          <w:rFonts w:ascii="Nunito Sans" w:cs="Nunito Sans" w:eastAsia="Nunito Sans" w:hAnsi="Nunito Sans"/>
          <w:b/>
          <w:bCs/>
          <w:color w:val="102E3B"/>
          <w:sz w:val="20"/>
          <w:szCs w:val="20"/>
        </w:rPr>
        <w:t xml:space="preserve">what support people need</w:t>
      </w:r>
      <w:r>
        <w:rPr>
          <w:rFonts w:ascii="Nunito Sans" w:cs="Nunito Sans" w:eastAsia="Nunito Sans" w:hAnsi="Nunito Sans"/>
          <w:color w:val="102E3B"/>
          <w:sz w:val="20"/>
          <w:szCs w:val="20"/>
        </w:rPr>
        <w:t xml:space="preserve">, such as medical or psychological support or time off. Staff exposed to distressing events are offered </w:t>
      </w:r>
      <w:r>
        <w:rPr>
          <w:rFonts w:ascii="Nunito Sans" w:cs="Nunito Sans" w:eastAsia="Nunito Sans" w:hAnsi="Nunito Sans"/>
          <w:color w:val="102E3B"/>
          <w:sz w:val="20"/>
          <w:szCs w:val="20"/>
          <w:highlight w:val="yellow"/>
        </w:rPr>
        <w:t xml:space="preserve">[support, e.g. counselling sessions]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we communicate.</w:t>
      </w:r>
      <w:r>
        <w:rPr>
          <w:rFonts w:ascii="Nunito Sans" w:cs="Nunito Sans" w:eastAsia="Nunito Sans" w:hAnsi="Nunito Sans"/>
          <w:color w:val="102E3B"/>
          <w:sz w:val="20"/>
          <w:szCs w:val="20"/>
        </w:rPr>
        <w:t xml:space="preserve">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speaks to the media, as set out in the Social Media and Communications Policy.</w:t>
      </w:r>
    </w:p>
    <w:p>
      <w:pPr>
        <w:spacing w:after="120" w:before="0" w:line="300"/>
      </w:pPr>
      <w:r>
        <w:rPr>
          <w:rFonts w:ascii="Nunito Sans" w:cs="Nunito Sans" w:eastAsia="Nunito Sans" w:hAnsi="Nunito Sans"/>
          <w:color w:val="102E3B"/>
          <w:sz w:val="20"/>
          <w:szCs w:val="20"/>
        </w:rPr>
        <w:t xml:space="preserve">People named in a report are treated fairly and can respond. Retaliation against anyone who reports a genuine concern is a serious breach of our Code of Conduct. If the authorities investigate, we cooperate and may pause our own work if asked.</w:t>
      </w:r>
    </w:p>
    <w:p>
      <w:pPr>
        <w:pStyle w:val="Heading1"/>
        <w:keepNext/>
        <w:spacing w:after="160" w:before="360"/>
      </w:pPr>
      <w:r>
        <w:rPr>
          <w:rFonts w:ascii="DM Serif Display" w:cs="DM Serif Display" w:eastAsia="DM Serif Display" w:hAnsi="DM Serif Display"/>
          <w:color w:val="123C48"/>
          <w:sz w:val="40"/>
          <w:szCs w:val="40"/>
        </w:rPr>
        <w:t xml:space="preserve">Step 6: Close and learn</w:t>
      </w:r>
    </w:p>
    <w:p>
      <w:pPr>
        <w:spacing w:after="120" w:before="0" w:line="300"/>
      </w:pPr>
      <w:r>
        <w:rPr>
          <w:rFonts w:ascii="Nunito Sans" w:cs="Nunito Sans" w:eastAsia="Nunito Sans" w:hAnsi="Nunito Sans"/>
          <w:color w:val="102E3B"/>
          <w:sz w:val="20"/>
          <w:szCs w:val="20"/>
        </w:rPr>
        <w:t xml:space="preserve">The incident lead closes an incident when people are safe, causes are dealt with, external reports are complete and any investigation has ended. For high and critical incidents, and repeated smaller ones, they lead a short </w:t>
      </w:r>
      <w:r>
        <w:rPr>
          <w:rFonts w:ascii="Nunito Sans" w:cs="Nunito Sans" w:eastAsia="Nunito Sans" w:hAnsi="Nunito Sans"/>
          <w:b/>
          <w:bCs/>
          <w:color w:val="102E3B"/>
          <w:sz w:val="20"/>
          <w:szCs w:val="20"/>
        </w:rPr>
        <w:t xml:space="preserve">learning review</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It asks:</w:t>
      </w:r>
    </w:p>
    <w:p>
      <w:pPr>
        <w:pStyle w:val="ListParagraph"/>
        <w:numPr>
          <w:ilvl w:val="0"/>
          <w:numId w:val="6"/>
        </w:numPr>
        <w:spacing w:after="80" w:line="290"/>
      </w:pPr>
      <w:r>
        <w:rPr>
          <w:rFonts w:ascii="Nunito Sans" w:cs="Nunito Sans" w:eastAsia="Nunito Sans" w:hAnsi="Nunito Sans"/>
          <w:color w:val="102E3B"/>
          <w:sz w:val="20"/>
          <w:szCs w:val="20"/>
        </w:rPr>
        <w:t xml:space="preserve">What happened, and what were the causes, beyond the people involved?</w:t>
      </w:r>
    </w:p>
    <w:p>
      <w:pPr>
        <w:pStyle w:val="ListParagraph"/>
        <w:numPr>
          <w:ilvl w:val="0"/>
          <w:numId w:val="6"/>
        </w:numPr>
        <w:spacing w:after="80" w:line="290"/>
      </w:pPr>
      <w:r>
        <w:rPr>
          <w:rFonts w:ascii="Nunito Sans" w:cs="Nunito Sans" w:eastAsia="Nunito Sans" w:hAnsi="Nunito Sans"/>
          <w:color w:val="102E3B"/>
          <w:sz w:val="20"/>
          <w:szCs w:val="20"/>
        </w:rPr>
        <w:t xml:space="preserve">What went well in our response?</w:t>
      </w:r>
    </w:p>
    <w:p>
      <w:pPr>
        <w:pStyle w:val="ListParagraph"/>
        <w:numPr>
          <w:ilvl w:val="0"/>
          <w:numId w:val="6"/>
        </w:numPr>
        <w:spacing w:after="80" w:line="290"/>
      </w:pPr>
      <w:r>
        <w:rPr>
          <w:rFonts w:ascii="Nunito Sans" w:cs="Nunito Sans" w:eastAsia="Nunito Sans" w:hAnsi="Nunito Sans"/>
          <w:color w:val="102E3B"/>
          <w:sz w:val="20"/>
          <w:szCs w:val="20"/>
        </w:rPr>
        <w:t xml:space="preserve">What would we do differently, including how quickly we reported?</w:t>
      </w:r>
    </w:p>
    <w:p>
      <w:pPr>
        <w:pStyle w:val="ListParagraph"/>
        <w:numPr>
          <w:ilvl w:val="0"/>
          <w:numId w:val="6"/>
        </w:numPr>
        <w:spacing w:after="80" w:line="290"/>
      </w:pPr>
      <w:r>
        <w:rPr>
          <w:rFonts w:ascii="Nunito Sans" w:cs="Nunito Sans" w:eastAsia="Nunito Sans" w:hAnsi="Nunito Sans"/>
          <w:color w:val="102E3B"/>
          <w:sz w:val="20"/>
          <w:szCs w:val="20"/>
        </w:rPr>
        <w:t xml:space="preserve">What will we change, who will do it, and by when?</w:t>
      </w:r>
    </w:p>
    <w:p>
      <w:pPr>
        <w:spacing w:after="120" w:before="0" w:line="300"/>
      </w:pPr>
      <w:r>
        <w:rPr>
          <w:rFonts w:ascii="Nunito Sans" w:cs="Nunito Sans" w:eastAsia="Nunito Sans" w:hAnsi="Nunito Sans"/>
          <w:color w:val="102E3B"/>
          <w:sz w:val="20"/>
          <w:szCs w:val="20"/>
        </w:rPr>
        <w:t xml:space="preserve">The incident lead updates the Risk Register and any policy that needs to change. The review is about learning, not blame; any disciplinary matter follows its own process.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staff, volunteers, board members and contractors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people safe, report on time, preserve evidence, keep information confidential.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sets severity, coordinates the response, makes external notifications, keeps the log, leads learning reviews.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Acts when the incident lead is unavailable or involved.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any safeguarding incident under the Safeguarding Policy and Procedure.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major actions, resources and public communication for high and critical incidents.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high and critical incidents and any involving the director; makes sure regulator reports are made.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an anonymised summary </w:t>
            </w:r>
            <w:r>
              <w:rPr>
                <w:rFonts w:ascii="Nunito Sans" w:cs="Nunito Sans" w:eastAsia="Nunito Sans" w:hAnsi="Nunito Sans"/>
                <w:color w:val="102E3B"/>
                <w:sz w:val="18"/>
                <w:szCs w:val="18"/>
                <w:highlight w:val="yellow"/>
              </w:rPr>
              <w:t xml:space="preserve">[every quarter]</w:t>
            </w:r>
            <w:r>
              <w:rPr>
                <w:rFonts w:ascii="Nunito Sans" w:cs="Nunito Sans" w:eastAsia="Nunito Sans" w:hAnsi="Nunito Sans"/>
                <w:color w:val="102E3B"/>
                <w:sz w:val="18"/>
                <w:szCs w:val="18"/>
              </w:rPr>
              <w:t xml:space="preserve"> and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and confidentiality</w:t>
      </w:r>
    </w:p>
    <w:p>
      <w:pPr>
        <w:spacing w:after="120" w:before="0" w:line="300"/>
      </w:pPr>
      <w:r>
        <w:rPr>
          <w:rFonts w:ascii="Nunito Sans" w:cs="Nunito Sans" w:eastAsia="Nunito Sans" w:hAnsi="Nunito Sans"/>
          <w:color w:val="102E3B"/>
          <w:sz w:val="20"/>
          <w:szCs w:val="20"/>
        </w:rPr>
        <w:t xml:space="preserve">The incident lead keeps the log and all reports in </w:t>
      </w:r>
      <w:r>
        <w:rPr>
          <w:rFonts w:ascii="Nunito Sans" w:cs="Nunito Sans" w:eastAsia="Nunito Sans" w:hAnsi="Nunito Sans"/>
          <w:color w:val="102E3B"/>
          <w:sz w:val="20"/>
          <w:szCs w:val="20"/>
          <w:highlight w:val="yellow"/>
        </w:rPr>
        <w:t xml:space="preserve">[secure location, e.g. a restricted folder only the incident lead and director can open]</w:t>
      </w:r>
      <w:r>
        <w:rPr>
          <w:rFonts w:ascii="Nunito Sans" w:cs="Nunito Sans" w:eastAsia="Nunito Sans" w:hAnsi="Nunito Sans"/>
          <w:color w:val="102E3B"/>
          <w:sz w:val="20"/>
          <w:szCs w:val="20"/>
        </w:rPr>
        <w:t xml:space="preserve">. Paper forms are scanned and then locked away or securely destroyed.</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is shared only with people who need it to respond, investigate or meet a legal or funder duty.</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case records are kept separately by the safeguarding lead. The incident log shows only a reference number and the level.</w:t>
      </w:r>
    </w:p>
    <w:p>
      <w:pPr>
        <w:pStyle w:val="ListParagraph"/>
        <w:numPr>
          <w:ilvl w:val="0"/>
          <w:numId w:val="3"/>
        </w:numPr>
        <w:spacing w:after="80" w:line="290"/>
      </w:pPr>
      <w:r>
        <w:rPr>
          <w:rFonts w:ascii="Nunito Sans" w:cs="Nunito Sans" w:eastAsia="Nunito Sans" w:hAnsi="Nunito Sans"/>
          <w:color w:val="102E3B"/>
          <w:sz w:val="20"/>
          <w:szCs w:val="20"/>
        </w:rPr>
        <w:t xml:space="preserve">Board reports use reference numbers, not names, unless the board needs names to decide.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is handled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or longer if legal proceedings or an insurance claim are open or expected. Records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if later. Then they are deleted securely, following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Retention depends on local limitation periods for legal claims, insurance and funder conditions, and data protection law. Six years is common in many common-law countries; others differ. Check your local law and align these periods with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incident lead reviews open incidents </w:t>
      </w:r>
      <w:r>
        <w:rPr>
          <w:rFonts w:ascii="Nunito Sans" w:cs="Nunito Sans" w:eastAsia="Nunito Sans" w:hAnsi="Nunito Sans"/>
          <w:color w:val="102E3B"/>
          <w:sz w:val="20"/>
          <w:szCs w:val="20"/>
          <w:highlight w:val="yellow"/>
        </w:rPr>
        <w:t xml:space="preserve">[every week]</w:t>
      </w:r>
      <w:r>
        <w:rPr>
          <w:rFonts w:ascii="Nunito Sans" w:cs="Nunito Sans" w:eastAsia="Nunito Sans" w:hAnsi="Nunito Sans"/>
          <w:color w:val="102E3B"/>
          <w:sz w:val="20"/>
          <w:szCs w:val="20"/>
        </w:rPr>
        <w:t xml:space="preserve"> and gives the board an anonymised summary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number, type and level of incidents, time to report and close, and lessons. Once a year we test this procedure with a practice scenario, such as a lost laptop.</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Incident report form</w:t>
      </w:r>
    </w:p>
    <w:p>
      <w:pPr>
        <w:spacing w:after="120" w:before="0" w:line="300"/>
      </w:pPr>
      <w:r>
        <w:rPr>
          <w:rFonts w:ascii="Nunito Sans" w:cs="Nunito Sans" w:eastAsia="Nunito Sans" w:hAnsi="Nunito Sans"/>
          <w:color w:val="102E3B"/>
          <w:sz w:val="20"/>
          <w:szCs w:val="20"/>
        </w:rPr>
        <w:t xml:space="preserve">Complete this form as soon as you can. Write "not known" if you do not know an answer: do not delay the report to find out more. Send it to </w:t>
      </w:r>
      <w:r>
        <w:rPr>
          <w:rFonts w:ascii="Nunito Sans" w:cs="Nunito Sans" w:eastAsia="Nunito Sans" w:hAnsi="Nunito Sans"/>
          <w:color w:val="102E3B"/>
          <w:sz w:val="20"/>
          <w:szCs w:val="20"/>
          <w:highlight w:val="yellow"/>
        </w:rPr>
        <w:t xml:space="preserve">[incidents@yourorganisation.org]</w:t>
      </w:r>
      <w:r>
        <w:rPr>
          <w:rFonts w:ascii="Nunito Sans" w:cs="Nunito Sans" w:eastAsia="Nunito Sans" w:hAnsi="Nunito Sans"/>
          <w:color w:val="102E3B"/>
          <w:sz w:val="20"/>
          <w:szCs w:val="20"/>
        </w:rPr>
        <w:t xml:space="preserve"> or give it to the incident lead. For safeguarding concerns, use only initials for the person affected.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(incident lead completes)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[IR-YYYY-001]</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of the incident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became aware of it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it happened (place, activity, online platform)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incident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 injury or illness / security / fraud or theft / data breach / complaint / reputational / property / other: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The facts, in your own words, with the exact words of anyone who told you about harm.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was involved or affected? (initials, role, age group if a child)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Was anyone hurt? What help was given?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immediate action was taken, and by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Were emergency services or police contacted? Time and any reference.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and evidence kept (and where)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anyone still at risk?</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 No / Not sure. If yes, explain:</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have you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INCIDENT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Received (date, time) and severity level</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that applies; director and chair told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External notifications (who, when, reference) or reason not 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outcome and learning actions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Incident log</w:t>
      </w:r>
    </w:p>
    <w:p>
      <w:pPr>
        <w:spacing w:after="120" w:before="0" w:line="300"/>
      </w:pPr>
      <w:r>
        <w:rPr>
          <w:rFonts w:ascii="Nunito Sans" w:cs="Nunito Sans" w:eastAsia="Nunito Sans" w:hAnsi="Nunito Sans"/>
          <w:color w:val="102E3B"/>
          <w:sz w:val="20"/>
          <w:szCs w:val="20"/>
        </w:rPr>
        <w:t xml:space="preserve">One log for all incidents. Safeguarding incidents show only the reference and level; details stay in the safeguarding case record.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333"/>
        <w:gridCol w:w="2857"/>
        <w:gridCol w:w="1904"/>
        <w:gridCol w:w="190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AND LEVEL</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EXTERNAL REPORTS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[IR-2026-001]</w:t>
            </w:r>
          </w:p>
          <w:p>
            <w:pPr>
              <w:spacing w:after="40" w:line="260"/>
            </w:pPr>
            <w:r>
              <w:rPr>
                <w:rFonts w:ascii="Nunito Sans" w:cs="Nunito Sans" w:eastAsia="Nunito Sans" w:hAnsi="Nunito Sans"/>
                <w:color w:val="102E3B"/>
                <w:sz w:val="18"/>
                <w:szCs w:val="18"/>
                <w:highlight w:val="yellow"/>
              </w:rPr>
              <w:t xml:space="preserve">[12 March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Injury</w:t>
            </w:r>
          </w:p>
          <w:p>
            <w:pPr>
              <w:spacing w:after="40" w:line="260"/>
            </w:pPr>
            <w:r>
              <w:rPr>
                <w:rFonts w:ascii="Nunito Sans" w:cs="Nunito Sans" w:eastAsia="Nunito Sans" w:hAnsi="Nunito Sans"/>
                <w:color w:val="102E3B"/>
                <w:sz w:val="18"/>
                <w:szCs w:val="18"/>
              </w:rPr>
              <w:t xml:space="preserve">Medium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volunteer slipped on a wet floor at a training session; treated at clinic.</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told </w:t>
            </w:r>
            <w:r>
              <w:rPr>
                <w:rFonts w:ascii="Nunito Sans" w:cs="Nunito Sans" w:eastAsia="Nunito Sans" w:hAnsi="Nunito Sans"/>
                <w:color w:val="102E3B"/>
                <w:sz w:val="18"/>
                <w:szCs w:val="18"/>
                <w:highlight w:val="yellow"/>
              </w:rPr>
              <w:t xml:space="preserve">[13 March]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Warning signs and cleaning rota added.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[IR-2026-002]</w:t>
            </w:r>
          </w:p>
          <w:p>
            <w:pPr>
              <w:spacing w:after="40" w:line="260"/>
            </w:pPr>
            <w:r>
              <w:rPr>
                <w:rFonts w:ascii="Nunito Sans" w:cs="Nunito Sans" w:eastAsia="Nunito Sans" w:hAnsi="Nunito Sans"/>
                <w:color w:val="102E3B"/>
                <w:sz w:val="18"/>
                <w:szCs w:val="18"/>
                <w:highlight w:val="yellow"/>
              </w:rPr>
              <w:t xml:space="preserve">[2 April 2026]</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spreadsheet of participant phone numbers emailed to the wrong partner; deleted by recipient.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Authority: not notified, low risk, reason recorded. Funder told </w:t>
            </w:r>
            <w:r>
              <w:rPr>
                <w:rFonts w:ascii="Nunito Sans" w:cs="Nunito Sans" w:eastAsia="Nunito Sans" w:hAnsi="Nunito Sans"/>
                <w:color w:val="102E3B"/>
                <w:sz w:val="18"/>
                <w:szCs w:val="18"/>
                <w:highlight w:val="yellow"/>
              </w:rPr>
              <w:t xml:space="preserve">[3 April]</w:t>
            </w:r>
            <w:r>
              <w:rPr>
                <w:rFonts w:ascii="Nunito Sans" w:cs="Nunito Sans" w:eastAsia="Nunito Sans" w:hAnsi="Nunito Sans"/>
                <w:color w:val="102E3B"/>
                <w:sz w:val="18"/>
                <w:szCs w:val="18"/>
              </w:rPr>
              <w:t xml:space="preserv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Files now password-protected.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[IR-2026-003]</w:t>
            </w:r>
          </w:p>
          <w:p>
            <w:pPr>
              <w:spacing w:after="40" w:line="260"/>
            </w:pPr>
            <w:r>
              <w:rPr>
                <w:rFonts w:ascii="Nunito Sans" w:cs="Nunito Sans" w:eastAsia="Nunito Sans" w:hAnsi="Nunito Sans"/>
                <w:color w:val="102E3B"/>
                <w:sz w:val="18"/>
                <w:szCs w:val="18"/>
                <w:highlight w:val="yellow"/>
              </w:rPr>
              <w:t xml:space="preserve">[20 May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safeguarding case record </w:t>
            </w:r>
            <w:r>
              <w:rPr>
                <w:rFonts w:ascii="Nunito Sans" w:cs="Nunito Sans" w:eastAsia="Nunito Sans" w:hAnsi="Nunito Sans"/>
                <w:color w:val="102E3B"/>
                <w:sz w:val="18"/>
                <w:szCs w:val="18"/>
                <w:highlight w:val="yellow"/>
              </w:rPr>
              <w:t xml:space="preserve">[SG-2026-004]</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recorded in case file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Incident Reporting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1A0623F-8ECC-43FE-8E46-AB6037651723}"/>
  </w:font>
  <w:font w:name="DM Serif Display">
    <w:family w:val="auto"/>
    <w:pitch w:val="variable"/>
    <w:sig w:usb0="E0002AFF" w:usb1="C000247B" w:usb2="00000009" w:usb3="00000000" w:csb0="000001FF" w:csb1="00000000"/>
    <w:embedRegular r:id="rId2" w:fontKey="{AFB1891A-2B71-86C1-F048-A22673BD21C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Incident Reporting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INCIDENT REPORTING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Reporting Procedure</dc:title>
  <dc:creator>Method into Impact</dc:creator>
  <dc:description>What everyone at [[Organisation name]] does when something goes wrong: keep people safe, report it quickly to the right person, tell the authorities and funders on time, and learn from it.</dc:description>
  <cp:lastModifiedBy>Un-named</cp:lastModifiedBy>
  <cp:revision>1</cp:revision>
  <dcterms:created xsi:type="dcterms:W3CDTF">2026-10-29T00:41:22.258Z</dcterms:created>
  <dcterms:modified xsi:type="dcterms:W3CDTF">2026-10-29T00:41:22.258Z</dcterms:modified>
</cp:coreProperties>
</file>

<file path=docProps/custom.xml><?xml version="1.0" encoding="utf-8"?>
<Properties xmlns="http://schemas.openxmlformats.org/officeDocument/2006/custom-properties" xmlns:vt="http://schemas.openxmlformats.org/officeDocument/2006/docPropsVTypes"/>
</file>