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AGREEMENT TEMPLATE · CONFIDENTIALITY</w:t>
      </w:r>
    </w:p>
    <w:p>
      <w:pPr>
        <w:spacing w:after="300"/>
      </w:pPr>
      <w:r>
        <w:rPr>
          <w:rFonts w:ascii="Nunito Sans" w:cs="Nunito Sans" w:eastAsia="Nunito Sans" w:hAnsi="Nunito Sans"/>
          <w:b/>
          <w:bCs/>
          <w:color w:val="102E3B"/>
          <w:sz w:val="24"/>
          <w:szCs w:val="24"/>
          <w:highlight w:val="yellow"/>
        </w:rPr>
        <w:t xml:space="preserve">[Organisation name]</w:t>
      </w:r>
    </w:p>
    <w:p>
      <w:pPr>
        <w:spacing w:after="280" w:before="240" w:line="260"/>
      </w:pPr>
      <w:r>
        <w:rPr>
          <w:rFonts w:ascii="DM Serif Display" w:cs="DM Serif Display" w:eastAsia="DM Serif Display" w:hAnsi="DM Serif Display"/>
          <w:color w:val="FFFAF3"/>
          <w:sz w:val="76"/>
          <w:szCs w:val="76"/>
        </w:rPr>
        <w:t xml:space="preserve">Mutual Confidentiality Agreement</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A short, balanced agreement that lets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and another organisation share confidential information safely while they explore working together.</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Before a partnership, merger, joint bid or significant contract, both sides often need to see each other's plans, budgets or methods. A mutual confidentiality agreement (often called a mutual NDA, or non-disclosure agreement) sets the rules for that information, so both sides can talk openly. It is short and fair to both parties, which makes it quick to sign.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Potential partners and consortium members; companies and social investors in early talks; organisations considering a merger; suppliers who need to see your systems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30–60 minutes to adapt</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5 · Sustain &amp; Run, Module 12 (Partnerships); Course 4 · Protect, Module 10 (Legal, compliance, policies and risk)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Partnership Memorandum of Understanding · Services Agreement · Data Sharing Agreement · Data Protection Policy · IT and Information Security Policy · Whistleblowing Policy and Procedure · Legal Review Checklist</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BEFORE YOU USE THIS AGREEMENT</w:t>
            </w:r>
          </w:p>
          <w:p>
            <w:pPr>
              <w:spacing w:after="120" w:before="0" w:line="300"/>
            </w:pPr>
            <w:r>
              <w:rPr>
                <w:rFonts w:ascii="Nunito Sans" w:cs="Nunito Sans" w:eastAsia="Nunito Sans" w:hAnsi="Nunito Sans"/>
                <w:b/>
                <w:bCs/>
                <w:color w:val="102E3B"/>
                <w:sz w:val="19"/>
                <w:szCs w:val="19"/>
              </w:rPr>
              <w:t xml:space="preserve">Use it</w:t>
            </w:r>
            <w:r>
              <w:rPr>
                <w:rFonts w:ascii="Nunito Sans" w:cs="Nunito Sans" w:eastAsia="Nunito Sans" w:hAnsi="Nunito Sans"/>
                <w:color w:val="102E3B"/>
                <w:sz w:val="19"/>
                <w:szCs w:val="19"/>
              </w:rPr>
              <w:t xml:space="preserve"> when both organisations will share confidential information for a defined purpose, such as exploring a partnership, preparing a joint funding bid, discussing a merger, or assessing a supplier's systems.</w:t>
            </w:r>
          </w:p>
          <w:p>
            <w:pPr>
              <w:spacing w:after="120" w:before="0" w:line="300"/>
            </w:pPr>
            <w:r>
              <w:rPr>
                <w:rFonts w:ascii="Nunito Sans" w:cs="Nunito Sans" w:eastAsia="Nunito Sans" w:hAnsi="Nunito Sans"/>
                <w:b/>
                <w:bCs/>
                <w:color w:val="102E3B"/>
                <w:sz w:val="19"/>
                <w:szCs w:val="19"/>
              </w:rPr>
              <w:t xml:space="preserve">Do not use it</w:t>
            </w:r>
            <w:r>
              <w:rPr>
                <w:rFonts w:ascii="Nunito Sans" w:cs="Nunito Sans" w:eastAsia="Nunito Sans" w:hAnsi="Nunito Sans"/>
                <w:color w:val="102E3B"/>
                <w:sz w:val="19"/>
                <w:szCs w:val="19"/>
              </w:rPr>
              <w:t xml:space="preserve"> when only one side shares information (a one-way agreement is simpler and more protective for the discloser), or as a way to share personal data about the people you serve. That needs a Data Sharing Agreement or processor terms. Once you agree to work together, move the confidentiality terms into the main agreement.</w:t>
            </w:r>
          </w:p>
          <w:p>
            <w:pPr>
              <w:spacing w:after="120" w:before="0" w:line="300"/>
            </w:pPr>
            <w:r>
              <w:rPr>
                <w:rFonts w:ascii="Nunito Sans" w:cs="Nunito Sans" w:eastAsia="Nunito Sans" w:hAnsi="Nunito Sans"/>
                <w:b/>
                <w:bCs/>
                <w:color w:val="102E3B"/>
                <w:sz w:val="19"/>
                <w:szCs w:val="19"/>
              </w:rPr>
              <w:t xml:space="preserve">Know its limits:</w:t>
            </w:r>
            <w:r>
              <w:rPr>
                <w:rFonts w:ascii="Nunito Sans" w:cs="Nunito Sans" w:eastAsia="Nunito Sans" w:hAnsi="Nunito Sans"/>
                <w:color w:val="102E3B"/>
                <w:sz w:val="19"/>
                <w:szCs w:val="19"/>
              </w:rPr>
              <w:t xml:space="preserve"> this agreement makes a breach easier to act on, but it cannot undo a leak. Share only what the other side needs, and share your most sensitive information late in the talks.</w:t>
            </w:r>
          </w:p>
          <w:p>
            <w:pPr>
              <w:spacing w:after="120" w:before="0" w:line="300"/>
            </w:pPr>
            <w:r>
              <w:rPr>
                <w:rFonts w:ascii="Nunito Sans" w:cs="Nunito Sans" w:eastAsia="Nunito Sans" w:hAnsi="Nunito Sans"/>
                <w:b/>
                <w:bCs/>
                <w:color w:val="102E3B"/>
                <w:sz w:val="19"/>
                <w:szCs w:val="19"/>
              </w:rPr>
              <w:t xml:space="preserve">Local law:</w:t>
            </w:r>
            <w:r>
              <w:rPr>
                <w:rFonts w:ascii="Nunito Sans" w:cs="Nunito Sans" w:eastAsia="Nunito Sans" w:hAnsi="Nunito Sans"/>
                <w:color w:val="102E3B"/>
                <w:sz w:val="19"/>
                <w:szCs w:val="19"/>
              </w:rPr>
              <w:t xml:space="preserve"> confidentiality agreements are recognised in most countries, but remedies and enforcement differ. If the information is highly valuable, such as a product or technology, ask a lawyer in </w:t>
            </w:r>
            <w:r>
              <w:rPr>
                <w:rFonts w:ascii="Nunito Sans" w:cs="Nunito Sans" w:eastAsia="Nunito Sans" w:hAnsi="Nunito Sans"/>
                <w:color w:val="102E3B"/>
                <w:sz w:val="19"/>
                <w:szCs w:val="19"/>
                <w:highlight w:val="yellow"/>
              </w:rPr>
              <w:t xml:space="preserve">[country]</w:t>
            </w:r>
            <w:r>
              <w:rPr>
                <w:rFonts w:ascii="Nunito Sans" w:cs="Nunito Sans" w:eastAsia="Nunito Sans" w:hAnsi="Nunito Sans"/>
                <w:color w:val="102E3B"/>
                <w:sz w:val="19"/>
                <w:szCs w:val="19"/>
              </w:rPr>
              <w:t xml:space="preserve"> to review the agreement.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rPr>
          <w:cantSplit/>
          <w:tblHeader/>
        </w:trPr>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PARTY A</w:t>
            </w:r>
          </w:p>
        </w:tc>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PARTY B</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Name: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[Full legal name]</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Name: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[Full legal name]</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Legal form and registration:</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[e.g. registered charity / company]</w:t>
            </w:r>
            <w:r>
              <w:rPr>
                <w:rFonts w:ascii="Nunito Sans" w:cs="Nunito Sans" w:eastAsia="Nunito Sans" w:hAnsi="Nunito Sans"/>
                <w:color w:val="102E3B"/>
                <w:sz w:val="18"/>
                <w:szCs w:val="18"/>
              </w:rPr>
              <w:t xml:space="preserve">, registered in </w:t>
            </w:r>
            <w:r>
              <w:rPr>
                <w:rFonts w:ascii="Nunito Sans" w:cs="Nunito Sans" w:eastAsia="Nunito Sans" w:hAnsi="Nunito Sans"/>
                <w:color w:val="102E3B"/>
                <w:sz w:val="18"/>
                <w:szCs w:val="18"/>
                <w:highlight w:val="yellow"/>
              </w:rPr>
              <w:t xml:space="preserve">[country]</w:t>
            </w:r>
            <w:r>
              <w:rPr>
                <w:rFonts w:ascii="Nunito Sans" w:cs="Nunito Sans" w:eastAsia="Nunito Sans" w:hAnsi="Nunito Sans"/>
                <w:color w:val="102E3B"/>
                <w:sz w:val="18"/>
                <w:szCs w:val="18"/>
              </w:rPr>
              <w:t xml:space="preserve"> under number </w:t>
            </w:r>
            <w:r>
              <w:rPr>
                <w:rFonts w:ascii="Nunito Sans" w:cs="Nunito Sans" w:eastAsia="Nunito Sans" w:hAnsi="Nunito Sans"/>
                <w:color w:val="102E3B"/>
                <w:sz w:val="18"/>
                <w:szCs w:val="18"/>
                <w:highlight w:val="yellow"/>
              </w:rPr>
              <w:t xml:space="preserve">[number]</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Legal form and registration:</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[e.g. foundation / social enterprise]</w:t>
            </w:r>
            <w:r>
              <w:rPr>
                <w:rFonts w:ascii="Nunito Sans" w:cs="Nunito Sans" w:eastAsia="Nunito Sans" w:hAnsi="Nunito Sans"/>
                <w:color w:val="102E3B"/>
                <w:sz w:val="18"/>
                <w:szCs w:val="18"/>
              </w:rPr>
              <w:t xml:space="preserve">, registered in </w:t>
            </w:r>
            <w:r>
              <w:rPr>
                <w:rFonts w:ascii="Nunito Sans" w:cs="Nunito Sans" w:eastAsia="Nunito Sans" w:hAnsi="Nunito Sans"/>
                <w:color w:val="102E3B"/>
                <w:sz w:val="18"/>
                <w:szCs w:val="18"/>
                <w:highlight w:val="yellow"/>
              </w:rPr>
              <w:t xml:space="preserve">[country]</w:t>
            </w:r>
            <w:r>
              <w:rPr>
                <w:rFonts w:ascii="Nunito Sans" w:cs="Nunito Sans" w:eastAsia="Nunito Sans" w:hAnsi="Nunito Sans"/>
                <w:color w:val="102E3B"/>
                <w:sz w:val="18"/>
                <w:szCs w:val="18"/>
              </w:rPr>
              <w:t xml:space="preserve"> under number </w:t>
            </w:r>
            <w:r>
              <w:rPr>
                <w:rFonts w:ascii="Nunito Sans" w:cs="Nunito Sans" w:eastAsia="Nunito Sans" w:hAnsi="Nunito Sans"/>
                <w:color w:val="102E3B"/>
                <w:sz w:val="18"/>
                <w:szCs w:val="18"/>
                <w:highlight w:val="yellow"/>
              </w:rPr>
              <w:t xml:space="preserve">[number]</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Address:</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[Registered address]</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Address:</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[Registered address]</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Contact for this agreement:</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[Name, role, email]</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Contact for this agreement:</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[Name, role, email]</w:t>
            </w:r>
          </w:p>
        </w:tc>
      </w:tr>
    </w:tbl>
    <w:p>
      <w:pPr>
        <w:spacing w:after="120"/>
      </w:pPr>
    </w:p>
    <w:p>
      <w:pPr>
        <w:spacing w:after="120" w:before="0" w:line="300"/>
      </w:pPr>
      <w:r>
        <w:rPr>
          <w:rFonts w:ascii="Nunito Sans" w:cs="Nunito Sans" w:eastAsia="Nunito Sans" w:hAnsi="Nunito Sans"/>
          <w:color w:val="102E3B"/>
          <w:sz w:val="20"/>
          <w:szCs w:val="20"/>
        </w:rPr>
        <w:t xml:space="preserve">Each is a "party". A party sharing information is the "Discloser" and a party receiving it is the "Recipient". Each party can be both.</w:t>
      </w:r>
    </w:p>
    <w:p>
      <w:pPr>
        <w:pStyle w:val="Heading1"/>
        <w:keepNext/>
        <w:spacing w:after="160" w:before="360"/>
      </w:pPr>
      <w:r>
        <w:rPr>
          <w:rFonts w:ascii="DM Serif Display" w:cs="DM Serif Display" w:eastAsia="DM Serif Display" w:hAnsi="DM Serif Display"/>
          <w:color w:val="123C48"/>
          <w:sz w:val="40"/>
          <w:szCs w:val="40"/>
        </w:rPr>
        <w:t xml:space="preserve">Background</w:t>
      </w:r>
    </w:p>
    <w:p>
      <w:pPr>
        <w:pStyle w:val="ListParagraph"/>
        <w:numPr>
          <w:ilvl w:val="0"/>
          <w:numId w:val="3"/>
        </w:numPr>
        <w:spacing w:after="80" w:line="290"/>
      </w:pPr>
      <w:r>
        <w:rPr>
          <w:rFonts w:ascii="Nunito Sans" w:cs="Nunito Sans" w:eastAsia="Nunito Sans" w:hAnsi="Nunito Sans"/>
          <w:color w:val="102E3B"/>
          <w:sz w:val="20"/>
          <w:szCs w:val="20"/>
        </w:rPr>
        <w:t xml:space="preserve">The parties wish to </w:t>
      </w:r>
      <w:r>
        <w:rPr>
          <w:rFonts w:ascii="Nunito Sans" w:cs="Nunito Sans" w:eastAsia="Nunito Sans" w:hAnsi="Nunito Sans"/>
          <w:color w:val="102E3B"/>
          <w:sz w:val="20"/>
          <w:szCs w:val="20"/>
          <w:highlight w:val="yellow"/>
        </w:rPr>
        <w:t xml:space="preserve">[e.g. explore a partnership to deliver a youth employment programme in X / prepare a joint application to Y funder]</w:t>
      </w:r>
      <w:r>
        <w:rPr>
          <w:rFonts w:ascii="Nunito Sans" w:cs="Nunito Sans" w:eastAsia="Nunito Sans" w:hAnsi="Nunito Sans"/>
          <w:color w:val="102E3B"/>
          <w:sz w:val="20"/>
          <w:szCs w:val="20"/>
        </w:rPr>
        <w:t xml:space="preserve"> (the </w:t>
      </w:r>
      <w:r>
        <w:rPr>
          <w:rFonts w:ascii="Nunito Sans" w:cs="Nunito Sans" w:eastAsia="Nunito Sans" w:hAnsi="Nunito Sans"/>
          <w:b/>
          <w:bCs/>
          <w:color w:val="102E3B"/>
          <w:sz w:val="20"/>
          <w:szCs w:val="20"/>
        </w:rPr>
        <w:t xml:space="preserve">Purpose</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For the Purpose, each party expects to share confidential information with the other. They agree to protect it on the terms below.</w:t>
      </w:r>
    </w:p>
    <w:p>
      <w:pPr>
        <w:pStyle w:val="Heading1"/>
        <w:keepNext/>
        <w:spacing w:after="160" w:before="360"/>
      </w:pPr>
      <w:r>
        <w:rPr>
          <w:rFonts w:ascii="DM Serif Display" w:cs="DM Serif Display" w:eastAsia="DM Serif Display" w:hAnsi="DM Serif Display"/>
          <w:color w:val="123C48"/>
          <w:sz w:val="40"/>
          <w:szCs w:val="40"/>
        </w:rPr>
        <w:t xml:space="preserve">Agreed terms</w:t>
      </w:r>
    </w:p>
    <w:p>
      <w:pPr>
        <w:pStyle w:val="Heading2"/>
        <w:keepNext/>
        <w:spacing w:after="120" w:before="280"/>
      </w:pPr>
      <w:r>
        <w:rPr>
          <w:rFonts w:ascii="DM Serif Display" w:cs="DM Serif Display" w:eastAsia="DM Serif Display" w:hAnsi="DM Serif Display"/>
          <w:color w:val="123C48"/>
          <w:sz w:val="28"/>
          <w:szCs w:val="28"/>
        </w:rPr>
        <w:t xml:space="preserve">1. Definitions</w:t>
      </w:r>
    </w:p>
    <w:p>
      <w:pPr>
        <w:pStyle w:val="ListParagraph"/>
        <w:numPr>
          <w:ilvl w:val="0"/>
          <w:numId w:val="4"/>
        </w:numPr>
        <w:spacing w:after="80" w:line="290"/>
      </w:pPr>
      <w:r>
        <w:rPr>
          <w:rFonts w:ascii="Nunito Sans" w:cs="Nunito Sans" w:eastAsia="Nunito Sans" w:hAnsi="Nunito Sans"/>
          <w:color w:val="102E3B"/>
          <w:sz w:val="20"/>
          <w:szCs w:val="20"/>
        </w:rPr>
        <w:t xml:space="preserve">In this agreement:</w:t>
      </w:r>
    </w:p>
    <w:p>
      <w:pPr>
        <w:pStyle w:val="ListParagraph"/>
        <w:numPr>
          <w:ilvl w:val="1"/>
          <w:numId w:val="4"/>
        </w:numPr>
        <w:spacing w:after="80" w:line="290"/>
      </w:pPr>
      <w:r>
        <w:rPr>
          <w:rFonts w:ascii="Nunito Sans" w:cs="Nunito Sans" w:eastAsia="Nunito Sans" w:hAnsi="Nunito Sans"/>
          <w:b/>
          <w:bCs/>
          <w:color w:val="102E3B"/>
          <w:sz w:val="20"/>
          <w:szCs w:val="20"/>
        </w:rPr>
        <w:t xml:space="preserve">Confidential Information</w:t>
      </w:r>
      <w:r>
        <w:rPr>
          <w:rFonts w:ascii="Nunito Sans" w:cs="Nunito Sans" w:eastAsia="Nunito Sans" w:hAnsi="Nunito Sans"/>
          <w:color w:val="102E3B"/>
          <w:sz w:val="20"/>
          <w:szCs w:val="20"/>
        </w:rPr>
        <w:t xml:space="preserve"> means all information about the Discloser, its work, people, finances, funders, partners, plans or methods that the Discloser, or someone for it, shares with the Recipient for the Purpose, in any form (written, electronic, spoken or seen), from </w:t>
      </w:r>
      <w:r>
        <w:rPr>
          <w:rFonts w:ascii="Nunito Sans" w:cs="Nunito Sans" w:eastAsia="Nunito Sans" w:hAnsi="Nunito Sans"/>
          <w:color w:val="102E3B"/>
          <w:sz w:val="20"/>
          <w:szCs w:val="20"/>
          <w:highlight w:val="yellow"/>
        </w:rPr>
        <w:t xml:space="preserve">[the Effective Date / date of first discussions]</w:t>
      </w:r>
      <w:r>
        <w:rPr>
          <w:rFonts w:ascii="Nunito Sans" w:cs="Nunito Sans" w:eastAsia="Nunito Sans" w:hAnsi="Nunito Sans"/>
          <w:color w:val="102E3B"/>
          <w:sz w:val="20"/>
          <w:szCs w:val="20"/>
        </w:rPr>
        <w:t xml:space="preserve">. It includes information that is marked confidential, that the Discloser says is confidential at the time, or that a reasonable person would understand to be confidential. It also includes notes, analyses and copies the Recipient makes from it.</w:t>
      </w:r>
    </w:p>
    <w:p>
      <w:pPr>
        <w:pStyle w:val="ListParagraph"/>
        <w:numPr>
          <w:ilvl w:val="1"/>
          <w:numId w:val="4"/>
        </w:numPr>
        <w:spacing w:after="80" w:line="290"/>
      </w:pPr>
      <w:r>
        <w:rPr>
          <w:rFonts w:ascii="Nunito Sans" w:cs="Nunito Sans" w:eastAsia="Nunito Sans" w:hAnsi="Nunito Sans"/>
          <w:b/>
          <w:bCs/>
          <w:color w:val="102E3B"/>
          <w:sz w:val="20"/>
          <w:szCs w:val="20"/>
        </w:rPr>
        <w:t xml:space="preserve">Business Day</w:t>
      </w:r>
      <w:r>
        <w:rPr>
          <w:rFonts w:ascii="Nunito Sans" w:cs="Nunito Sans" w:eastAsia="Nunito Sans" w:hAnsi="Nunito Sans"/>
          <w:color w:val="102E3B"/>
          <w:sz w:val="20"/>
          <w:szCs w:val="20"/>
        </w:rPr>
        <w:t xml:space="preserve"> means a day other than a weekend or public holiday in </w:t>
      </w:r>
      <w:r>
        <w:rPr>
          <w:rFonts w:ascii="Nunito Sans" w:cs="Nunito Sans" w:eastAsia="Nunito Sans" w:hAnsi="Nunito Sans"/>
          <w:color w:val="102E3B"/>
          <w:sz w:val="20"/>
          <w:szCs w:val="20"/>
          <w:highlight w:val="yellow"/>
        </w:rPr>
        <w:t xml:space="preserve">[country or city]</w:t>
      </w:r>
      <w:r>
        <w:rPr>
          <w:rFonts w:ascii="Nunito Sans" w:cs="Nunito Sans" w:eastAsia="Nunito Sans" w:hAnsi="Nunito Sans"/>
          <w:color w:val="102E3B"/>
          <w:sz w:val="20"/>
          <w:szCs w:val="20"/>
        </w:rPr>
        <w:t xml:space="preserve">.</w:t>
      </w:r>
    </w:p>
    <w:p>
      <w:pPr>
        <w:pStyle w:val="ListParagraph"/>
        <w:numPr>
          <w:ilvl w:val="1"/>
          <w:numId w:val="4"/>
        </w:numPr>
        <w:spacing w:after="80" w:line="290"/>
      </w:pPr>
      <w:r>
        <w:rPr>
          <w:rFonts w:ascii="Nunito Sans" w:cs="Nunito Sans" w:eastAsia="Nunito Sans" w:hAnsi="Nunito Sans"/>
          <w:b/>
          <w:bCs/>
          <w:color w:val="102E3B"/>
          <w:sz w:val="20"/>
          <w:szCs w:val="20"/>
        </w:rPr>
        <w:t xml:space="preserve">Effective Date</w:t>
      </w:r>
      <w:r>
        <w:rPr>
          <w:rFonts w:ascii="Nunito Sans" w:cs="Nunito Sans" w:eastAsia="Nunito Sans" w:hAnsi="Nunito Sans"/>
          <w:color w:val="102E3B"/>
          <w:sz w:val="20"/>
          <w:szCs w:val="20"/>
        </w:rPr>
        <w:t xml:space="preserve"> means </w:t>
      </w:r>
      <w:r>
        <w:rPr>
          <w:rFonts w:ascii="Nunito Sans" w:cs="Nunito Sans" w:eastAsia="Nunito Sans" w:hAnsi="Nunito Sans"/>
          <w:color w:val="102E3B"/>
          <w:sz w:val="20"/>
          <w:szCs w:val="20"/>
          <w:highlight w:val="yellow"/>
        </w:rPr>
        <w:t xml:space="preserve">[the date of the last signature below]</w:t>
      </w:r>
      <w:r>
        <w:rPr>
          <w:rFonts w:ascii="Nunito Sans" w:cs="Nunito Sans" w:eastAsia="Nunito Sans" w:hAnsi="Nunito Sans"/>
          <w:color w:val="102E3B"/>
          <w:sz w:val="20"/>
          <w:szCs w:val="20"/>
        </w:rPr>
        <w:t xml:space="preserve">.</w:t>
      </w:r>
    </w:p>
    <w:p>
      <w:pPr>
        <w:pStyle w:val="ListParagraph"/>
        <w:numPr>
          <w:ilvl w:val="1"/>
          <w:numId w:val="4"/>
        </w:numPr>
        <w:spacing w:after="80" w:line="290"/>
      </w:pPr>
      <w:r>
        <w:rPr>
          <w:rFonts w:ascii="Nunito Sans" w:cs="Nunito Sans" w:eastAsia="Nunito Sans" w:hAnsi="Nunito Sans"/>
          <w:b/>
          <w:bCs/>
          <w:color w:val="102E3B"/>
          <w:sz w:val="20"/>
          <w:szCs w:val="20"/>
        </w:rPr>
        <w:t xml:space="preserve">Representatives</w:t>
      </w:r>
      <w:r>
        <w:rPr>
          <w:rFonts w:ascii="Nunito Sans" w:cs="Nunito Sans" w:eastAsia="Nunito Sans" w:hAnsi="Nunito Sans"/>
          <w:color w:val="102E3B"/>
          <w:sz w:val="20"/>
          <w:szCs w:val="20"/>
        </w:rPr>
        <w:t xml:space="preserve"> means a party's board members, staff, volunteers, professional advisers (such as lawyers, accountants and auditors) and </w:t>
      </w:r>
      <w:r>
        <w:rPr>
          <w:rFonts w:ascii="Nunito Sans" w:cs="Nunito Sans" w:eastAsia="Nunito Sans" w:hAnsi="Nunito Sans"/>
          <w:color w:val="102E3B"/>
          <w:sz w:val="20"/>
          <w:szCs w:val="20"/>
          <w:highlight w:val="yellow"/>
        </w:rPr>
        <w:t xml:space="preserve">[named consortium members or funders]</w:t>
      </w:r>
      <w:r>
        <w:rPr>
          <w:rFonts w:ascii="Nunito Sans" w:cs="Nunito Sans" w:eastAsia="Nunito Sans" w:hAnsi="Nunito Sans"/>
          <w:color w:val="102E3B"/>
          <w:sz w:val="20"/>
          <w:szCs w:val="20"/>
        </w:rPr>
        <w:t xml:space="preserve">.</w:t>
      </w:r>
    </w:p>
    <w:p>
      <w:pPr>
        <w:pStyle w:val="ListParagraph"/>
        <w:numPr>
          <w:ilvl w:val="1"/>
          <w:numId w:val="4"/>
        </w:numPr>
        <w:spacing w:after="80" w:line="290"/>
      </w:pPr>
      <w:r>
        <w:rPr>
          <w:rFonts w:ascii="Nunito Sans" w:cs="Nunito Sans" w:eastAsia="Nunito Sans" w:hAnsi="Nunito Sans"/>
          <w:b/>
          <w:bCs/>
          <w:color w:val="102E3B"/>
          <w:sz w:val="20"/>
          <w:szCs w:val="20"/>
        </w:rPr>
        <w:t xml:space="preserve">Personal Data</w:t>
      </w:r>
      <w:r>
        <w:rPr>
          <w:rFonts w:ascii="Nunito Sans" w:cs="Nunito Sans" w:eastAsia="Nunito Sans" w:hAnsi="Nunito Sans"/>
          <w:color w:val="102E3B"/>
          <w:sz w:val="20"/>
          <w:szCs w:val="20"/>
        </w:rPr>
        <w:t xml:space="preserve"> means information about an identified or identifiable living person.</w:t>
      </w:r>
    </w:p>
    <w:p>
      <w:pPr>
        <w:pStyle w:val="ListParagraph"/>
        <w:numPr>
          <w:ilvl w:val="0"/>
          <w:numId w:val="4"/>
        </w:numPr>
        <w:spacing w:after="80" w:line="290"/>
      </w:pPr>
      <w:r>
        <w:rPr>
          <w:rFonts w:ascii="Nunito Sans" w:cs="Nunito Sans" w:eastAsia="Nunito Sans" w:hAnsi="Nunito Sans"/>
          <w:color w:val="102E3B"/>
          <w:sz w:val="20"/>
          <w:szCs w:val="20"/>
        </w:rPr>
        <w:t xml:space="preserve">"Including" means including without limitation. "In writing" includes email.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WHAT COUNTS AS CONFIDENTIAL</w:t>
            </w:r>
          </w:p>
          <w:p>
            <w:pPr>
              <w:spacing w:after="120" w:before="0" w:line="300"/>
            </w:pPr>
            <w:r>
              <w:rPr>
                <w:rFonts w:ascii="Nunito Sans" w:cs="Nunito Sans" w:eastAsia="Nunito Sans" w:hAnsi="Nunito Sans"/>
                <w:color w:val="102E3B"/>
                <w:sz w:val="19"/>
                <w:szCs w:val="19"/>
              </w:rPr>
              <w:t xml:space="preserve">The definition is broad, which suits early talks where much is said in meetings. If you would prefer a narrower agreement, you can require spoken information to be confirmed in writing as confidential within </w:t>
            </w:r>
            <w:r>
              <w:rPr>
                <w:rFonts w:ascii="Nunito Sans" w:cs="Nunito Sans" w:eastAsia="Nunito Sans" w:hAnsi="Nunito Sans"/>
                <w:color w:val="102E3B"/>
                <w:sz w:val="19"/>
                <w:szCs w:val="19"/>
                <w:highlight w:val="yellow"/>
              </w:rPr>
              <w:t xml:space="preserve">[10]</w:t>
            </w:r>
            <w:r>
              <w:rPr>
                <w:rFonts w:ascii="Nunito Sans" w:cs="Nunito Sans" w:eastAsia="Nunito Sans" w:hAnsi="Nunito Sans"/>
                <w:color w:val="102E3B"/>
                <w:sz w:val="19"/>
                <w:szCs w:val="19"/>
              </w:rPr>
              <w:t xml:space="preserve"> Business Days. That gives more certainty but is easy to forget.</w:t>
            </w:r>
          </w:p>
          <w:p>
            <w:pPr>
              <w:spacing w:after="120" w:before="0" w:line="300"/>
            </w:pPr>
            <w:r>
              <w:rPr>
                <w:rFonts w:ascii="Nunito Sans" w:cs="Nunito Sans" w:eastAsia="Nunito Sans" w:hAnsi="Nunito Sans"/>
                <w:color w:val="102E3B"/>
                <w:sz w:val="19"/>
                <w:szCs w:val="19"/>
              </w:rPr>
              <w:t xml:space="preserve">Decide whether the fact that you are in talks is itself confidential. This matters for mergers or sensitive partnerships. If so, add: "The existence and content of the parties' discussions are Confidential Information of both parties."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 What is not covered</w:t>
      </w:r>
    </w:p>
    <w:p>
      <w:pPr>
        <w:pStyle w:val="ListParagraph"/>
        <w:numPr>
          <w:ilvl w:val="0"/>
          <w:numId w:val="5"/>
        </w:numPr>
        <w:spacing w:after="80" w:line="290"/>
      </w:pPr>
      <w:r>
        <w:rPr>
          <w:rFonts w:ascii="Nunito Sans" w:cs="Nunito Sans" w:eastAsia="Nunito Sans" w:hAnsi="Nunito Sans"/>
          <w:color w:val="102E3B"/>
          <w:sz w:val="20"/>
          <w:szCs w:val="20"/>
        </w:rPr>
        <w:t xml:space="preserve">Information is not Confidential Information to the extent that the Recipient can show it:</w:t>
      </w:r>
    </w:p>
    <w:p>
      <w:pPr>
        <w:pStyle w:val="ListParagraph"/>
        <w:numPr>
          <w:ilvl w:val="1"/>
          <w:numId w:val="5"/>
        </w:numPr>
        <w:spacing w:after="80" w:line="290"/>
      </w:pPr>
      <w:r>
        <w:rPr>
          <w:rFonts w:ascii="Nunito Sans" w:cs="Nunito Sans" w:eastAsia="Nunito Sans" w:hAnsi="Nunito Sans"/>
          <w:color w:val="102E3B"/>
          <w:sz w:val="20"/>
          <w:szCs w:val="20"/>
        </w:rPr>
        <w:t xml:space="preserve">is or becomes public, other than through a breach of this agreement;</w:t>
      </w:r>
    </w:p>
    <w:p>
      <w:pPr>
        <w:pStyle w:val="ListParagraph"/>
        <w:numPr>
          <w:ilvl w:val="1"/>
          <w:numId w:val="5"/>
        </w:numPr>
        <w:spacing w:after="80" w:line="290"/>
      </w:pPr>
      <w:r>
        <w:rPr>
          <w:rFonts w:ascii="Nunito Sans" w:cs="Nunito Sans" w:eastAsia="Nunito Sans" w:hAnsi="Nunito Sans"/>
          <w:color w:val="102E3B"/>
          <w:sz w:val="20"/>
          <w:szCs w:val="20"/>
        </w:rPr>
        <w:t xml:space="preserve">was lawfully held by the Recipient, free of any duty of confidentiality, before the Discloser shared it;</w:t>
      </w:r>
    </w:p>
    <w:p>
      <w:pPr>
        <w:pStyle w:val="ListParagraph"/>
        <w:numPr>
          <w:ilvl w:val="1"/>
          <w:numId w:val="5"/>
        </w:numPr>
        <w:spacing w:after="80" w:line="290"/>
      </w:pPr>
      <w:r>
        <w:rPr>
          <w:rFonts w:ascii="Nunito Sans" w:cs="Nunito Sans" w:eastAsia="Nunito Sans" w:hAnsi="Nunito Sans"/>
          <w:color w:val="102E3B"/>
          <w:sz w:val="20"/>
          <w:szCs w:val="20"/>
        </w:rPr>
        <w:t xml:space="preserve">is received lawfully from someone else who is free to share it; or</w:t>
      </w:r>
    </w:p>
    <w:p>
      <w:pPr>
        <w:pStyle w:val="ListParagraph"/>
        <w:numPr>
          <w:ilvl w:val="1"/>
          <w:numId w:val="5"/>
        </w:numPr>
        <w:spacing w:after="80" w:line="290"/>
      </w:pPr>
      <w:r>
        <w:rPr>
          <w:rFonts w:ascii="Nunito Sans" w:cs="Nunito Sans" w:eastAsia="Nunito Sans" w:hAnsi="Nunito Sans"/>
          <w:color w:val="102E3B"/>
          <w:sz w:val="20"/>
          <w:szCs w:val="20"/>
        </w:rPr>
        <w:t xml:space="preserve">is developed independently by the Recipient, without using the Confidential Information.</w:t>
      </w:r>
    </w:p>
    <w:p>
      <w:pPr>
        <w:pStyle w:val="ListParagraph"/>
        <w:numPr>
          <w:ilvl w:val="0"/>
          <w:numId w:val="5"/>
        </w:numPr>
        <w:spacing w:after="80" w:line="290"/>
      </w:pPr>
      <w:r>
        <w:rPr>
          <w:rFonts w:ascii="Nunito Sans" w:cs="Nunito Sans" w:eastAsia="Nunito Sans" w:hAnsi="Nunito Sans"/>
          <w:color w:val="102E3B"/>
          <w:sz w:val="20"/>
          <w:szCs w:val="20"/>
        </w:rPr>
        <w:t xml:space="preserve">Information does not become public just because parts of it are public, or because it could be pieced together from public sources.</w:t>
      </w:r>
    </w:p>
    <w:p>
      <w:pPr>
        <w:pStyle w:val="Heading2"/>
        <w:keepNext/>
        <w:spacing w:after="120" w:before="280"/>
      </w:pPr>
      <w:r>
        <w:rPr>
          <w:rFonts w:ascii="DM Serif Display" w:cs="DM Serif Display" w:eastAsia="DM Serif Display" w:hAnsi="DM Serif Display"/>
          <w:color w:val="123C48"/>
          <w:sz w:val="28"/>
          <w:szCs w:val="28"/>
        </w:rPr>
        <w:t xml:space="preserve">3. How the Recipient will treat the information</w:t>
      </w:r>
    </w:p>
    <w:p>
      <w:pPr>
        <w:pStyle w:val="ListParagraph"/>
        <w:numPr>
          <w:ilvl w:val="0"/>
          <w:numId w:val="6"/>
        </w:numPr>
        <w:spacing w:after="80" w:line="290"/>
      </w:pPr>
      <w:r>
        <w:rPr>
          <w:rFonts w:ascii="Nunito Sans" w:cs="Nunito Sans" w:eastAsia="Nunito Sans" w:hAnsi="Nunito Sans"/>
          <w:color w:val="102E3B"/>
          <w:sz w:val="20"/>
          <w:szCs w:val="20"/>
        </w:rPr>
        <w:t xml:space="preserve">The Recipient will:</w:t>
      </w:r>
    </w:p>
    <w:p>
      <w:pPr>
        <w:pStyle w:val="ListParagraph"/>
        <w:numPr>
          <w:ilvl w:val="1"/>
          <w:numId w:val="6"/>
        </w:numPr>
        <w:spacing w:after="80" w:line="290"/>
      </w:pPr>
      <w:r>
        <w:rPr>
          <w:rFonts w:ascii="Nunito Sans" w:cs="Nunito Sans" w:eastAsia="Nunito Sans" w:hAnsi="Nunito Sans"/>
          <w:color w:val="102E3B"/>
          <w:sz w:val="20"/>
          <w:szCs w:val="20"/>
        </w:rPr>
        <w:t xml:space="preserve">keep the Confidential Information confidential;</w:t>
      </w:r>
    </w:p>
    <w:p>
      <w:pPr>
        <w:pStyle w:val="ListParagraph"/>
        <w:numPr>
          <w:ilvl w:val="1"/>
          <w:numId w:val="6"/>
        </w:numPr>
        <w:spacing w:after="80" w:line="290"/>
      </w:pPr>
      <w:r>
        <w:rPr>
          <w:rFonts w:ascii="Nunito Sans" w:cs="Nunito Sans" w:eastAsia="Nunito Sans" w:hAnsi="Nunito Sans"/>
          <w:color w:val="102E3B"/>
          <w:sz w:val="20"/>
          <w:szCs w:val="20"/>
        </w:rPr>
        <w:t xml:space="preserve">use it only for the Purpose;</w:t>
      </w:r>
    </w:p>
    <w:p>
      <w:pPr>
        <w:pStyle w:val="ListParagraph"/>
        <w:numPr>
          <w:ilvl w:val="1"/>
          <w:numId w:val="6"/>
        </w:numPr>
        <w:spacing w:after="80" w:line="290"/>
      </w:pPr>
      <w:r>
        <w:rPr>
          <w:rFonts w:ascii="Nunito Sans" w:cs="Nunito Sans" w:eastAsia="Nunito Sans" w:hAnsi="Nunito Sans"/>
          <w:color w:val="102E3B"/>
          <w:sz w:val="20"/>
          <w:szCs w:val="20"/>
        </w:rPr>
        <w:t xml:space="preserve">share it only as clause 4 allows;</w:t>
      </w:r>
    </w:p>
    <w:p>
      <w:pPr>
        <w:pStyle w:val="ListParagraph"/>
        <w:numPr>
          <w:ilvl w:val="1"/>
          <w:numId w:val="6"/>
        </w:numPr>
        <w:spacing w:after="80" w:line="290"/>
      </w:pPr>
      <w:r>
        <w:rPr>
          <w:rFonts w:ascii="Nunito Sans" w:cs="Nunito Sans" w:eastAsia="Nunito Sans" w:hAnsi="Nunito Sans"/>
          <w:color w:val="102E3B"/>
          <w:sz w:val="20"/>
          <w:szCs w:val="20"/>
        </w:rPr>
        <w:t xml:space="preserve">copy it only as far as the Purpose requires; and</w:t>
      </w:r>
    </w:p>
    <w:p>
      <w:pPr>
        <w:pStyle w:val="ListParagraph"/>
        <w:numPr>
          <w:ilvl w:val="1"/>
          <w:numId w:val="6"/>
        </w:numPr>
        <w:spacing w:after="80" w:line="290"/>
      </w:pPr>
      <w:r>
        <w:rPr>
          <w:rFonts w:ascii="Nunito Sans" w:cs="Nunito Sans" w:eastAsia="Nunito Sans" w:hAnsi="Nunito Sans"/>
          <w:color w:val="102E3B"/>
          <w:sz w:val="20"/>
          <w:szCs w:val="20"/>
        </w:rPr>
        <w:t xml:space="preserve">tell the Discloser in writing as soon as it becomes aware of any loss of, or unauthorised access to, the Confidential Information, and help to limit the harm.</w:t>
      </w:r>
    </w:p>
    <w:p>
      <w:pPr>
        <w:pStyle w:val="ListParagraph"/>
        <w:numPr>
          <w:ilvl w:val="0"/>
          <w:numId w:val="6"/>
        </w:numPr>
        <w:spacing w:after="80" w:line="290"/>
      </w:pPr>
      <w:r>
        <w:rPr>
          <w:rFonts w:ascii="Nunito Sans" w:cs="Nunito Sans" w:eastAsia="Nunito Sans" w:hAnsi="Nunito Sans"/>
          <w:color w:val="102E3B"/>
          <w:sz w:val="20"/>
          <w:szCs w:val="20"/>
        </w:rPr>
        <w:t xml:space="preserve">The Recipient will not use the Confidential Information to compete unfairly with the Discloser, to approach the Discloser's funders, partners or staff in a way that relies on it, or to make any public statement.</w:t>
      </w:r>
    </w:p>
    <w:p>
      <w:pPr>
        <w:pStyle w:val="Heading2"/>
        <w:keepNext/>
        <w:spacing w:after="120" w:before="280"/>
      </w:pPr>
      <w:r>
        <w:rPr>
          <w:rFonts w:ascii="DM Serif Display" w:cs="DM Serif Display" w:eastAsia="DM Serif Display" w:hAnsi="DM Serif Display"/>
          <w:color w:val="123C48"/>
          <w:sz w:val="28"/>
          <w:szCs w:val="28"/>
        </w:rPr>
        <w:t xml:space="preserve">4. Sharing with Representatives</w:t>
      </w:r>
    </w:p>
    <w:p>
      <w:pPr>
        <w:pStyle w:val="ListParagraph"/>
        <w:numPr>
          <w:ilvl w:val="0"/>
          <w:numId w:val="7"/>
        </w:numPr>
        <w:spacing w:after="80" w:line="290"/>
      </w:pPr>
      <w:r>
        <w:rPr>
          <w:rFonts w:ascii="Nunito Sans" w:cs="Nunito Sans" w:eastAsia="Nunito Sans" w:hAnsi="Nunito Sans"/>
          <w:color w:val="102E3B"/>
          <w:sz w:val="20"/>
          <w:szCs w:val="20"/>
        </w:rPr>
        <w:t xml:space="preserve">The Recipient may share Confidential Information with its Representatives who need it for the Purpose.</w:t>
      </w:r>
    </w:p>
    <w:p>
      <w:pPr>
        <w:pStyle w:val="ListParagraph"/>
        <w:numPr>
          <w:ilvl w:val="0"/>
          <w:numId w:val="7"/>
        </w:numPr>
        <w:spacing w:after="80" w:line="290"/>
      </w:pPr>
      <w:r>
        <w:rPr>
          <w:rFonts w:ascii="Nunito Sans" w:cs="Nunito Sans" w:eastAsia="Nunito Sans" w:hAnsi="Nunito Sans"/>
          <w:color w:val="102E3B"/>
          <w:sz w:val="20"/>
          <w:szCs w:val="20"/>
        </w:rPr>
        <w:t xml:space="preserve">Before doing so, the Recipient will tell them that the information is confidential and make sure they are bound by duties of confidentiality at least as strict as this agreement, through their contract, a professional duty or a written undertaking.</w:t>
      </w:r>
    </w:p>
    <w:p>
      <w:pPr>
        <w:pStyle w:val="ListParagraph"/>
        <w:numPr>
          <w:ilvl w:val="0"/>
          <w:numId w:val="7"/>
        </w:numPr>
        <w:spacing w:after="80" w:line="290"/>
      </w:pPr>
      <w:r>
        <w:rPr>
          <w:rFonts w:ascii="Nunito Sans" w:cs="Nunito Sans" w:eastAsia="Nunito Sans" w:hAnsi="Nunito Sans"/>
          <w:color w:val="102E3B"/>
          <w:sz w:val="20"/>
          <w:szCs w:val="20"/>
        </w:rPr>
        <w:t xml:space="preserve">The Recipient is responsible for any breach of this agreement by its Representatives.</w:t>
      </w:r>
    </w:p>
    <w:p>
      <w:pPr>
        <w:pStyle w:val="ListParagraph"/>
        <w:numPr>
          <w:ilvl w:val="0"/>
          <w:numId w:val="7"/>
        </w:numPr>
        <w:spacing w:after="80" w:line="290"/>
      </w:pPr>
      <w:r>
        <w:rPr>
          <w:rFonts w:ascii="Nunito Sans" w:cs="Nunito Sans" w:eastAsia="Nunito Sans" w:hAnsi="Nunito Sans"/>
          <w:color w:val="102E3B"/>
          <w:sz w:val="20"/>
          <w:szCs w:val="20"/>
        </w:rPr>
        <w:t xml:space="preserve">The Recipient will not share Confidential Information with anyone else, including funders, consortium members or the media, without the Discloser's prior written consent.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MAY SEE THE INFORMATION</w:t>
            </w:r>
          </w:p>
          <w:p>
            <w:pPr>
              <w:spacing w:after="120" w:before="0" w:line="300"/>
            </w:pPr>
            <w:r>
              <w:rPr>
                <w:rFonts w:ascii="Nunito Sans" w:cs="Nunito Sans" w:eastAsia="Nunito Sans" w:hAnsi="Nunito Sans"/>
                <w:color w:val="102E3B"/>
                <w:sz w:val="19"/>
                <w:szCs w:val="19"/>
              </w:rPr>
              <w:t xml:space="preserve">Keep the list of Representatives short. If a joint bid involves other consortium members, or a funder needs to see the information before deciding, name them in clause 1.1(d) or ask them to sign this agreement as additional parties. Some organisations also limit sharing to a named team: if so, add a list in a short schedule.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5. Disclosure required by law</w:t>
      </w:r>
    </w:p>
    <w:p>
      <w:pPr>
        <w:pStyle w:val="ListParagraph"/>
        <w:numPr>
          <w:ilvl w:val="0"/>
          <w:numId w:val="8"/>
        </w:numPr>
        <w:spacing w:after="80" w:line="290"/>
      </w:pPr>
      <w:r>
        <w:rPr>
          <w:rFonts w:ascii="Nunito Sans" w:cs="Nunito Sans" w:eastAsia="Nunito Sans" w:hAnsi="Nunito Sans"/>
          <w:color w:val="102E3B"/>
          <w:sz w:val="20"/>
          <w:szCs w:val="20"/>
        </w:rPr>
        <w:t xml:space="preserve">The Recipient may disclose Confidential Information if the law, a court, a regulator or another authority with legal power requires it.</w:t>
      </w:r>
    </w:p>
    <w:p>
      <w:pPr>
        <w:pStyle w:val="ListParagraph"/>
        <w:numPr>
          <w:ilvl w:val="0"/>
          <w:numId w:val="8"/>
        </w:numPr>
        <w:spacing w:after="80" w:line="290"/>
      </w:pPr>
      <w:r>
        <w:rPr>
          <w:rFonts w:ascii="Nunito Sans" w:cs="Nunito Sans" w:eastAsia="Nunito Sans" w:hAnsi="Nunito Sans"/>
          <w:color w:val="102E3B"/>
          <w:sz w:val="20"/>
          <w:szCs w:val="20"/>
        </w:rPr>
        <w:t xml:space="preserve">Where the law allows, the Recipient will tell the Discloser promptly before disclosing, so that the Discloser can seek protection, such as a confidentiality order, at its own cost. The Recipient will cooperate reasonably and disclose only what is required.</w:t>
      </w:r>
    </w:p>
    <w:p>
      <w:pPr>
        <w:pStyle w:val="ListParagraph"/>
        <w:numPr>
          <w:ilvl w:val="0"/>
          <w:numId w:val="8"/>
        </w:numPr>
        <w:spacing w:after="80" w:line="290"/>
      </w:pPr>
      <w:r>
        <w:rPr>
          <w:rFonts w:ascii="Nunito Sans" w:cs="Nunito Sans" w:eastAsia="Nunito Sans" w:hAnsi="Nunito Sans"/>
          <w:color w:val="102E3B"/>
          <w:sz w:val="20"/>
          <w:szCs w:val="20"/>
        </w:rPr>
        <w:t xml:space="preserve">Nothing in this agreement prevents either party, or any of its Representatives, from reporting suspected wrongdoing (such as fraud, abuse or a danger to health or safety) to a regulator, the police or another authority, or from making any disclosure protected by law.</w:t>
      </w:r>
    </w:p>
    <w:p>
      <w:pPr>
        <w:pStyle w:val="Heading2"/>
        <w:keepNext/>
        <w:spacing w:after="120" w:before="280"/>
      </w:pPr>
      <w:r>
        <w:rPr>
          <w:rFonts w:ascii="DM Serif Display" w:cs="DM Serif Display" w:eastAsia="DM Serif Display" w:hAnsi="DM Serif Display"/>
          <w:color w:val="123C48"/>
          <w:sz w:val="28"/>
          <w:szCs w:val="28"/>
        </w:rPr>
        <w:t xml:space="preserve">6. Security</w:t>
      </w:r>
    </w:p>
    <w:p>
      <w:pPr>
        <w:pStyle w:val="ListParagraph"/>
        <w:numPr>
          <w:ilvl w:val="0"/>
          <w:numId w:val="9"/>
        </w:numPr>
        <w:spacing w:after="80" w:line="290"/>
      </w:pPr>
      <w:r>
        <w:rPr>
          <w:rFonts w:ascii="Nunito Sans" w:cs="Nunito Sans" w:eastAsia="Nunito Sans" w:hAnsi="Nunito Sans"/>
          <w:color w:val="102E3B"/>
          <w:sz w:val="20"/>
          <w:szCs w:val="20"/>
        </w:rPr>
        <w:t xml:space="preserve">The Recipient will protect the Confidential Information with at least the same care it uses for its own confidential information, and never less than reasonable care.</w:t>
      </w:r>
    </w:p>
    <w:p>
      <w:pPr>
        <w:pStyle w:val="ListParagraph"/>
        <w:numPr>
          <w:ilvl w:val="0"/>
          <w:numId w:val="9"/>
        </w:numPr>
        <w:spacing w:after="80" w:line="290"/>
      </w:pPr>
      <w:r>
        <w:rPr>
          <w:rFonts w:ascii="Nunito Sans" w:cs="Nunito Sans" w:eastAsia="Nunito Sans" w:hAnsi="Nunito Sans"/>
          <w:color w:val="102E3B"/>
          <w:sz w:val="20"/>
          <w:szCs w:val="20"/>
        </w:rPr>
        <w:t xml:space="preserve">In particular, it will:</w:t>
      </w:r>
    </w:p>
    <w:p>
      <w:pPr>
        <w:pStyle w:val="ListParagraph"/>
        <w:numPr>
          <w:ilvl w:val="1"/>
          <w:numId w:val="9"/>
        </w:numPr>
        <w:spacing w:after="80" w:line="290"/>
      </w:pPr>
      <w:r>
        <w:rPr>
          <w:rFonts w:ascii="Nunito Sans" w:cs="Nunito Sans" w:eastAsia="Nunito Sans" w:hAnsi="Nunito Sans"/>
          <w:color w:val="102E3B"/>
          <w:sz w:val="20"/>
          <w:szCs w:val="20"/>
        </w:rPr>
        <w:t xml:space="preserve">store it only on systems that the Recipient controls and that are protected by passwords and, for sensitive information, multi-factor authentication or encryption;</w:t>
      </w:r>
    </w:p>
    <w:p>
      <w:pPr>
        <w:pStyle w:val="ListParagraph"/>
        <w:numPr>
          <w:ilvl w:val="1"/>
          <w:numId w:val="9"/>
        </w:numPr>
        <w:spacing w:after="80" w:line="290"/>
      </w:pPr>
      <w:r>
        <w:rPr>
          <w:rFonts w:ascii="Nunito Sans" w:cs="Nunito Sans" w:eastAsia="Nunito Sans" w:hAnsi="Nunito Sans"/>
          <w:color w:val="102E3B"/>
          <w:sz w:val="20"/>
          <w:szCs w:val="20"/>
        </w:rPr>
        <w:t xml:space="preserve">limit access to the people allowed under clause 4;</w:t>
      </w:r>
    </w:p>
    <w:p>
      <w:pPr>
        <w:pStyle w:val="ListParagraph"/>
        <w:numPr>
          <w:ilvl w:val="1"/>
          <w:numId w:val="9"/>
        </w:numPr>
        <w:spacing w:after="80" w:line="290"/>
      </w:pPr>
      <w:r>
        <w:rPr>
          <w:rFonts w:ascii="Nunito Sans" w:cs="Nunito Sans" w:eastAsia="Nunito Sans" w:hAnsi="Nunito Sans"/>
          <w:color w:val="102E3B"/>
          <w:sz w:val="20"/>
          <w:szCs w:val="20"/>
        </w:rPr>
        <w:t xml:space="preserve">not keep it in personal email or messaging accounts; and</w:t>
      </w:r>
    </w:p>
    <w:p>
      <w:pPr>
        <w:pStyle w:val="ListParagraph"/>
        <w:numPr>
          <w:ilvl w:val="1"/>
          <w:numId w:val="9"/>
        </w:numPr>
        <w:spacing w:after="80" w:line="290"/>
      </w:pPr>
      <w:r>
        <w:rPr>
          <w:rFonts w:ascii="Nunito Sans" w:cs="Nunito Sans" w:eastAsia="Nunito Sans" w:hAnsi="Nunito Sans"/>
          <w:color w:val="102E3B"/>
          <w:sz w:val="20"/>
          <w:szCs w:val="20"/>
        </w:rPr>
        <w:t xml:space="preserve">not enter it into artificial intelligence (AI) tools or other online services that may keep or reuse it, unless the Discloser agrees in writing.</w:t>
      </w:r>
    </w:p>
    <w:p>
      <w:pPr>
        <w:pStyle w:val="Heading2"/>
        <w:keepNext/>
        <w:spacing w:after="120" w:before="280"/>
      </w:pPr>
      <w:r>
        <w:rPr>
          <w:rFonts w:ascii="DM Serif Display" w:cs="DM Serif Display" w:eastAsia="DM Serif Display" w:hAnsi="DM Serif Display"/>
          <w:color w:val="123C48"/>
          <w:sz w:val="28"/>
          <w:szCs w:val="28"/>
        </w:rPr>
        <w:t xml:space="preserve">7. Personal data</w:t>
      </w:r>
    </w:p>
    <w:p>
      <w:pPr>
        <w:pStyle w:val="ListParagraph"/>
        <w:numPr>
          <w:ilvl w:val="0"/>
          <w:numId w:val="10"/>
        </w:numPr>
        <w:spacing w:after="80" w:line="290"/>
      </w:pPr>
      <w:r>
        <w:rPr>
          <w:rFonts w:ascii="Nunito Sans" w:cs="Nunito Sans" w:eastAsia="Nunito Sans" w:hAnsi="Nunito Sans"/>
          <w:color w:val="102E3B"/>
          <w:sz w:val="20"/>
          <w:szCs w:val="20"/>
        </w:rPr>
        <w:t xml:space="preserve">The parties will not share Personal Data under this agreement, except the work contact details of the people involved in the discussions.</w:t>
      </w:r>
    </w:p>
    <w:p>
      <w:pPr>
        <w:pStyle w:val="ListParagraph"/>
        <w:numPr>
          <w:ilvl w:val="0"/>
          <w:numId w:val="10"/>
        </w:numPr>
        <w:spacing w:after="80" w:line="290"/>
      </w:pPr>
      <w:r>
        <w:rPr>
          <w:rFonts w:ascii="Nunito Sans" w:cs="Nunito Sans" w:eastAsia="Nunito Sans" w:hAnsi="Nunito Sans"/>
          <w:color w:val="102E3B"/>
          <w:sz w:val="20"/>
          <w:szCs w:val="20"/>
        </w:rPr>
        <w:t xml:space="preserve">If either party needs to share other Personal Data, especially about people it serves, the parties will first sign a Data Sharing Agreement or processor terms that meet data protection law. They will share anonymised data wherever possible.</w:t>
      </w:r>
    </w:p>
    <w:p>
      <w:pPr>
        <w:pStyle w:val="ListParagraph"/>
        <w:numPr>
          <w:ilvl w:val="0"/>
          <w:numId w:val="10"/>
        </w:numPr>
        <w:spacing w:after="80" w:line="290"/>
      </w:pPr>
      <w:r>
        <w:rPr>
          <w:rFonts w:ascii="Nunito Sans" w:cs="Nunito Sans" w:eastAsia="Nunito Sans" w:hAnsi="Nunito Sans"/>
          <w:color w:val="102E3B"/>
          <w:sz w:val="20"/>
          <w:szCs w:val="20"/>
        </w:rPr>
        <w:t xml:space="preserve">Each party will comply with the data protection laws that apply to it, including </w:t>
      </w:r>
      <w:r>
        <w:rPr>
          <w:rFonts w:ascii="Nunito Sans" w:cs="Nunito Sans" w:eastAsia="Nunito Sans" w:hAnsi="Nunito Sans"/>
          <w:color w:val="102E3B"/>
          <w:sz w:val="20"/>
          <w:szCs w:val="20"/>
          <w:highlight w:val="yellow"/>
        </w:rPr>
        <w:t xml:space="preserve">[e.g. the Nigeria Data Protection Act 2023 / the EU or UK GDPR]</w:t>
      </w:r>
      <w:r>
        <w:rPr>
          <w:rFonts w:ascii="Nunito Sans" w:cs="Nunito Sans" w:eastAsia="Nunito Sans" w:hAnsi="Nunito Sans"/>
          <w:color w:val="102E3B"/>
          <w:sz w:val="20"/>
          <w:szCs w:val="20"/>
        </w:rPr>
        <w:t xml:space="preserve">. If Personal Data is shared by mistake, the Recipient will tell the Discloser within </w:t>
      </w:r>
      <w:r>
        <w:rPr>
          <w:rFonts w:ascii="Nunito Sans" w:cs="Nunito Sans" w:eastAsia="Nunito Sans" w:hAnsi="Nunito Sans"/>
          <w:color w:val="102E3B"/>
          <w:sz w:val="20"/>
          <w:szCs w:val="20"/>
          <w:highlight w:val="yellow"/>
        </w:rPr>
        <w:t xml:space="preserve">[48 hours]</w:t>
      </w:r>
      <w:r>
        <w:rPr>
          <w:rFonts w:ascii="Nunito Sans" w:cs="Nunito Sans" w:eastAsia="Nunito Sans" w:hAnsi="Nunito Sans"/>
          <w:color w:val="102E3B"/>
          <w:sz w:val="20"/>
          <w:szCs w:val="20"/>
        </w:rPr>
        <w:t xml:space="preserve"> and delete it unless the Discloser asks otherwise.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PERSONAL DATA</w:t>
            </w:r>
          </w:p>
          <w:p>
            <w:pPr>
              <w:spacing w:after="120" w:before="0" w:line="300"/>
            </w:pPr>
            <w:r>
              <w:rPr>
                <w:rFonts w:ascii="Nunito Sans" w:cs="Nunito Sans" w:eastAsia="Nunito Sans" w:hAnsi="Nunito Sans"/>
                <w:color w:val="102E3B"/>
                <w:sz w:val="19"/>
                <w:szCs w:val="19"/>
              </w:rPr>
              <w:t xml:space="preserve">Most early talks need no personal data at all. Use summaries and anonymised figures, for example "212 participants, 64% women", rather than lists or case files. If a party must see personal data to assess a partnership, such as during due diligence on safeguarding records, take advice first and record the decision in a Data Protection Impact Assessment where your law requires one. Check your local data protection law.</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Ownership, no licence and no warranty</w:t>
      </w:r>
    </w:p>
    <w:p>
      <w:pPr>
        <w:pStyle w:val="ListParagraph"/>
        <w:numPr>
          <w:ilvl w:val="0"/>
          <w:numId w:val="11"/>
        </w:numPr>
        <w:spacing w:after="80" w:line="290"/>
      </w:pPr>
      <w:r>
        <w:rPr>
          <w:rFonts w:ascii="Nunito Sans" w:cs="Nunito Sans" w:eastAsia="Nunito Sans" w:hAnsi="Nunito Sans"/>
          <w:color w:val="102E3B"/>
          <w:sz w:val="20"/>
          <w:szCs w:val="20"/>
        </w:rPr>
        <w:t xml:space="preserve">All Confidential Information remains the property of the Discloser. Sharing it gives the Recipient no licence or other right in it, or in any Intellectual Property Rights (such as copyright or trade marks), except to use it for the Purpose.</w:t>
      </w:r>
    </w:p>
    <w:p>
      <w:pPr>
        <w:pStyle w:val="ListParagraph"/>
        <w:numPr>
          <w:ilvl w:val="0"/>
          <w:numId w:val="11"/>
        </w:numPr>
        <w:spacing w:after="80" w:line="290"/>
      </w:pPr>
      <w:r>
        <w:rPr>
          <w:rFonts w:ascii="Nunito Sans" w:cs="Nunito Sans" w:eastAsia="Nunito Sans" w:hAnsi="Nunito Sans"/>
          <w:color w:val="102E3B"/>
          <w:sz w:val="20"/>
          <w:szCs w:val="20"/>
        </w:rPr>
        <w:t xml:space="preserve">The Discloser shares Confidential Information in good faith but makes no promise that it is complete or accurate, except as agreed in any later agreement. The Discloser is not liable for the Recipient's use of it.</w:t>
      </w:r>
    </w:p>
    <w:p>
      <w:pPr>
        <w:pStyle w:val="Heading2"/>
        <w:keepNext/>
        <w:spacing w:after="120" w:before="280"/>
      </w:pPr>
      <w:r>
        <w:rPr>
          <w:rFonts w:ascii="DM Serif Display" w:cs="DM Serif Display" w:eastAsia="DM Serif Display" w:hAnsi="DM Serif Display"/>
          <w:color w:val="123C48"/>
          <w:sz w:val="28"/>
          <w:szCs w:val="28"/>
        </w:rPr>
        <w:t xml:space="preserve">9. No obligation to proceed</w:t>
      </w:r>
    </w:p>
    <w:p>
      <w:pPr>
        <w:pStyle w:val="ListParagraph"/>
        <w:numPr>
          <w:ilvl w:val="0"/>
          <w:numId w:val="12"/>
        </w:numPr>
        <w:spacing w:after="80" w:line="290"/>
      </w:pPr>
      <w:r>
        <w:rPr>
          <w:rFonts w:ascii="Nunito Sans" w:cs="Nunito Sans" w:eastAsia="Nunito Sans" w:hAnsi="Nunito Sans"/>
          <w:color w:val="102E3B"/>
          <w:sz w:val="20"/>
          <w:szCs w:val="20"/>
        </w:rPr>
        <w:t xml:space="preserve">This agreement does not oblige either party to share any particular information, to continue talks or to enter into any further agreement.</w:t>
      </w:r>
    </w:p>
    <w:p>
      <w:pPr>
        <w:pStyle w:val="ListParagraph"/>
        <w:numPr>
          <w:ilvl w:val="0"/>
          <w:numId w:val="12"/>
        </w:numPr>
        <w:spacing w:after="80" w:line="290"/>
      </w:pPr>
      <w:r>
        <w:rPr>
          <w:rFonts w:ascii="Nunito Sans" w:cs="Nunito Sans" w:eastAsia="Nunito Sans" w:hAnsi="Nunito Sans"/>
          <w:color w:val="102E3B"/>
          <w:sz w:val="20"/>
          <w:szCs w:val="20"/>
        </w:rPr>
        <w:t xml:space="preserve">Either party may end the talks at any time, for any reason, by telling the other in writing.</w:t>
      </w:r>
    </w:p>
    <w:p>
      <w:pPr>
        <w:pStyle w:val="ListParagraph"/>
        <w:numPr>
          <w:ilvl w:val="0"/>
          <w:numId w:val="12"/>
        </w:numPr>
        <w:spacing w:after="80" w:line="290"/>
      </w:pPr>
      <w:r>
        <w:rPr>
          <w:rFonts w:ascii="Nunito Sans" w:cs="Nunito Sans" w:eastAsia="Nunito Sans" w:hAnsi="Nunito Sans"/>
          <w:color w:val="102E3B"/>
          <w:sz w:val="20"/>
          <w:szCs w:val="20"/>
        </w:rPr>
        <w:t xml:space="preserve">This agreement does not create a partnership, agency or exclusive relationship. Each party remains free to talk to and work with others, provided it does not use or disclose the other's Confidential Information.</w:t>
      </w:r>
    </w:p>
    <w:p>
      <w:pPr>
        <w:pStyle w:val="ListParagraph"/>
        <w:numPr>
          <w:ilvl w:val="0"/>
          <w:numId w:val="12"/>
        </w:numPr>
        <w:spacing w:after="80" w:line="290"/>
      </w:pPr>
      <w:r>
        <w:rPr>
          <w:rFonts w:ascii="Nunito Sans" w:cs="Nunito Sans" w:eastAsia="Nunito Sans" w:hAnsi="Nunito Sans"/>
          <w:color w:val="102E3B"/>
          <w:sz w:val="20"/>
          <w:szCs w:val="20"/>
        </w:rPr>
        <w:t xml:space="preserve">Each party pays its own costs of the talks and of this agreement.</w:t>
      </w:r>
    </w:p>
    <w:p>
      <w:pPr>
        <w:pStyle w:val="Heading2"/>
        <w:keepNext/>
        <w:spacing w:after="120" w:before="280"/>
      </w:pPr>
      <w:r>
        <w:rPr>
          <w:rFonts w:ascii="DM Serif Display" w:cs="DM Serif Display" w:eastAsia="DM Serif Display" w:hAnsi="DM Serif Display"/>
          <w:color w:val="123C48"/>
          <w:sz w:val="28"/>
          <w:szCs w:val="28"/>
        </w:rPr>
        <w:t xml:space="preserve">10. Return or deletion</w:t>
      </w:r>
    </w:p>
    <w:p>
      <w:pPr>
        <w:pStyle w:val="ListParagraph"/>
        <w:numPr>
          <w:ilvl w:val="0"/>
          <w:numId w:val="13"/>
        </w:numPr>
        <w:spacing w:after="80" w:line="290"/>
      </w:pPr>
      <w:r>
        <w:rPr>
          <w:rFonts w:ascii="Nunito Sans" w:cs="Nunito Sans" w:eastAsia="Nunito Sans" w:hAnsi="Nunito Sans"/>
          <w:color w:val="102E3B"/>
          <w:sz w:val="20"/>
          <w:szCs w:val="20"/>
        </w:rPr>
        <w:t xml:space="preserve">Within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Business Days of the Discloser's written request, or of the talks ending, the Recipient will return or securely delete the Discloser's Confidential Information, including copies and notes, and confirm this in writing.</w:t>
      </w:r>
    </w:p>
    <w:p>
      <w:pPr>
        <w:pStyle w:val="ListParagraph"/>
        <w:numPr>
          <w:ilvl w:val="0"/>
          <w:numId w:val="13"/>
        </w:numPr>
        <w:spacing w:after="80" w:line="290"/>
      </w:pPr>
      <w:r>
        <w:rPr>
          <w:rFonts w:ascii="Nunito Sans" w:cs="Nunito Sans" w:eastAsia="Nunito Sans" w:hAnsi="Nunito Sans"/>
          <w:color w:val="102E3B"/>
          <w:sz w:val="20"/>
          <w:szCs w:val="20"/>
        </w:rPr>
        <w:t xml:space="preserve">The Recipient need not delete information it must keep by law or under its records policy, such as board minutes, or copies held in automatic backups that cannot reasonably be deleted. That information remains confidential under this agreement, and the Recipient will not access it except as the law requires.</w:t>
      </w:r>
    </w:p>
    <w:p>
      <w:pPr>
        <w:pStyle w:val="Heading2"/>
        <w:keepNext/>
        <w:spacing w:after="120" w:before="280"/>
      </w:pPr>
      <w:r>
        <w:rPr>
          <w:rFonts w:ascii="DM Serif Display" w:cs="DM Serif Display" w:eastAsia="DM Serif Display" w:hAnsi="DM Serif Display"/>
          <w:color w:val="123C48"/>
          <w:sz w:val="28"/>
          <w:szCs w:val="28"/>
        </w:rPr>
        <w:t xml:space="preserve">11. Duration</w:t>
      </w:r>
    </w:p>
    <w:p>
      <w:pPr>
        <w:pStyle w:val="ListParagraph"/>
        <w:numPr>
          <w:ilvl w:val="0"/>
          <w:numId w:val="14"/>
        </w:numPr>
        <w:spacing w:after="80" w:line="290"/>
      </w:pPr>
      <w:r>
        <w:rPr>
          <w:rFonts w:ascii="Nunito Sans" w:cs="Nunito Sans" w:eastAsia="Nunito Sans" w:hAnsi="Nunito Sans"/>
          <w:color w:val="102E3B"/>
          <w:sz w:val="20"/>
          <w:szCs w:val="20"/>
        </w:rPr>
        <w:t xml:space="preserve">This agreement starts on the Effective Date. It covers information shared during </w:t>
      </w:r>
      <w:r>
        <w:rPr>
          <w:rFonts w:ascii="Nunito Sans" w:cs="Nunito Sans" w:eastAsia="Nunito Sans" w:hAnsi="Nunito Sans"/>
          <w:color w:val="102E3B"/>
          <w:sz w:val="20"/>
          <w:szCs w:val="20"/>
          <w:highlight w:val="yellow"/>
        </w:rPr>
        <w:t xml:space="preserve">[2 years]</w:t>
      </w:r>
      <w:r>
        <w:rPr>
          <w:rFonts w:ascii="Nunito Sans" w:cs="Nunito Sans" w:eastAsia="Nunito Sans" w:hAnsi="Nunito Sans"/>
          <w:color w:val="102E3B"/>
          <w:sz w:val="20"/>
          <w:szCs w:val="20"/>
        </w:rPr>
        <w:t xml:space="preserve"> from the Effective Date, unless either party ends it earlier by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days' written notice, or the parties sign a further agreement that replaces it.</w:t>
      </w:r>
    </w:p>
    <w:p>
      <w:pPr>
        <w:pStyle w:val="ListParagraph"/>
        <w:numPr>
          <w:ilvl w:val="0"/>
          <w:numId w:val="14"/>
        </w:numPr>
        <w:spacing w:after="80" w:line="290"/>
      </w:pPr>
      <w:r>
        <w:rPr>
          <w:rFonts w:ascii="Nunito Sans" w:cs="Nunito Sans" w:eastAsia="Nunito Sans" w:hAnsi="Nunito Sans"/>
          <w:color w:val="102E3B"/>
          <w:sz w:val="20"/>
          <w:szCs w:val="20"/>
        </w:rPr>
        <w:t xml:space="preserve">The duties in this agreement continue for </w:t>
      </w:r>
      <w:r>
        <w:rPr>
          <w:rFonts w:ascii="Nunito Sans" w:cs="Nunito Sans" w:eastAsia="Nunito Sans" w:hAnsi="Nunito Sans"/>
          <w:color w:val="102E3B"/>
          <w:sz w:val="20"/>
          <w:szCs w:val="20"/>
          <w:highlight w:val="yellow"/>
        </w:rPr>
        <w:t xml:space="preserve">[3 / 5]</w:t>
      </w:r>
      <w:r>
        <w:rPr>
          <w:rFonts w:ascii="Nunito Sans" w:cs="Nunito Sans" w:eastAsia="Nunito Sans" w:hAnsi="Nunito Sans"/>
          <w:color w:val="102E3B"/>
          <w:sz w:val="20"/>
          <w:szCs w:val="20"/>
        </w:rPr>
        <w:t xml:space="preserve"> years after this agreement ends. For trade secrets and for Personal Data, they continue for as long as the information remains a trade secret or Personal Data.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HOW LONG CONFIDENTIALITY LASTS</w:t>
            </w:r>
          </w:p>
          <w:p>
            <w:pPr>
              <w:spacing w:after="120" w:before="0" w:line="300"/>
            </w:pPr>
            <w:r>
              <w:rPr>
                <w:rFonts w:ascii="Nunito Sans" w:cs="Nunito Sans" w:eastAsia="Nunito Sans" w:hAnsi="Nunito Sans"/>
                <w:color w:val="102E3B"/>
                <w:sz w:val="19"/>
                <w:szCs w:val="19"/>
              </w:rPr>
              <w:t xml:space="preserve">Two periods matter: how long the parties can share information under this agreement (clause 11.1), and how long the duty to keep it confidential lasts (clause 11.2). For most partnership talks, three years after the end is reasonable. Use five years or more for business plans, technology or merger information. A duty with no end date may be unenforceable in some countries, so keep the open-ended duty only for trade secrets and personal data. Check your local law on confidentiality and trade secrets.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12. Remedies</w:t>
      </w:r>
    </w:p>
    <w:p>
      <w:pPr>
        <w:pStyle w:val="ListParagraph"/>
        <w:numPr>
          <w:ilvl w:val="0"/>
          <w:numId w:val="15"/>
        </w:numPr>
        <w:spacing w:after="80" w:line="290"/>
      </w:pPr>
      <w:r>
        <w:rPr>
          <w:rFonts w:ascii="Nunito Sans" w:cs="Nunito Sans" w:eastAsia="Nunito Sans" w:hAnsi="Nunito Sans"/>
          <w:color w:val="102E3B"/>
          <w:sz w:val="20"/>
          <w:szCs w:val="20"/>
        </w:rPr>
        <w:t xml:space="preserve">Each party accepts that damages alone may not be enough to remedy a breach of this agreement. The Discloser may ask a court for an order to stop or prevent a breach (an injunction or similar order), in addition to any other remedy.</w:t>
      </w:r>
    </w:p>
    <w:p>
      <w:pPr>
        <w:pStyle w:val="ListParagraph"/>
        <w:numPr>
          <w:ilvl w:val="0"/>
          <w:numId w:val="15"/>
        </w:numPr>
        <w:spacing w:after="80" w:line="290"/>
      </w:pPr>
      <w:r>
        <w:rPr>
          <w:rFonts w:ascii="Nunito Sans" w:cs="Nunito Sans" w:eastAsia="Nunito Sans" w:hAnsi="Nunito Sans"/>
          <w:color w:val="102E3B"/>
          <w:sz w:val="20"/>
          <w:szCs w:val="20"/>
        </w:rPr>
        <w:t xml:space="preserve">Each party will tell the other promptly if it becomes aware of a breach, and take reasonable steps to limit the harm.</w:t>
      </w:r>
    </w:p>
    <w:p>
      <w:pPr>
        <w:pStyle w:val="ListParagraph"/>
        <w:numPr>
          <w:ilvl w:val="0"/>
          <w:numId w:val="15"/>
        </w:numPr>
        <w:spacing w:after="80" w:line="290"/>
      </w:pPr>
      <w:r>
        <w:rPr>
          <w:rFonts w:ascii="Nunito Sans" w:cs="Nunito Sans" w:eastAsia="Nunito Sans" w:hAnsi="Nunito Sans"/>
          <w:color w:val="102E3B"/>
          <w:sz w:val="20"/>
          <w:szCs w:val="20"/>
        </w:rPr>
        <w:t xml:space="preserve">Nothing in this agreement limits either party's liability for fraud or for breaching it deliberately.</w:t>
      </w:r>
    </w:p>
    <w:p>
      <w:pPr>
        <w:pStyle w:val="Heading2"/>
        <w:keepNext/>
        <w:spacing w:after="120" w:before="280"/>
      </w:pPr>
      <w:r>
        <w:rPr>
          <w:rFonts w:ascii="DM Serif Display" w:cs="DM Serif Display" w:eastAsia="DM Serif Display" w:hAnsi="DM Serif Display"/>
          <w:color w:val="123C48"/>
          <w:sz w:val="28"/>
          <w:szCs w:val="28"/>
        </w:rPr>
        <w:t xml:space="preserve">13. General</w:t>
      </w:r>
    </w:p>
    <w:p>
      <w:pPr>
        <w:pStyle w:val="ListParagraph"/>
        <w:numPr>
          <w:ilvl w:val="0"/>
          <w:numId w:val="16"/>
        </w:numPr>
        <w:spacing w:after="80" w:line="290"/>
      </w:pPr>
      <w:r>
        <w:rPr>
          <w:rFonts w:ascii="Nunito Sans" w:cs="Nunito Sans" w:eastAsia="Nunito Sans" w:hAnsi="Nunito Sans"/>
          <w:color w:val="102E3B"/>
          <w:sz w:val="20"/>
          <w:szCs w:val="20"/>
        </w:rPr>
        <w:t xml:space="preserve">This agreement is the whole agreement between the parties about confidentiality for the Purpose. It replaces any earlier understanding on the subject.</w:t>
      </w:r>
    </w:p>
    <w:p>
      <w:pPr>
        <w:pStyle w:val="ListParagraph"/>
        <w:numPr>
          <w:ilvl w:val="0"/>
          <w:numId w:val="16"/>
        </w:numPr>
        <w:spacing w:after="80" w:line="290"/>
      </w:pPr>
      <w:r>
        <w:rPr>
          <w:rFonts w:ascii="Nunito Sans" w:cs="Nunito Sans" w:eastAsia="Nunito Sans" w:hAnsi="Nunito Sans"/>
          <w:color w:val="102E3B"/>
          <w:sz w:val="20"/>
          <w:szCs w:val="20"/>
        </w:rPr>
        <w:t xml:space="preserve">Changes are valid only in writing signed by both parties.</w:t>
      </w:r>
    </w:p>
    <w:p>
      <w:pPr>
        <w:pStyle w:val="ListParagraph"/>
        <w:numPr>
          <w:ilvl w:val="0"/>
          <w:numId w:val="16"/>
        </w:numPr>
        <w:spacing w:after="80" w:line="290"/>
      </w:pPr>
      <w:r>
        <w:rPr>
          <w:rFonts w:ascii="Nunito Sans" w:cs="Nunito Sans" w:eastAsia="Nunito Sans" w:hAnsi="Nunito Sans"/>
          <w:color w:val="102E3B"/>
          <w:sz w:val="20"/>
          <w:szCs w:val="20"/>
        </w:rPr>
        <w:t xml:space="preserve">Neither party may transfer its rights or duties under this agreement without the other's written consent.</w:t>
      </w:r>
    </w:p>
    <w:p>
      <w:pPr>
        <w:pStyle w:val="ListParagraph"/>
        <w:numPr>
          <w:ilvl w:val="0"/>
          <w:numId w:val="16"/>
        </w:numPr>
        <w:spacing w:after="80" w:line="290"/>
      </w:pPr>
      <w:r>
        <w:rPr>
          <w:rFonts w:ascii="Nunito Sans" w:cs="Nunito Sans" w:eastAsia="Nunito Sans" w:hAnsi="Nunito Sans"/>
          <w:color w:val="102E3B"/>
          <w:sz w:val="20"/>
          <w:szCs w:val="20"/>
        </w:rPr>
        <w:t xml:space="preserve">Failing to enforce a right does not waive it. If any part of this agreement is found invalid, the rest continues.</w:t>
      </w:r>
    </w:p>
    <w:p>
      <w:pPr>
        <w:pStyle w:val="ListParagraph"/>
        <w:numPr>
          <w:ilvl w:val="0"/>
          <w:numId w:val="16"/>
        </w:numPr>
        <w:spacing w:after="80" w:line="290"/>
      </w:pPr>
      <w:r>
        <w:rPr>
          <w:rFonts w:ascii="Nunito Sans" w:cs="Nunito Sans" w:eastAsia="Nunito Sans" w:hAnsi="Nunito Sans"/>
          <w:color w:val="102E3B"/>
          <w:sz w:val="20"/>
          <w:szCs w:val="20"/>
        </w:rPr>
        <w:t xml:space="preserve">Notices must be in writing and sent by email to the contact named in the Parties table, or to a new contact notified in writing.</w:t>
      </w:r>
    </w:p>
    <w:p>
      <w:pPr>
        <w:pStyle w:val="ListParagraph"/>
        <w:numPr>
          <w:ilvl w:val="0"/>
          <w:numId w:val="16"/>
        </w:numPr>
        <w:spacing w:after="80" w:line="290"/>
      </w:pPr>
      <w:r>
        <w:rPr>
          <w:rFonts w:ascii="Nunito Sans" w:cs="Nunito Sans" w:eastAsia="Nunito Sans" w:hAnsi="Nunito Sans"/>
          <w:color w:val="102E3B"/>
          <w:sz w:val="20"/>
          <w:szCs w:val="20"/>
        </w:rPr>
        <w:t xml:space="preserve">This agreement may be signed in counterparts and by electronic signature. Each signed copy is an original. If it is translated, the </w:t>
      </w:r>
      <w:r>
        <w:rPr>
          <w:rFonts w:ascii="Nunito Sans" w:cs="Nunito Sans" w:eastAsia="Nunito Sans" w:hAnsi="Nunito Sans"/>
          <w:color w:val="102E3B"/>
          <w:sz w:val="20"/>
          <w:szCs w:val="20"/>
          <w:highlight w:val="yellow"/>
        </w:rPr>
        <w:t xml:space="preserve">[English]</w:t>
      </w:r>
      <w:r>
        <w:rPr>
          <w:rFonts w:ascii="Nunito Sans" w:cs="Nunito Sans" w:eastAsia="Nunito Sans" w:hAnsi="Nunito Sans"/>
          <w:color w:val="102E3B"/>
          <w:sz w:val="20"/>
          <w:szCs w:val="20"/>
        </w:rPr>
        <w:t xml:space="preserve"> version prevails.</w:t>
      </w:r>
    </w:p>
    <w:p>
      <w:pPr>
        <w:pStyle w:val="Heading2"/>
        <w:keepNext/>
        <w:spacing w:after="120" w:before="280"/>
      </w:pPr>
      <w:r>
        <w:rPr>
          <w:rFonts w:ascii="DM Serif Display" w:cs="DM Serif Display" w:eastAsia="DM Serif Display" w:hAnsi="DM Serif Display"/>
          <w:color w:val="123C48"/>
          <w:sz w:val="28"/>
          <w:szCs w:val="28"/>
        </w:rPr>
        <w:t xml:space="preserve">14. Governing law and disputes</w:t>
      </w:r>
    </w:p>
    <w:p>
      <w:pPr>
        <w:pStyle w:val="ListParagraph"/>
        <w:numPr>
          <w:ilvl w:val="0"/>
          <w:numId w:val="17"/>
        </w:numPr>
        <w:spacing w:after="80" w:line="290"/>
      </w:pPr>
      <w:r>
        <w:rPr>
          <w:rFonts w:ascii="Nunito Sans" w:cs="Nunito Sans" w:eastAsia="Nunito Sans" w:hAnsi="Nunito Sans"/>
          <w:color w:val="102E3B"/>
          <w:sz w:val="20"/>
          <w:szCs w:val="20"/>
        </w:rPr>
        <w:t xml:space="preserve">This agreement is governed by the law of </w:t>
      </w:r>
      <w:r>
        <w:rPr>
          <w:rFonts w:ascii="Nunito Sans" w:cs="Nunito Sans" w:eastAsia="Nunito Sans" w:hAnsi="Nunito Sans"/>
          <w:color w:val="102E3B"/>
          <w:sz w:val="20"/>
          <w:szCs w:val="20"/>
          <w:highlight w:val="yellow"/>
        </w:rPr>
        <w:t xml:space="preserve">[country or state]</w:t>
      </w:r>
      <w:r>
        <w:rPr>
          <w:rFonts w:ascii="Nunito Sans" w:cs="Nunito Sans" w:eastAsia="Nunito Sans" w:hAnsi="Nunito Sans"/>
          <w:color w:val="102E3B"/>
          <w:sz w:val="20"/>
          <w:szCs w:val="20"/>
        </w:rPr>
        <w:t xml:space="preserve">.</w:t>
      </w:r>
    </w:p>
    <w:p>
      <w:pPr>
        <w:pStyle w:val="ListParagraph"/>
        <w:numPr>
          <w:ilvl w:val="0"/>
          <w:numId w:val="17"/>
        </w:numPr>
        <w:spacing w:after="80" w:line="290"/>
      </w:pPr>
      <w:r>
        <w:rPr>
          <w:rFonts w:ascii="Nunito Sans" w:cs="Nunito Sans" w:eastAsia="Nunito Sans" w:hAnsi="Nunito Sans"/>
          <w:color w:val="102E3B"/>
          <w:sz w:val="20"/>
          <w:szCs w:val="20"/>
        </w:rPr>
        <w:t xml:space="preserve">The parties will first try to settle any dispute by talking, at a meeting of </w:t>
      </w:r>
      <w:r>
        <w:rPr>
          <w:rFonts w:ascii="Nunito Sans" w:cs="Nunito Sans" w:eastAsia="Nunito Sans" w:hAnsi="Nunito Sans"/>
          <w:color w:val="102E3B"/>
          <w:sz w:val="20"/>
          <w:szCs w:val="20"/>
          <w:highlight w:val="yellow"/>
        </w:rPr>
        <w:t xml:space="preserve">[the heads of the two organisations]</w:t>
      </w:r>
      <w:r>
        <w:rPr>
          <w:rFonts w:ascii="Nunito Sans" w:cs="Nunito Sans" w:eastAsia="Nunito Sans" w:hAnsi="Nunito Sans"/>
          <w:color w:val="102E3B"/>
          <w:sz w:val="20"/>
          <w:szCs w:val="20"/>
        </w:rPr>
        <w:t xml:space="preserve"> within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Business Days of one party raising it in writing.</w:t>
      </w:r>
    </w:p>
    <w:p>
      <w:pPr>
        <w:pStyle w:val="ListParagraph"/>
        <w:numPr>
          <w:ilvl w:val="0"/>
          <w:numId w:val="17"/>
        </w:numPr>
        <w:spacing w:after="80" w:line="290"/>
      </w:pPr>
      <w:r>
        <w:rPr>
          <w:rFonts w:ascii="Nunito Sans" w:cs="Nunito Sans" w:eastAsia="Nunito Sans" w:hAnsi="Nunito Sans"/>
          <w:color w:val="102E3B"/>
          <w:sz w:val="20"/>
          <w:szCs w:val="20"/>
        </w:rPr>
        <w:t xml:space="preserve">If the dispute is not settled, the courts of </w:t>
      </w:r>
      <w:r>
        <w:rPr>
          <w:rFonts w:ascii="Nunito Sans" w:cs="Nunito Sans" w:eastAsia="Nunito Sans" w:hAnsi="Nunito Sans"/>
          <w:color w:val="102E3B"/>
          <w:sz w:val="20"/>
          <w:szCs w:val="20"/>
          <w:highlight w:val="yellow"/>
        </w:rPr>
        <w:t xml:space="preserve">[country or city]</w:t>
      </w:r>
      <w:r>
        <w:rPr>
          <w:rFonts w:ascii="Nunito Sans" w:cs="Nunito Sans" w:eastAsia="Nunito Sans" w:hAnsi="Nunito Sans"/>
          <w:color w:val="102E3B"/>
          <w:sz w:val="20"/>
          <w:szCs w:val="20"/>
        </w:rPr>
        <w:t xml:space="preserve"> have </w:t>
      </w:r>
      <w:r>
        <w:rPr>
          <w:rFonts w:ascii="Nunito Sans" w:cs="Nunito Sans" w:eastAsia="Nunito Sans" w:hAnsi="Nunito Sans"/>
          <w:color w:val="102E3B"/>
          <w:sz w:val="20"/>
          <w:szCs w:val="20"/>
          <w:highlight w:val="yellow"/>
        </w:rPr>
        <w:t xml:space="preserve">[exclusive / non-exclusive]</w:t>
      </w:r>
      <w:r>
        <w:rPr>
          <w:rFonts w:ascii="Nunito Sans" w:cs="Nunito Sans" w:eastAsia="Nunito Sans" w:hAnsi="Nunito Sans"/>
          <w:color w:val="102E3B"/>
          <w:sz w:val="20"/>
          <w:szCs w:val="20"/>
        </w:rPr>
        <w:t xml:space="preserve"> jurisdiction. Either party may ask any competent court for urgent relief under clause 12.</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LAW AND COURTS FOR CROSS-BORDER TALKS</w:t>
            </w:r>
          </w:p>
          <w:p>
            <w:pPr>
              <w:spacing w:after="120" w:before="0" w:line="300"/>
            </w:pPr>
            <w:r>
              <w:rPr>
                <w:rFonts w:ascii="Nunito Sans" w:cs="Nunito Sans" w:eastAsia="Nunito Sans" w:hAnsi="Nunito Sans"/>
                <w:color w:val="102E3B"/>
                <w:sz w:val="19"/>
                <w:szCs w:val="19"/>
              </w:rPr>
              <w:t xml:space="preserve">If both parties are in the same country, choose its law and courts. If you are in different countries, agree on one law, usually that of the party sharing the most sensitive information, and choose "non-exclusive" jurisdiction so that each party can ask a court where a breach happens for urgent help. Enforcing a foreign judgment can be slow, so a quick local injunction is often worth more than a perfect choice of court.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Signatures</w:t>
      </w:r>
    </w:p>
    <w:p>
      <w:pPr>
        <w:spacing w:after="120" w:before="0" w:line="300"/>
      </w:pPr>
      <w:r>
        <w:rPr>
          <w:rFonts w:ascii="Nunito Sans" w:cs="Nunito Sans" w:eastAsia="Nunito Sans" w:hAnsi="Nunito Sans"/>
          <w:color w:val="102E3B"/>
          <w:sz w:val="20"/>
          <w:szCs w:val="20"/>
        </w:rPr>
        <w:t xml:space="preserve">Signed by the authorised representatives of the parties on the dates below.</w:t>
      </w:r>
    </w:p>
    <w:p>
      <w:pPr>
        <w:keepNext/>
        <w:spacing w:after="80" w:before="120"/>
      </w:pPr>
      <w:r>
        <w:rPr>
          <w:rFonts w:ascii="Nunito Sans" w:cs="Nunito Sans" w:eastAsia="Nunito Sans" w:hAnsi="Nunito Sans"/>
          <w:b/>
          <w:bCs/>
          <w:color w:val="16746E"/>
          <w:spacing w:val="30"/>
          <w:sz w:val="15"/>
          <w:szCs w:val="15"/>
        </w:rPr>
        <w:t xml:space="preserve">FOR PARTY 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For </w:t>
            </w:r>
            <w:r>
              <w:rPr>
                <w:rFonts w:ascii="Nunito Sans" w:cs="Nunito Sans" w:eastAsia="Nunito Sans" w:hAnsi="Nunito Sans"/>
                <w:color w:val="5B6F78"/>
                <w:sz w:val="16"/>
                <w:szCs w:val="16"/>
                <w:highlight w:val="yellow"/>
              </w:rPr>
              <w:t xml:space="preserve">[Party A legal name]</w:t>
            </w:r>
            <w:r>
              <w:rPr>
                <w:rFonts w:ascii="Nunito Sans" w:cs="Nunito Sans" w:eastAsia="Nunito Sans" w:hAnsi="Nunito Sans"/>
                <w:color w:val="5B6F78"/>
                <w:sz w:val="16"/>
                <w:szCs w:val="16"/>
              </w:rPr>
              <w:t xml:space="preserve">: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FOR PARTY B</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For </w:t>
            </w:r>
            <w:r>
              <w:rPr>
                <w:rFonts w:ascii="Nunito Sans" w:cs="Nunito Sans" w:eastAsia="Nunito Sans" w:hAnsi="Nunito Sans"/>
                <w:color w:val="5B6F78"/>
                <w:sz w:val="16"/>
                <w:szCs w:val="16"/>
                <w:highlight w:val="yellow"/>
              </w:rPr>
              <w:t xml:space="preserve">[Party B legal name]</w:t>
            </w:r>
            <w:r>
              <w:rPr>
                <w:rFonts w:ascii="Nunito Sans" w:cs="Nunito Sans" w:eastAsia="Nunito Sans" w:hAnsi="Nunito Sans"/>
                <w:color w:val="5B6F78"/>
                <w:sz w:val="16"/>
                <w:szCs w:val="16"/>
              </w:rPr>
              <w:t xml:space="preserve">: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21652502-018D-9ECC-8619-B5C718476A42}"/>
  </w:font>
  <w:font w:name="DM Serif Display">
    <w:family w:val="auto"/>
    <w:pitch w:val="variable"/>
    <w:sig w:usb0="E0002AFF" w:usb1="C000247B" w:usb2="00000009" w:usb3="00000000" w:csb0="000001FF" w:csb1="00000000"/>
    <w:embedRegular r:id="rId2" w:fontKey="{21D9709F-5455-8970-C95C-BC29736B63B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Mutual Confidentiality Agreement  |  Version [1.0]  |  From a Method into Impact template</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MUTUAL CONFIDENTIALITY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Confidentiality Agreement</dc:title>
  <dc:creator>Method into Impact</dc:creator>
  <dc:description>A short, balanced agreement that lets [[Organisation name]] and another organisation share confidential information safely while they explore working together.</dc:description>
  <cp:lastModifiedBy>Un-named</cp:lastModifiedBy>
  <cp:revision>1</cp:revision>
  <dcterms:created xsi:type="dcterms:W3CDTF">2026-10-29T00:41:22.709Z</dcterms:created>
  <dcterms:modified xsi:type="dcterms:W3CDTF">2026-10-29T00:41:22.709Z</dcterms:modified>
</cp:coreProperties>
</file>

<file path=docProps/custom.xml><?xml version="1.0" encoding="utf-8"?>
<Properties xmlns="http://schemas.openxmlformats.org/officeDocument/2006/custom-properties" xmlns:vt="http://schemas.openxmlformats.org/officeDocument/2006/docPropsVTypes"/>
</file>