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REGISTER TEMPLATE · RECORDS AND DATA PROTECTION</w:t>
      </w:r>
    </w:p>
    <w:p>
      <w:pPr>
        <w:spacing w:after="300"/>
      </w:pPr>
      <w:r>
        <w:rPr>
          <w:rFonts w:ascii="Nunito Sans" w:cs="Nunito Sans" w:eastAsia="Nunito Sans" w:hAnsi="Nunito Sans"/>
          <w:b/>
          <w:bCs/>
          <w:color w:val="102E3B"/>
          <w:sz w:val="24"/>
          <w:szCs w:val="24"/>
          <w:highlight w:val="yellow"/>
        </w:rPr>
        <w:t xml:space="preserve">[Organisation name]</w:t>
      </w:r>
    </w:p>
    <w:p>
      <w:pPr>
        <w:spacing w:after="280" w:before="240" w:line="260"/>
      </w:pPr>
      <w:r>
        <w:rPr>
          <w:rFonts w:ascii="DM Serif Display" w:cs="DM Serif Display" w:eastAsia="DM Serif Display" w:hAnsi="DM Serif Display"/>
          <w:color w:val="FFFAF3"/>
          <w:sz w:val="76"/>
          <w:szCs w:val="76"/>
        </w:rPr>
        <w:t xml:space="preserve">Records Retention Schedule</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How long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keeps each type of record, who is responsible for it, and what happens when the time is up.</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Keeping records too briefly can breach tax law or a grant agreement. Keeping them too long breaches data protection law and increases the harm a breach can cause. A retention schedule sets one clear period for each type of record, so the team knows what to keep, what to delete and when. Auditors, funders and regulators expect to see one.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Auditors; institutional funders in due diligence and at grant close; data protection regulators; banks; your board</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3–4 hours to adapt, including checking local law and your main grant agreements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4 · Protect, Module 10 (Legal, compliance, policies and risk)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Data Protection Policy · Privacy Notice · Data Rights Request Procedure · Data Breach Response Procedure · IT and Information Security Policy · Safeguarding Policy and Procedure · Financial Controls Policy</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Records Retention Schedule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Register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All records held by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in any format, and everyone who creates or manages them</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[privacy@yourorganisation.org]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Purpose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Legal holds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How to use this schedule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Review</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The schedule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Sign-off</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Disposing of records securely</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Guidance notes</w:t>
            </w:r>
          </w:p>
        </w:tc>
      </w:tr>
    </w:tbl>
    <w:p>
      <w:r>
        <w:br w:type="page"/>
      </w:r>
    </w:p>
    <w:p>
      <w:pPr>
        <w:pStyle w:val="Heading1"/>
        <w:keepNext/>
        <w:spacing w:after="160" w:before="360"/>
      </w:pPr>
      <w:r>
        <w:rPr>
          <w:rFonts w:ascii="DM Serif Display" w:cs="DM Serif Display" w:eastAsia="DM Serif Display" w:hAnsi="DM Serif Display"/>
          <w:color w:val="123C48"/>
          <w:sz w:val="40"/>
          <w:szCs w:val="40"/>
        </w:rPr>
        <w:t xml:space="preserve">Purpose</w:t>
      </w:r>
    </w:p>
    <w:p>
      <w:pPr>
        <w:spacing w:after="120" w:before="0" w:line="300"/>
      </w:pPr>
      <w:r>
        <w:rPr>
          <w:rFonts w:ascii="Nunito Sans" w:cs="Nunito Sans" w:eastAsia="Nunito Sans" w:hAnsi="Nunito Sans"/>
          <w:color w:val="102E3B"/>
          <w:sz w:val="20"/>
          <w:szCs w:val="20"/>
        </w:rPr>
        <w:t xml:space="preserve">This schedule tells everyone at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how long to keep each type of record and what to do with it at the end. It applies to records in any form: paper, email, shared drives, databases, messaging apps, photos and records held for us by service providers.</w:t>
      </w:r>
    </w:p>
    <w:p>
      <w:pPr>
        <w:spacing w:after="120" w:before="0" w:line="300"/>
      </w:pPr>
      <w:r>
        <w:rPr>
          <w:rFonts w:ascii="Nunito Sans" w:cs="Nunito Sans" w:eastAsia="Nunito Sans" w:hAnsi="Nunito Sans"/>
          <w:color w:val="102E3B"/>
          <w:sz w:val="20"/>
          <w:szCs w:val="20"/>
        </w:rPr>
        <w:t xml:space="preserve">We keep records for as long as we need them for our work, to meet legal and funder requirements, and to defend legal claims. Then we delete or destroy them securely, or archive them where they have lasting value. Personal information must not be kept longer than necessary. This is a core principle of data protection law, including the GDPR.</w:t>
      </w:r>
    </w:p>
    <w:p>
      <w:pPr>
        <w:pStyle w:val="Heading1"/>
        <w:keepNext/>
        <w:spacing w:after="160" w:before="360"/>
      </w:pPr>
      <w:r>
        <w:rPr>
          <w:rFonts w:ascii="DM Serif Display" w:cs="DM Serif Display" w:eastAsia="DM Serif Display" w:hAnsi="DM Serif Display"/>
          <w:color w:val="123C48"/>
          <w:sz w:val="40"/>
          <w:szCs w:val="40"/>
        </w:rPr>
        <w:t xml:space="preserve">How to use this schedule</w:t>
      </w:r>
    </w:p>
    <w:p>
      <w:pPr>
        <w:pStyle w:val="ListParagraph"/>
        <w:numPr>
          <w:ilvl w:val="0"/>
          <w:numId w:val="3"/>
        </w:numPr>
        <w:spacing w:after="80" w:line="290"/>
      </w:pPr>
      <w:r>
        <w:rPr>
          <w:rFonts w:ascii="Nunito Sans" w:cs="Nunito Sans" w:eastAsia="Nunito Sans" w:hAnsi="Nunito Sans"/>
          <w:b/>
          <w:bCs/>
          <w:color w:val="102E3B"/>
          <w:sz w:val="20"/>
          <w:szCs w:val="20"/>
        </w:rPr>
        <w:t xml:space="preserve">Owner:</w:t>
      </w:r>
      <w:r>
        <w:rPr>
          <w:rFonts w:ascii="Nunito Sans" w:cs="Nunito Sans" w:eastAsia="Nunito Sans" w:hAnsi="Nunito Sans"/>
          <w:color w:val="102E3B"/>
          <w:sz w:val="20"/>
          <w:szCs w:val="20"/>
        </w:rPr>
        <w:t xml:space="preserve"> the role responsible for keeping the record and for deleting it on time.</w:t>
      </w:r>
    </w:p>
    <w:p>
      <w:pPr>
        <w:pStyle w:val="ListParagraph"/>
        <w:numPr>
          <w:ilvl w:val="0"/>
          <w:numId w:val="3"/>
        </w:numPr>
        <w:spacing w:after="80" w:line="290"/>
      </w:pPr>
      <w:r>
        <w:rPr>
          <w:rFonts w:ascii="Nunito Sans" w:cs="Nunito Sans" w:eastAsia="Nunito Sans" w:hAnsi="Nunito Sans"/>
          <w:b/>
          <w:bCs/>
          <w:color w:val="102E3B"/>
          <w:sz w:val="20"/>
          <w:szCs w:val="20"/>
        </w:rPr>
        <w:t xml:space="preserve">Retention period:</w:t>
      </w:r>
      <w:r>
        <w:rPr>
          <w:rFonts w:ascii="Nunito Sans" w:cs="Nunito Sans" w:eastAsia="Nunito Sans" w:hAnsi="Nunito Sans"/>
          <w:color w:val="102E3B"/>
          <w:sz w:val="20"/>
          <w:szCs w:val="20"/>
        </w:rPr>
        <w:t xml:space="preserve"> how long we keep the record after the trigger.</w:t>
      </w:r>
    </w:p>
    <w:p>
      <w:pPr>
        <w:pStyle w:val="ListParagraph"/>
        <w:numPr>
          <w:ilvl w:val="0"/>
          <w:numId w:val="3"/>
        </w:numPr>
        <w:spacing w:after="80" w:line="290"/>
      </w:pPr>
      <w:r>
        <w:rPr>
          <w:rFonts w:ascii="Nunito Sans" w:cs="Nunito Sans" w:eastAsia="Nunito Sans" w:hAnsi="Nunito Sans"/>
          <w:b/>
          <w:bCs/>
          <w:color w:val="102E3B"/>
          <w:sz w:val="20"/>
          <w:szCs w:val="20"/>
        </w:rPr>
        <w:t xml:space="preserve">Trigger:</w:t>
      </w:r>
      <w:r>
        <w:rPr>
          <w:rFonts w:ascii="Nunito Sans" w:cs="Nunito Sans" w:eastAsia="Nunito Sans" w:hAnsi="Nunito Sans"/>
          <w:color w:val="102E3B"/>
          <w:sz w:val="20"/>
          <w:szCs w:val="20"/>
        </w:rPr>
        <w:t xml:space="preserve"> the event that starts the clock, for example the end of the financial year.</w:t>
      </w:r>
    </w:p>
    <w:p>
      <w:pPr>
        <w:pStyle w:val="ListParagraph"/>
        <w:numPr>
          <w:ilvl w:val="0"/>
          <w:numId w:val="3"/>
        </w:numPr>
        <w:spacing w:after="80" w:line="290"/>
      </w:pPr>
      <w:r>
        <w:rPr>
          <w:rFonts w:ascii="Nunito Sans" w:cs="Nunito Sans" w:eastAsia="Nunito Sans" w:hAnsi="Nunito Sans"/>
          <w:b/>
          <w:bCs/>
          <w:color w:val="102E3B"/>
          <w:sz w:val="20"/>
          <w:szCs w:val="20"/>
        </w:rPr>
        <w:t xml:space="preserve">Action:</w:t>
      </w:r>
      <w:r>
        <w:rPr>
          <w:rFonts w:ascii="Nunito Sans" w:cs="Nunito Sans" w:eastAsia="Nunito Sans" w:hAnsi="Nunito Sans"/>
          <w:color w:val="102E3B"/>
          <w:sz w:val="20"/>
          <w:szCs w:val="20"/>
        </w:rPr>
        <w:t xml:space="preserve"> what happens at the end. Delete means secure deletion or destruction. Archive means keeping a permanent copy in our secure archive. Review means the owner decides whether to keep it for a stated reason or delete it.</w:t>
      </w:r>
    </w:p>
    <w:p>
      <w:pPr>
        <w:spacing w:after="120" w:before="0" w:line="300"/>
      </w:pPr>
      <w:r>
        <w:rPr>
          <w:rFonts w:ascii="Nunito Sans" w:cs="Nunito Sans" w:eastAsia="Nunito Sans" w:hAnsi="Nunito Sans"/>
          <w:color w:val="102E3B"/>
          <w:sz w:val="20"/>
          <w:szCs w:val="20"/>
        </w:rPr>
        <w:t xml:space="preserve">All periods marked "typical" are sensible defaults used by many organisations. They are </w:t>
      </w:r>
      <w:r>
        <w:rPr>
          <w:rFonts w:ascii="Nunito Sans" w:cs="Nunito Sans" w:eastAsia="Nunito Sans" w:hAnsi="Nunito Sans"/>
          <w:b/>
          <w:bCs/>
          <w:color w:val="102E3B"/>
          <w:sz w:val="20"/>
          <w:szCs w:val="20"/>
        </w:rPr>
        <w:t xml:space="preserve">typical; check local law and funder conditions.</w:t>
      </w:r>
      <w:r>
        <w:rPr>
          <w:rFonts w:ascii="Nunito Sans" w:cs="Nunito Sans" w:eastAsia="Nunito Sans" w:hAnsi="Nunito Sans"/>
          <w:color w:val="102E3B"/>
          <w:sz w:val="20"/>
          <w:szCs w:val="20"/>
        </w:rPr>
        <w:t xml:space="preserve"> Where a law or agreement requires a longer period, the longer period applies. Where a record falls into two categories, keep it for the longer period.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SETTING YOUR PERIODS</w:t>
            </w:r>
          </w:p>
          <w:p>
            <w:pPr>
              <w:spacing w:after="120" w:before="0" w:line="300"/>
            </w:pPr>
            <w:r>
              <w:rPr>
                <w:rFonts w:ascii="Nunito Sans" w:cs="Nunito Sans" w:eastAsia="Nunito Sans" w:hAnsi="Nunito Sans"/>
                <w:color w:val="102E3B"/>
                <w:sz w:val="19"/>
                <w:szCs w:val="19"/>
              </w:rPr>
              <w:t xml:space="preserve">Go through each row with your accountant, and check your three or four biggest grant agreements. Change the periods to match your law and your funders, and delete rows you do not need. Add records specific to your work, for example clinical records, school records or microfinance loan files, which often have their own legal rules. Record the reason for any period that is unusually long or short.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The schedule</w:t>
      </w:r>
    </w:p>
    <w:p>
      <w:pPr>
        <w:pStyle w:val="Heading2"/>
        <w:keepNext/>
        <w:spacing w:after="120" w:before="280"/>
      </w:pPr>
      <w:r>
        <w:rPr>
          <w:rFonts w:ascii="DM Serif Display" w:cs="DM Serif Display" w:eastAsia="DM Serif Display" w:hAnsi="DM Serif Display"/>
          <w:color w:val="123C48"/>
          <w:sz w:val="28"/>
          <w:szCs w:val="28"/>
        </w:rPr>
        <w:t xml:space="preserve">1. Governance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523"/>
        <w:gridCol w:w="1714"/>
        <w:gridCol w:w="1904"/>
        <w:gridCol w:w="1526"/>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RECORD</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OWNER</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RETENTION PERIOD</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TRIGGER</w:t>
            </w:r>
          </w:p>
        </w:tc>
        <w:tc>
          <w:tcPr>
            <w:tcW w:type="dxa" w:w="152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ACTION</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Founding documents: constitution, articles, registration certificates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[Director]</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Permanently</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Archive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 and general meeting minutes, resolutions</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[Board secretary]</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Permanently</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Archive</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Statutory registers: members, directors or trustees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[Board secretary]</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Permanently, or as the law requires</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Archive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 interest declarations</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[Board secretary]</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[6 years]</w:t>
            </w:r>
            <w:r>
              <w:rPr>
                <w:rFonts w:ascii="Nunito Sans" w:cs="Nunito Sans" w:eastAsia="Nunito Sans" w:hAnsi="Nunito Sans"/>
                <w:color w:val="102E3B"/>
                <w:sz w:val="18"/>
                <w:szCs w:val="18"/>
              </w:rPr>
              <w:t xml:space="preserve"> typical</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End of the board member's term</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Delete</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Approved policies and superseded versions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[Director]</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[6 years]</w:t>
            </w:r>
            <w:r>
              <w:rPr>
                <w:rFonts w:ascii="Nunito Sans" w:cs="Nunito Sans" w:eastAsia="Nunito Sans" w:hAnsi="Nunito Sans"/>
                <w:color w:val="102E3B"/>
                <w:sz w:val="18"/>
                <w:szCs w:val="18"/>
              </w:rPr>
              <w:t xml:space="preserve"> typical</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Date superseded</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Review</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Annual reports and filings with the registrar or regulator</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[Director]</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Permanently</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Archive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2. Finance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523"/>
        <w:gridCol w:w="1714"/>
        <w:gridCol w:w="1904"/>
        <w:gridCol w:w="1526"/>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RECORD</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OWNER</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RETENTION PERIOD</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TRIGGER</w:t>
            </w:r>
          </w:p>
        </w:tc>
        <w:tc>
          <w:tcPr>
            <w:tcW w:type="dxa" w:w="152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ACTION</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Accounting and tax records: ledgers, invoices, receipts, bank statements, tax returns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[Finance lead]</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[6–10 years]</w:t>
            </w:r>
            <w:r>
              <w:rPr>
                <w:rFonts w:ascii="Nunito Sans" w:cs="Nunito Sans" w:eastAsia="Nunito Sans" w:hAnsi="Nunito Sans"/>
                <w:color w:val="102E3B"/>
                <w:sz w:val="18"/>
                <w:szCs w:val="18"/>
              </w:rPr>
              <w:t xml:space="preserve"> typical, depending on country</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End of financial year</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Delete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Audited annual accounts</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[Finance lead]</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Permanently</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Archive</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Payroll records, tax and social security deductions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[Finance lead]</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[6–10 years]</w:t>
            </w:r>
            <w:r>
              <w:rPr>
                <w:rFonts w:ascii="Nunito Sans" w:cs="Nunito Sans" w:eastAsia="Nunito Sans" w:hAnsi="Nunito Sans"/>
                <w:color w:val="102E3B"/>
                <w:sz w:val="18"/>
                <w:szCs w:val="18"/>
              </w:rPr>
              <w:t xml:space="preserve"> typical</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End of financial year</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Delete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ACCOUNTING AND TAX PERIODS BY COUNTRY</w:t>
            </w:r>
          </w:p>
          <w:p>
            <w:pPr>
              <w:spacing w:after="120" w:before="0" w:line="300"/>
            </w:pPr>
            <w:r>
              <w:rPr>
                <w:rFonts w:ascii="Nunito Sans" w:cs="Nunito Sans" w:eastAsia="Nunito Sans" w:hAnsi="Nunito Sans"/>
                <w:color w:val="102E3B"/>
                <w:sz w:val="19"/>
                <w:szCs w:val="19"/>
              </w:rPr>
              <w:t xml:space="preserve">These periods vary widely and are set by company, tax and charity law. Some examples to check: India's Companies Act 2013 requires books of account for eight years; Germany's commercial and tax rules require up to ten years for accounting records; South Africa's Companies Act 2008 requires seven years for company records; in the UK, charities generally keep accounting records for six years; Kenya's Tax Procedures Act 2015 generally requires five years. Tax periods can be extended where a tax audit or dispute is open. Check the law in your country with your accountant and set one period that covers all of them.</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3. Grants and funders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523"/>
        <w:gridCol w:w="1714"/>
        <w:gridCol w:w="1904"/>
        <w:gridCol w:w="1526"/>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RECORD</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OWNER</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RETENTION PERIOD</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TRIGGER</w:t>
            </w:r>
          </w:p>
        </w:tc>
        <w:tc>
          <w:tcPr>
            <w:tcW w:type="dxa" w:w="152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ACTION</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Signed grant agreements, amendments, approvals and reports to the funder</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[Grants lead]</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 the agreement requires, often </w:t>
            </w:r>
            <w:r>
              <w:rPr>
                <w:rFonts w:ascii="Nunito Sans" w:cs="Nunito Sans" w:eastAsia="Nunito Sans" w:hAnsi="Nunito Sans"/>
                <w:color w:val="102E3B"/>
                <w:sz w:val="18"/>
                <w:szCs w:val="18"/>
                <w:highlight w:val="yellow"/>
              </w:rPr>
              <w:t xml:space="preserve">[5–7 years]</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End of the grant</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Review</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Grant financial records and supporting documents</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[Finance lead]</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 the agreement requires, or the finance period, whichever is longer</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Final financial report accepted</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Delete</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Unsuccessful applications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[Grants lead]</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 years]</w:t>
            </w:r>
            <w:r>
              <w:rPr>
                <w:rFonts w:ascii="Nunito Sans" w:cs="Nunito Sans" w:eastAsia="Nunito Sans" w:hAnsi="Nunito Sans"/>
                <w:color w:val="102E3B"/>
                <w:sz w:val="18"/>
                <w:szCs w:val="18"/>
              </w:rPr>
              <w:t xml:space="preserve"> typical</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Date of decision</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Delete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Sub-grant agreements and partner due diligence</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[Grants lead]</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 our own grant requires, plus </w:t>
            </w:r>
            <w:r>
              <w:rPr>
                <w:rFonts w:ascii="Nunito Sans" w:cs="Nunito Sans" w:eastAsia="Nunito Sans" w:hAnsi="Nunito Sans"/>
                <w:color w:val="102E3B"/>
                <w:sz w:val="18"/>
                <w:szCs w:val="18"/>
                <w:highlight w:val="yellow"/>
              </w:rPr>
              <w:t xml:space="preserve">[1 year]</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End of the sub-grant</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Review</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FUNDER CONDITIONS</w:t>
            </w:r>
          </w:p>
          <w:p>
            <w:pPr>
              <w:spacing w:after="120" w:before="0" w:line="300"/>
            </w:pPr>
            <w:r>
              <w:rPr>
                <w:rFonts w:ascii="Nunito Sans" w:cs="Nunito Sans" w:eastAsia="Nunito Sans" w:hAnsi="Nunito Sans"/>
                <w:color w:val="102E3B"/>
                <w:sz w:val="19"/>
                <w:szCs w:val="19"/>
              </w:rPr>
              <w:t xml:space="preserve">Grant agreements often set retention periods that are longer than the law. For example, US federal awards generally require records to be kept for three years from submission of the final financial report, longer if an audit or claim is open. EU-funded grants often require records for several years after the final payment, commonly five. Other funders set their own terms. Record the period from each agreement in your grants tracker, and extend the row above where needed.</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People: staff and recruitment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523"/>
        <w:gridCol w:w="1714"/>
        <w:gridCol w:w="1904"/>
        <w:gridCol w:w="1526"/>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RECORD</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OWNER</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RETENTION PERIOD</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TRIGGER</w:t>
            </w:r>
          </w:p>
        </w:tc>
        <w:tc>
          <w:tcPr>
            <w:tcW w:type="dxa" w:w="152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ACTION</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Personnel file: contract, appraisals, training, disciplinary and grievance records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[HR lead]</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[6 years]</w:t>
            </w:r>
            <w:r>
              <w:rPr>
                <w:rFonts w:ascii="Nunito Sans" w:cs="Nunito Sans" w:eastAsia="Nunito Sans" w:hAnsi="Nunito Sans"/>
                <w:color w:val="102E3B"/>
                <w:sz w:val="18"/>
                <w:szCs w:val="18"/>
              </w:rPr>
              <w:t xml:space="preserve"> typical</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End of employment</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Delete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Unsuccessful job applications and interview notes</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[HR lead]</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[6 months]</w:t>
            </w:r>
            <w:r>
              <w:rPr>
                <w:rFonts w:ascii="Nunito Sans" w:cs="Nunito Sans" w:eastAsia="Nunito Sans" w:hAnsi="Nunito Sans"/>
                <w:color w:val="102E3B"/>
                <w:sz w:val="18"/>
                <w:szCs w:val="18"/>
              </w:rPr>
              <w:t xml:space="preserve"> typical</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Date of recruitment decision</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Delete</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Background or criminal record checks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[HR lead]</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Outcome only; certificate deleted within </w:t>
            </w:r>
            <w:r>
              <w:rPr>
                <w:rFonts w:ascii="Nunito Sans" w:cs="Nunito Sans" w:eastAsia="Nunito Sans" w:hAnsi="Nunito Sans"/>
                <w:color w:val="102E3B"/>
                <w:sz w:val="18"/>
                <w:szCs w:val="18"/>
                <w:highlight w:val="yellow"/>
              </w:rPr>
              <w:t xml:space="preserve">[6 months]</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Date of check</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Delete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Accident and injury records</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[Operations lead]</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[3–6 years]</w:t>
            </w:r>
            <w:r>
              <w:rPr>
                <w:rFonts w:ascii="Nunito Sans" w:cs="Nunito Sans" w:eastAsia="Nunito Sans" w:hAnsi="Nunito Sans"/>
                <w:color w:val="102E3B"/>
                <w:sz w:val="18"/>
                <w:szCs w:val="18"/>
              </w:rPr>
              <w:t xml:space="preserve"> typical; longer for children</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Date of incident</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Review</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EMPLOYMENT RECORDS</w:t>
            </w:r>
          </w:p>
          <w:p>
            <w:pPr>
              <w:spacing w:after="120" w:before="0" w:line="300"/>
            </w:pPr>
            <w:r>
              <w:rPr>
                <w:rFonts w:ascii="Nunito Sans" w:cs="Nunito Sans" w:eastAsia="Nunito Sans" w:hAnsi="Nunito Sans"/>
                <w:color w:val="102E3B"/>
                <w:sz w:val="19"/>
                <w:szCs w:val="19"/>
              </w:rPr>
              <w:t xml:space="preserve">Labour and social security laws often set minimum periods, and the time limit for bringing employment claims varies by country. Pension and social security records may need to be kept much longer. Some countries limit how long criminal record information may be kept. Check your local law on each point.</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5. Volunteers and interns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523"/>
        <w:gridCol w:w="1714"/>
        <w:gridCol w:w="1904"/>
        <w:gridCol w:w="1526"/>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RECORD</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OWNER</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RETENTION PERIOD</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TRIGGER</w:t>
            </w:r>
          </w:p>
        </w:tc>
        <w:tc>
          <w:tcPr>
            <w:tcW w:type="dxa" w:w="152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ACTION</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Volunteer agreement, contact details and role history</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[Volunteer coordinator]</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 years]</w:t>
            </w:r>
            <w:r>
              <w:rPr>
                <w:rFonts w:ascii="Nunito Sans" w:cs="Nunito Sans" w:eastAsia="Nunito Sans" w:hAnsi="Nunito Sans"/>
                <w:color w:val="102E3B"/>
                <w:sz w:val="18"/>
                <w:szCs w:val="18"/>
              </w:rPr>
              <w:t xml:space="preserve"> typical; as for safeguarding records if linked to a concern</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Volunteer leaves</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Delete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6. Safeguarding and incidents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523"/>
        <w:gridCol w:w="1714"/>
        <w:gridCol w:w="1904"/>
        <w:gridCol w:w="1526"/>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RECORD</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OWNER</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RETENTION PERIOD</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TRIGGER</w:t>
            </w:r>
          </w:p>
        </w:tc>
        <w:tc>
          <w:tcPr>
            <w:tcW w:type="dxa" w:w="152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ACTION</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Safeguarding concerns and case files involving a child</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[Safeguarding lead]</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Until the child is </w:t>
            </w:r>
            <w:r>
              <w:rPr>
                <w:rFonts w:ascii="Nunito Sans" w:cs="Nunito Sans" w:eastAsia="Nunito Sans" w:hAnsi="Nunito Sans"/>
                <w:color w:val="102E3B"/>
                <w:sz w:val="18"/>
                <w:szCs w:val="18"/>
                <w:highlight w:val="yellow"/>
              </w:rPr>
              <w:t xml:space="preserve">[25]</w:t>
            </w:r>
            <w:r>
              <w:rPr>
                <w:rFonts w:ascii="Nunito Sans" w:cs="Nunito Sans" w:eastAsia="Nunito Sans" w:hAnsi="Nunito Sans"/>
                <w:color w:val="102E3B"/>
                <w:sz w:val="18"/>
                <w:szCs w:val="18"/>
              </w:rPr>
              <w:t xml:space="preserve">, or </w:t>
            </w:r>
            <w:r>
              <w:rPr>
                <w:rFonts w:ascii="Nunito Sans" w:cs="Nunito Sans" w:eastAsia="Nunito Sans" w:hAnsi="Nunito Sans"/>
                <w:color w:val="102E3B"/>
                <w:sz w:val="18"/>
                <w:szCs w:val="18"/>
                <w:highlight w:val="yellow"/>
              </w:rPr>
              <w:t xml:space="preserve">[6 years]</w:t>
            </w:r>
            <w:r>
              <w:rPr>
                <w:rFonts w:ascii="Nunito Sans" w:cs="Nunito Sans" w:eastAsia="Nunito Sans" w:hAnsi="Nunito Sans"/>
                <w:color w:val="102E3B"/>
                <w:sz w:val="18"/>
                <w:szCs w:val="18"/>
              </w:rPr>
              <w:t xml:space="preserve"> after closure, whichever is later</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Case closed</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Review</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Safeguarding concerns involving adults</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[Safeguarding lead]</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[6 years]</w:t>
            </w:r>
            <w:r>
              <w:rPr>
                <w:rFonts w:ascii="Nunito Sans" w:cs="Nunito Sans" w:eastAsia="Nunito Sans" w:hAnsi="Nunito Sans"/>
                <w:color w:val="102E3B"/>
                <w:sz w:val="18"/>
                <w:szCs w:val="18"/>
              </w:rPr>
              <w:t xml:space="preserve"> typical, longer if legal proceedings are possible</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Case closed</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Review</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Allegations against staff or volunteers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[Safeguarding lead]</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 years]</w:t>
            </w:r>
            <w:r>
              <w:rPr>
                <w:rFonts w:ascii="Nunito Sans" w:cs="Nunito Sans" w:eastAsia="Nunito Sans" w:hAnsi="Nunito Sans"/>
                <w:color w:val="102E3B"/>
                <w:sz w:val="18"/>
                <w:szCs w:val="18"/>
              </w:rPr>
              <w:t xml:space="preserve"> or longer, typical</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Case closed</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Review</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Complaints and whistleblowing reports</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[Director]</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[6 years]</w:t>
            </w:r>
            <w:r>
              <w:rPr>
                <w:rFonts w:ascii="Nunito Sans" w:cs="Nunito Sans" w:eastAsia="Nunito Sans" w:hAnsi="Nunito Sans"/>
                <w:color w:val="102E3B"/>
                <w:sz w:val="18"/>
                <w:szCs w:val="18"/>
              </w:rPr>
              <w:t xml:space="preserve"> typical</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Case closed</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Delete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SAFEGUARDING RECORDS</w:t>
            </w:r>
          </w:p>
          <w:p>
            <w:pPr>
              <w:spacing w:after="120" w:before="0" w:line="300"/>
            </w:pPr>
            <w:r>
              <w:rPr>
                <w:rFonts w:ascii="Nunito Sans" w:cs="Nunito Sans" w:eastAsia="Nunito Sans" w:hAnsi="Nunito Sans"/>
                <w:color w:val="102E3B"/>
                <w:sz w:val="19"/>
                <w:szCs w:val="19"/>
              </w:rPr>
              <w:t xml:space="preserve">Safeguarding records are kept longer than most, because survivors may come forward many years later and records may be needed in legal proceedings or historic abuse inquiries. Some countries and funders set specific periods. Never destroy safeguarding records while an investigation, legal case or inquiry is open or likely. Restrict access to the safeguarding lead and their deputy.</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7. Programmes and participants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523"/>
        <w:gridCol w:w="1714"/>
        <w:gridCol w:w="1904"/>
        <w:gridCol w:w="1526"/>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RECORD</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OWNER</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RETENTION PERIOD</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TRIGGER</w:t>
            </w:r>
          </w:p>
        </w:tc>
        <w:tc>
          <w:tcPr>
            <w:tcW w:type="dxa" w:w="152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ACTION</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Participant registration and attendance records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[Programme lead]</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End of programme plus </w:t>
            </w:r>
            <w:r>
              <w:rPr>
                <w:rFonts w:ascii="Nunito Sans" w:cs="Nunito Sans" w:eastAsia="Nunito Sans" w:hAnsi="Nunito Sans"/>
                <w:color w:val="102E3B"/>
                <w:sz w:val="18"/>
                <w:szCs w:val="18"/>
                <w:highlight w:val="yellow"/>
              </w:rPr>
              <w:t xml:space="preserve">[2 years]</w:t>
            </w:r>
            <w:r>
              <w:rPr>
                <w:rFonts w:ascii="Nunito Sans" w:cs="Nunito Sans" w:eastAsia="Nunito Sans" w:hAnsi="Nunito Sans"/>
                <w:color w:val="102E3B"/>
                <w:sz w:val="18"/>
                <w:szCs w:val="18"/>
              </w:rPr>
              <w:t xml:space="preserve">, or as the grant requires</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End of programme</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Delete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Case notes and individual support plans</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[Programme lead]</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[6 years]</w:t>
            </w:r>
            <w:r>
              <w:rPr>
                <w:rFonts w:ascii="Nunito Sans" w:cs="Nunito Sans" w:eastAsia="Nunito Sans" w:hAnsi="Nunito Sans"/>
                <w:color w:val="102E3B"/>
                <w:sz w:val="18"/>
                <w:szCs w:val="18"/>
              </w:rPr>
              <w:t xml:space="preserve"> typical</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Last contact</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Delete</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Consent forms: photo, story, information sharing</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[Communications lead / programme lead]</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 long as we use the material or share the data, plus </w:t>
            </w:r>
            <w:r>
              <w:rPr>
                <w:rFonts w:ascii="Nunito Sans" w:cs="Nunito Sans" w:eastAsia="Nunito Sans" w:hAnsi="Nunito Sans"/>
                <w:color w:val="102E3B"/>
                <w:sz w:val="18"/>
                <w:szCs w:val="18"/>
                <w:highlight w:val="yellow"/>
              </w:rPr>
              <w:t xml:space="preserve">[2 years]</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Consent withdrawn or last use</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Delete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Monitoring and evaluation data with names or identifiers</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[MEAL lead]</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Anonymise within </w:t>
            </w:r>
            <w:r>
              <w:rPr>
                <w:rFonts w:ascii="Nunito Sans" w:cs="Nunito Sans" w:eastAsia="Nunito Sans" w:hAnsi="Nunito Sans"/>
                <w:color w:val="102E3B"/>
                <w:sz w:val="18"/>
                <w:szCs w:val="18"/>
                <w:highlight w:val="yellow"/>
              </w:rPr>
              <w:t xml:space="preserve">[12 months]</w:t>
            </w:r>
            <w:r>
              <w:rPr>
                <w:rFonts w:ascii="Nunito Sans" w:cs="Nunito Sans" w:eastAsia="Nunito Sans" w:hAnsi="Nunito Sans"/>
                <w:color w:val="102E3B"/>
                <w:sz w:val="18"/>
                <w:szCs w:val="18"/>
              </w:rPr>
              <w:t xml:space="preserve"> of the final report; keep anonymised data and reports permanently</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Final report</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Review</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Research data</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[Research lead]</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 the ethics approval and research agreement require</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End of the study</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Review</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Fundraising and donors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523"/>
        <w:gridCol w:w="1714"/>
        <w:gridCol w:w="1904"/>
        <w:gridCol w:w="1526"/>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RECORD</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OWNER</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RETENTION PERIOD</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TRIGGER</w:t>
            </w:r>
          </w:p>
        </w:tc>
        <w:tc>
          <w:tcPr>
            <w:tcW w:type="dxa" w:w="152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ACTION</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Donation records and receipts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[Finance lead]</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 for accounting records</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End of financial year</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Delete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Donor contact details and preferences</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[Fundraising lead]</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While the donor is active, then </w:t>
            </w:r>
            <w:r>
              <w:rPr>
                <w:rFonts w:ascii="Nunito Sans" w:cs="Nunito Sans" w:eastAsia="Nunito Sans" w:hAnsi="Nunito Sans"/>
                <w:color w:val="102E3B"/>
                <w:sz w:val="18"/>
                <w:szCs w:val="18"/>
                <w:highlight w:val="yellow"/>
              </w:rPr>
              <w:t xml:space="preserve">[3 years]</w:t>
            </w:r>
            <w:r>
              <w:rPr>
                <w:rFonts w:ascii="Nunito Sans" w:cs="Nunito Sans" w:eastAsia="Nunito Sans" w:hAnsi="Nunito Sans"/>
                <w:color w:val="102E3B"/>
                <w:sz w:val="18"/>
                <w:szCs w:val="18"/>
              </w:rPr>
              <w:t xml:space="preserve"> typical</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Last donation or contact</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Review</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Marketing consent and opt-out records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[Fundraising lead]</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While we contact the person, plus </w:t>
            </w:r>
            <w:r>
              <w:rPr>
                <w:rFonts w:ascii="Nunito Sans" w:cs="Nunito Sans" w:eastAsia="Nunito Sans" w:hAnsi="Nunito Sans"/>
                <w:color w:val="102E3B"/>
                <w:sz w:val="18"/>
                <w:szCs w:val="18"/>
                <w:highlight w:val="yellow"/>
              </w:rPr>
              <w:t xml:space="preserve">[2 years]</w:t>
            </w:r>
            <w:r>
              <w:rPr>
                <w:rFonts w:ascii="Nunito Sans" w:cs="Nunito Sans" w:eastAsia="Nunito Sans" w:hAnsi="Nunito Sans"/>
                <w:color w:val="102E3B"/>
                <w:sz w:val="18"/>
                <w:szCs w:val="18"/>
              </w:rPr>
              <w:t xml:space="preserve">; keep a minimal "do not contact" record</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Consent withdrawn or last contact</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Review</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Due diligence on major donors and gifts</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[Director]</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[6 years]</w:t>
            </w:r>
            <w:r>
              <w:rPr>
                <w:rFonts w:ascii="Nunito Sans" w:cs="Nunito Sans" w:eastAsia="Nunito Sans" w:hAnsi="Nunito Sans"/>
                <w:color w:val="102E3B"/>
                <w:sz w:val="18"/>
                <w:szCs w:val="18"/>
              </w:rPr>
              <w:t xml:space="preserve"> typical</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Date of the gift</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Delete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9. Contracts, property and insurance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523"/>
        <w:gridCol w:w="1714"/>
        <w:gridCol w:w="1904"/>
        <w:gridCol w:w="1526"/>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RECORD</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OWNER</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RETENTION PERIOD</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TRIGGER</w:t>
            </w:r>
          </w:p>
        </w:tc>
        <w:tc>
          <w:tcPr>
            <w:tcW w:type="dxa" w:w="152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ACTION</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Contracts with suppliers, contractors and partners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[Operations lead]</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[6 years]</w:t>
            </w:r>
            <w:r>
              <w:rPr>
                <w:rFonts w:ascii="Nunito Sans" w:cs="Nunito Sans" w:eastAsia="Nunito Sans" w:hAnsi="Nunito Sans"/>
                <w:color w:val="102E3B"/>
                <w:sz w:val="18"/>
                <w:szCs w:val="18"/>
              </w:rPr>
              <w:t xml:space="preserve"> typical</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End of the contract</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Delete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Leases and property documents</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[Director]</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Life of the lease plus </w:t>
            </w:r>
            <w:r>
              <w:rPr>
                <w:rFonts w:ascii="Nunito Sans" w:cs="Nunito Sans" w:eastAsia="Nunito Sans" w:hAnsi="Nunito Sans"/>
                <w:color w:val="102E3B"/>
                <w:sz w:val="18"/>
                <w:szCs w:val="18"/>
                <w:highlight w:val="yellow"/>
              </w:rPr>
              <w:t xml:space="preserve">[6 years]</w:t>
            </w:r>
            <w:r>
              <w:rPr>
                <w:rFonts w:ascii="Nunito Sans" w:cs="Nunito Sans" w:eastAsia="Nunito Sans" w:hAnsi="Nunito Sans"/>
                <w:color w:val="102E3B"/>
                <w:sz w:val="18"/>
                <w:szCs w:val="18"/>
              </w:rPr>
              <w:t xml:space="preserve">; title deeds permanently</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End of lease</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Review</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Insurance policies and claims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[Operations lead]</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[6 years]</w:t>
            </w:r>
            <w:r>
              <w:rPr>
                <w:rFonts w:ascii="Nunito Sans" w:cs="Nunito Sans" w:eastAsia="Nunito Sans" w:hAnsi="Nunito Sans"/>
                <w:color w:val="102E3B"/>
                <w:sz w:val="18"/>
                <w:szCs w:val="18"/>
              </w:rPr>
              <w:t xml:space="preserve"> typical; liability policies longer</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Policy expiry or claim closed</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Review</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10. Data protection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523"/>
        <w:gridCol w:w="1714"/>
        <w:gridCol w:w="1904"/>
        <w:gridCol w:w="1526"/>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RECORD</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OWNER</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RETENTION PERIOD</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TRIGGER</w:t>
            </w:r>
          </w:p>
        </w:tc>
        <w:tc>
          <w:tcPr>
            <w:tcW w:type="dxa" w:w="152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ACTION</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Record of processing and data protection impact assessments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[Data protection lead]</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Life of the activity plus </w:t>
            </w:r>
            <w:r>
              <w:rPr>
                <w:rFonts w:ascii="Nunito Sans" w:cs="Nunito Sans" w:eastAsia="Nunito Sans" w:hAnsi="Nunito Sans"/>
                <w:color w:val="102E3B"/>
                <w:sz w:val="18"/>
                <w:szCs w:val="18"/>
                <w:highlight w:val="yellow"/>
              </w:rPr>
              <w:t xml:space="preserve">[3 years]</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End of the activity</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Delete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Data rights request log and correspondence</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[Data protection lead]</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[3 years]</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Request closed</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Delete</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Breach log and investigation records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[Data protection lead]</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[6 years]</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Breach closed</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Delete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11. IT and communications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523"/>
        <w:gridCol w:w="1714"/>
        <w:gridCol w:w="1904"/>
        <w:gridCol w:w="1526"/>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RECORD</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OWNER</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RETENTION PERIOD</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TRIGGER</w:t>
            </w:r>
          </w:p>
        </w:tc>
        <w:tc>
          <w:tcPr>
            <w:tcW w:type="dxa" w:w="152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ACTION</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Work email accounts of people who have left</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[IT lead]</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[3 months]</w:t>
            </w:r>
            <w:r>
              <w:rPr>
                <w:rFonts w:ascii="Nunito Sans" w:cs="Nunito Sans" w:eastAsia="Nunito Sans" w:hAnsi="Nunito Sans"/>
                <w:color w:val="102E3B"/>
                <w:sz w:val="18"/>
                <w:szCs w:val="18"/>
              </w:rPr>
              <w:t xml:space="preserve">, after saving records that belong in other files</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End of role</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Delete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System access and security logs</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[IT lead]</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[12 months]</w:t>
            </w:r>
            <w:r>
              <w:rPr>
                <w:rFonts w:ascii="Nunito Sans" w:cs="Nunito Sans" w:eastAsia="Nunito Sans" w:hAnsi="Nunito Sans"/>
                <w:color w:val="102E3B"/>
                <w:sz w:val="18"/>
                <w:szCs w:val="18"/>
              </w:rPr>
              <w:t xml:space="preserve"> typical</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Date of entry</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Delete</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Backups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[IT lead]</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Rolling </w:t>
            </w:r>
            <w:r>
              <w:rPr>
                <w:rFonts w:ascii="Nunito Sans" w:cs="Nunito Sans" w:eastAsia="Nunito Sans" w:hAnsi="Nunito Sans"/>
                <w:color w:val="102E3B"/>
                <w:sz w:val="18"/>
                <w:szCs w:val="18"/>
                <w:highlight w:val="yellow"/>
              </w:rPr>
              <w:t xml:space="preserve">[30–90 days]</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Date of backup</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Delete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Disposing of records securely</w:t>
      </w:r>
    </w:p>
    <w:p>
      <w:pPr>
        <w:spacing w:after="120" w:before="0" w:line="300"/>
      </w:pPr>
      <w:r>
        <w:rPr>
          <w:rFonts w:ascii="Nunito Sans" w:cs="Nunito Sans" w:eastAsia="Nunito Sans" w:hAnsi="Nunito Sans"/>
          <w:color w:val="102E3B"/>
          <w:sz w:val="20"/>
          <w:szCs w:val="20"/>
        </w:rPr>
        <w:t xml:space="preserve">When a record reaches the end of its period, the owner deletes or destroys it within </w:t>
      </w:r>
      <w:r>
        <w:rPr>
          <w:rFonts w:ascii="Nunito Sans" w:cs="Nunito Sans" w:eastAsia="Nunito Sans" w:hAnsi="Nunito Sans"/>
          <w:color w:val="102E3B"/>
          <w:sz w:val="20"/>
          <w:szCs w:val="20"/>
          <w:highlight w:val="yellow"/>
        </w:rPr>
        <w:t xml:space="preserve">[3 months]</w:t>
      </w:r>
      <w:r>
        <w:rPr>
          <w:rFonts w:ascii="Nunito Sans" w:cs="Nunito Sans" w:eastAsia="Nunito Sans" w:hAnsi="Nunito Sans"/>
          <w:color w:val="102E3B"/>
          <w:sz w:val="20"/>
          <w:szCs w:val="20"/>
        </w:rPr>
        <w:t xml:space="preserve"> and notes it in the disposal log.</w:t>
      </w:r>
    </w:p>
    <w:p>
      <w:pPr>
        <w:pStyle w:val="ListParagraph"/>
        <w:numPr>
          <w:ilvl w:val="0"/>
          <w:numId w:val="3"/>
        </w:numPr>
        <w:spacing w:after="80" w:line="290"/>
      </w:pPr>
      <w:r>
        <w:rPr>
          <w:rFonts w:ascii="Nunito Sans" w:cs="Nunito Sans" w:eastAsia="Nunito Sans" w:hAnsi="Nunito Sans"/>
          <w:b/>
          <w:bCs/>
          <w:color w:val="102E3B"/>
          <w:sz w:val="20"/>
          <w:szCs w:val="20"/>
        </w:rPr>
        <w:t xml:space="preserve">Paper:</w:t>
      </w:r>
      <w:r>
        <w:rPr>
          <w:rFonts w:ascii="Nunito Sans" w:cs="Nunito Sans" w:eastAsia="Nunito Sans" w:hAnsi="Nunito Sans"/>
          <w:color w:val="102E3B"/>
          <w:sz w:val="20"/>
          <w:szCs w:val="20"/>
        </w:rPr>
        <w:t xml:space="preserve"> shred with a cross-cut shredder, or use a disposal company that gives a certificate of destruction. Never put personal records in ordinary waste or reuse them as scrap paper.</w:t>
      </w:r>
    </w:p>
    <w:p>
      <w:pPr>
        <w:pStyle w:val="ListParagraph"/>
        <w:numPr>
          <w:ilvl w:val="0"/>
          <w:numId w:val="3"/>
        </w:numPr>
        <w:spacing w:after="80" w:line="290"/>
      </w:pPr>
      <w:r>
        <w:rPr>
          <w:rFonts w:ascii="Nunito Sans" w:cs="Nunito Sans" w:eastAsia="Nunito Sans" w:hAnsi="Nunito Sans"/>
          <w:b/>
          <w:bCs/>
          <w:color w:val="102E3B"/>
          <w:sz w:val="20"/>
          <w:szCs w:val="20"/>
        </w:rPr>
        <w:t xml:space="preserve">Electronic files:</w:t>
      </w:r>
      <w:r>
        <w:rPr>
          <w:rFonts w:ascii="Nunito Sans" w:cs="Nunito Sans" w:eastAsia="Nunito Sans" w:hAnsi="Nunito Sans"/>
          <w:color w:val="102E3B"/>
          <w:sz w:val="20"/>
          <w:szCs w:val="20"/>
        </w:rPr>
        <w:t xml:space="preserve"> delete from shared drives, email, databases and the recycle bin. Remember copies on laptops, phones, USB drives and messaging apps.</w:t>
      </w:r>
    </w:p>
    <w:p>
      <w:pPr>
        <w:pStyle w:val="ListParagraph"/>
        <w:numPr>
          <w:ilvl w:val="0"/>
          <w:numId w:val="3"/>
        </w:numPr>
        <w:spacing w:after="80" w:line="290"/>
      </w:pPr>
      <w:r>
        <w:rPr>
          <w:rFonts w:ascii="Nunito Sans" w:cs="Nunito Sans" w:eastAsia="Nunito Sans" w:hAnsi="Nunito Sans"/>
          <w:b/>
          <w:bCs/>
          <w:color w:val="102E3B"/>
          <w:sz w:val="20"/>
          <w:szCs w:val="20"/>
        </w:rPr>
        <w:t xml:space="preserve">Devices:</w:t>
      </w:r>
      <w:r>
        <w:rPr>
          <w:rFonts w:ascii="Nunito Sans" w:cs="Nunito Sans" w:eastAsia="Nunito Sans" w:hAnsi="Nunito Sans"/>
          <w:color w:val="102E3B"/>
          <w:sz w:val="20"/>
          <w:szCs w:val="20"/>
        </w:rPr>
        <w:t xml:space="preserve"> before reuse, sale or disposal, wipe phones, laptops and drives using a factory reset with encryption, or physically destroy the storage.</w:t>
      </w:r>
    </w:p>
    <w:p>
      <w:pPr>
        <w:pStyle w:val="ListParagraph"/>
        <w:numPr>
          <w:ilvl w:val="0"/>
          <w:numId w:val="3"/>
        </w:numPr>
        <w:spacing w:after="80" w:line="290"/>
      </w:pPr>
      <w:r>
        <w:rPr>
          <w:rFonts w:ascii="Nunito Sans" w:cs="Nunito Sans" w:eastAsia="Nunito Sans" w:hAnsi="Nunito Sans"/>
          <w:b/>
          <w:bCs/>
          <w:color w:val="102E3B"/>
          <w:sz w:val="20"/>
          <w:szCs w:val="20"/>
        </w:rPr>
        <w:t xml:space="preserve">Service providers:</w:t>
      </w:r>
      <w:r>
        <w:rPr>
          <w:rFonts w:ascii="Nunito Sans" w:cs="Nunito Sans" w:eastAsia="Nunito Sans" w:hAnsi="Nunito Sans"/>
          <w:color w:val="102E3B"/>
          <w:sz w:val="20"/>
          <w:szCs w:val="20"/>
        </w:rPr>
        <w:t xml:space="preserve"> ask providers to delete our data at the end of a contract and confirm in writing.</w:t>
      </w:r>
    </w:p>
    <w:p>
      <w:pPr>
        <w:pStyle w:val="ListParagraph"/>
        <w:numPr>
          <w:ilvl w:val="0"/>
          <w:numId w:val="3"/>
        </w:numPr>
        <w:spacing w:after="80" w:line="290"/>
      </w:pPr>
      <w:r>
        <w:rPr>
          <w:rFonts w:ascii="Nunito Sans" w:cs="Nunito Sans" w:eastAsia="Nunito Sans" w:hAnsi="Nunito Sans"/>
          <w:b/>
          <w:bCs/>
          <w:color w:val="102E3B"/>
          <w:sz w:val="20"/>
          <w:szCs w:val="20"/>
        </w:rPr>
        <w:t xml:space="preserve">Backups:</w:t>
      </w:r>
      <w:r>
        <w:rPr>
          <w:rFonts w:ascii="Nunito Sans" w:cs="Nunito Sans" w:eastAsia="Nunito Sans" w:hAnsi="Nunito Sans"/>
          <w:color w:val="102E3B"/>
          <w:sz w:val="20"/>
          <w:szCs w:val="20"/>
        </w:rPr>
        <w:t xml:space="preserve"> data in backups is deleted when the backup is overwritten. Until then, it must not be restored or used.</w:t>
      </w:r>
    </w:p>
    <w:p>
      <w:pPr>
        <w:keepNext/>
        <w:spacing w:after="80" w:before="120"/>
      </w:pPr>
      <w:r>
        <w:rPr>
          <w:rFonts w:ascii="Nunito Sans" w:cs="Nunito Sans" w:eastAsia="Nunito Sans" w:hAnsi="Nunito Sans"/>
          <w:b/>
          <w:bCs/>
          <w:color w:val="16746E"/>
          <w:spacing w:val="30"/>
          <w:sz w:val="15"/>
          <w:szCs w:val="15"/>
        </w:rPr>
        <w:t xml:space="preserve">DISPOSAL LOG</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904"/>
        <w:gridCol w:w="1904"/>
        <w:gridCol w:w="2859"/>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RECORD AND DATE RANGE</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METHOD</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285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DISPOSED OF BY</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2018 receipts and bank statements</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Shredding company, certificate kept</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c>
          <w:tcPr>
            <w:tcW w:type="dxa" w:w="285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85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DISPOSAL IN PRACTICE</w:t>
            </w:r>
          </w:p>
          <w:p>
            <w:pPr>
              <w:spacing w:after="120" w:before="0" w:line="300"/>
            </w:pPr>
            <w:r>
              <w:rPr>
                <w:rFonts w:ascii="Nunito Sans" w:cs="Nunito Sans" w:eastAsia="Nunito Sans" w:hAnsi="Nunito Sans"/>
                <w:color w:val="102E3B"/>
                <w:sz w:val="19"/>
                <w:szCs w:val="19"/>
              </w:rPr>
              <w:t xml:space="preserve">Choose methods you can actually use. In places without shredding companies, small organisations burn paper records safely on site, with two people present and a note made. For electronic records, the main risk is forgotten copies: schedule a "clear-out day" once a year when everyone deletes old files from their devices and shared folders.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Legal holds</w:t>
      </w:r>
    </w:p>
    <w:p>
      <w:pPr>
        <w:spacing w:after="120" w:before="0" w:line="300"/>
      </w:pPr>
      <w:r>
        <w:rPr>
          <w:rFonts w:ascii="Nunito Sans" w:cs="Nunito Sans" w:eastAsia="Nunito Sans" w:hAnsi="Nunito Sans"/>
          <w:color w:val="102E3B"/>
          <w:sz w:val="20"/>
          <w:szCs w:val="20"/>
        </w:rPr>
        <w:t xml:space="preserve">A legal hold stops the deletion of records. The </w:t>
      </w:r>
      <w:r>
        <w:rPr>
          <w:rFonts w:ascii="Nunito Sans" w:cs="Nunito Sans" w:eastAsia="Nunito Sans" w:hAnsi="Nunito Sans"/>
          <w:color w:val="102E3B"/>
          <w:sz w:val="20"/>
          <w:szCs w:val="20"/>
          <w:highlight w:val="yellow"/>
        </w:rPr>
        <w:t xml:space="preserve">[Director]</w:t>
      </w:r>
      <w:r>
        <w:rPr>
          <w:rFonts w:ascii="Nunito Sans" w:cs="Nunito Sans" w:eastAsia="Nunito Sans" w:hAnsi="Nunito Sans"/>
          <w:color w:val="102E3B"/>
          <w:sz w:val="20"/>
          <w:szCs w:val="20"/>
        </w:rPr>
        <w:t xml:space="preserve"> places a hold when a legal claim, investigation, audit, regulator inquiry or rights request is open or reasonably expected. They tell the record owners in writing what is held and why. Nobody may delete records under a hold, even if their period has ended. The hold is lifted in writing when the matter closes, and normal deletion resumes.</w:t>
      </w:r>
    </w:p>
    <w:p>
      <w:pPr>
        <w:pStyle w:val="Heading1"/>
        <w:keepNext/>
        <w:spacing w:after="160" w:before="360"/>
      </w:pPr>
      <w:r>
        <w:rPr>
          <w:rFonts w:ascii="DM Serif Display" w:cs="DM Serif Display" w:eastAsia="DM Serif Display" w:hAnsi="DM Serif Display"/>
          <w:color w:val="123C48"/>
          <w:sz w:val="40"/>
          <w:szCs w:val="40"/>
        </w:rPr>
        <w:t xml:space="preserve">Review</w:t>
      </w:r>
    </w:p>
    <w:p>
      <w:pPr>
        <w:spacing w:after="120" w:before="0" w:line="300"/>
      </w:pPr>
      <w:r>
        <w:rPr>
          <w:rFonts w:ascii="Nunito Sans" w:cs="Nunito Sans" w:eastAsia="Nunito Sans" w:hAnsi="Nunito Sans"/>
          <w:color w:val="102E3B"/>
          <w:sz w:val="20"/>
          <w:szCs w:val="20"/>
        </w:rPr>
        <w:t xml:space="preserve">The </w:t>
      </w:r>
      <w:r>
        <w:rPr>
          <w:rFonts w:ascii="Nunito Sans" w:cs="Nunito Sans" w:eastAsia="Nunito Sans" w:hAnsi="Nunito Sans"/>
          <w:color w:val="102E3B"/>
          <w:sz w:val="20"/>
          <w:szCs w:val="20"/>
          <w:highlight w:val="yellow"/>
        </w:rPr>
        <w:t xml:space="preserve">[data protection lead]</w:t>
      </w:r>
      <w:r>
        <w:rPr>
          <w:rFonts w:ascii="Nunito Sans" w:cs="Nunito Sans" w:eastAsia="Nunito Sans" w:hAnsi="Nunito Sans"/>
          <w:color w:val="102E3B"/>
          <w:sz w:val="20"/>
          <w:szCs w:val="20"/>
        </w:rPr>
        <w:t xml:space="preserve"> reviews this schedule every </w:t>
      </w:r>
      <w:r>
        <w:rPr>
          <w:rFonts w:ascii="Nunito Sans" w:cs="Nunito Sans" w:eastAsia="Nunito Sans" w:hAnsi="Nunito Sans"/>
          <w:color w:val="102E3B"/>
          <w:sz w:val="20"/>
          <w:szCs w:val="20"/>
          <w:highlight w:val="yellow"/>
        </w:rPr>
        <w:t xml:space="preserve">[year]</w:t>
      </w:r>
      <w:r>
        <w:rPr>
          <w:rFonts w:ascii="Nunito Sans" w:cs="Nunito Sans" w:eastAsia="Nunito Sans" w:hAnsi="Nunito Sans"/>
          <w:color w:val="102E3B"/>
          <w:sz w:val="20"/>
          <w:szCs w:val="20"/>
        </w:rPr>
        <w:t xml:space="preserve">, and when a law changes, a new type of record is created, or a major grant has new requirements. At each review they check with owners that deletion has actually happened, and report the result to the board.</w:t>
      </w:r>
    </w:p>
    <w:p>
      <w:pPr>
        <w:pStyle w:val="Heading1"/>
        <w:keepNext/>
        <w:spacing w:after="160" w:before="360"/>
      </w:pPr>
      <w:r>
        <w:rPr>
          <w:rFonts w:ascii="DM Serif Display" w:cs="DM Serif Display" w:eastAsia="DM Serif Display" w:hAnsi="DM Serif Display"/>
          <w:color w:val="123C48"/>
          <w:sz w:val="40"/>
          <w:szCs w:val="40"/>
        </w:rPr>
        <w:t xml:space="preserve">Sign-off</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FIELD</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ENTRY</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Approved by</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Date approved</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Next review</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Guidance notes</w:t>
      </w:r>
    </w:p>
    <w:p>
      <w:pPr>
        <w:pStyle w:val="ListParagraph"/>
        <w:numPr>
          <w:ilvl w:val="0"/>
          <w:numId w:val="3"/>
        </w:numPr>
        <w:spacing w:after="80" w:line="290"/>
      </w:pPr>
      <w:r>
        <w:rPr>
          <w:rFonts w:ascii="Nunito Sans" w:cs="Nunito Sans" w:eastAsia="Nunito Sans" w:hAnsi="Nunito Sans"/>
          <w:b/>
          <w:bCs/>
          <w:color w:val="102E3B"/>
          <w:sz w:val="20"/>
          <w:szCs w:val="20"/>
        </w:rPr>
        <w:t xml:space="preserve">Start with the records you actually have.</w:t>
      </w:r>
      <w:r>
        <w:rPr>
          <w:rFonts w:ascii="Nunito Sans" w:cs="Nunito Sans" w:eastAsia="Nunito Sans" w:hAnsi="Nunito Sans"/>
          <w:color w:val="102E3B"/>
          <w:sz w:val="20"/>
          <w:szCs w:val="20"/>
        </w:rPr>
        <w:t xml:space="preserve"> Walk through your shared drive and filing cabinets and check each type against this schedule.</w:t>
      </w:r>
    </w:p>
    <w:p>
      <w:pPr>
        <w:pStyle w:val="ListParagraph"/>
        <w:numPr>
          <w:ilvl w:val="0"/>
          <w:numId w:val="3"/>
        </w:numPr>
        <w:spacing w:after="80" w:line="290"/>
      </w:pPr>
      <w:r>
        <w:rPr>
          <w:rFonts w:ascii="Nunito Sans" w:cs="Nunito Sans" w:eastAsia="Nunito Sans" w:hAnsi="Nunito Sans"/>
          <w:b/>
          <w:bCs/>
          <w:color w:val="102E3B"/>
          <w:sz w:val="20"/>
          <w:szCs w:val="20"/>
        </w:rPr>
        <w:t xml:space="preserve">Do not keep everything "just in case".</w:t>
      </w:r>
      <w:r>
        <w:rPr>
          <w:rFonts w:ascii="Nunito Sans" w:cs="Nunito Sans" w:eastAsia="Nunito Sans" w:hAnsi="Nunito Sans"/>
          <w:color w:val="102E3B"/>
          <w:sz w:val="20"/>
          <w:szCs w:val="20"/>
        </w:rPr>
        <w:t xml:space="preserve"> Old personal data is a liability, not an asset.</w:t>
      </w:r>
    </w:p>
    <w:p>
      <w:pPr>
        <w:pStyle w:val="ListParagraph"/>
        <w:numPr>
          <w:ilvl w:val="0"/>
          <w:numId w:val="3"/>
        </w:numPr>
        <w:spacing w:after="80" w:line="290"/>
      </w:pPr>
      <w:r>
        <w:rPr>
          <w:rFonts w:ascii="Nunito Sans" w:cs="Nunito Sans" w:eastAsia="Nunito Sans" w:hAnsi="Nunito Sans"/>
          <w:b/>
          <w:bCs/>
          <w:color w:val="102E3B"/>
          <w:sz w:val="20"/>
          <w:szCs w:val="20"/>
        </w:rPr>
        <w:t xml:space="preserve">Make deletion routine.</w:t>
      </w:r>
      <w:r>
        <w:rPr>
          <w:rFonts w:ascii="Nunito Sans" w:cs="Nunito Sans" w:eastAsia="Nunito Sans" w:hAnsi="Nunito Sans"/>
          <w:color w:val="102E3B"/>
          <w:sz w:val="20"/>
          <w:szCs w:val="20"/>
        </w:rPr>
        <w:t xml:space="preserve"> Set calendar reminders, for example after each financial year end.</w:t>
      </w:r>
    </w:p>
    <w:p>
      <w:pPr>
        <w:pStyle w:val="ListParagraph"/>
        <w:numPr>
          <w:ilvl w:val="0"/>
          <w:numId w:val="3"/>
        </w:numPr>
        <w:spacing w:after="80" w:line="290"/>
      </w:pPr>
      <w:r>
        <w:rPr>
          <w:rFonts w:ascii="Nunito Sans" w:cs="Nunito Sans" w:eastAsia="Nunito Sans" w:hAnsi="Nunito Sans"/>
          <w:b/>
          <w:bCs/>
          <w:color w:val="102E3B"/>
          <w:sz w:val="20"/>
          <w:szCs w:val="20"/>
        </w:rPr>
        <w:t xml:space="preserve">Ask before deleting</w:t>
      </w:r>
      <w:r>
        <w:rPr>
          <w:rFonts w:ascii="Nunito Sans" w:cs="Nunito Sans" w:eastAsia="Nunito Sans" w:hAnsi="Nunito Sans"/>
          <w:color w:val="102E3B"/>
          <w:sz w:val="20"/>
          <w:szCs w:val="20"/>
        </w:rPr>
        <w:t xml:space="preserve"> anything you are unsure about. It is easier to delete later than to recover a lost record.</w:t>
      </w:r>
    </w:p>
    <w:p>
      <w:pPr>
        <w:pStyle w:val="ListParagraph"/>
        <w:numPr>
          <w:ilvl w:val="0"/>
          <w:numId w:val="3"/>
        </w:numPr>
        <w:spacing w:after="80" w:line="290"/>
      </w:pPr>
      <w:r>
        <w:rPr>
          <w:rFonts w:ascii="Nunito Sans" w:cs="Nunito Sans" w:eastAsia="Nunito Sans" w:hAnsi="Nunito Sans"/>
          <w:b/>
          <w:bCs/>
          <w:color w:val="102E3B"/>
          <w:sz w:val="20"/>
          <w:szCs w:val="20"/>
        </w:rPr>
        <w:t xml:space="preserve">Tell people.</w:t>
      </w:r>
      <w:r>
        <w:rPr>
          <w:rFonts w:ascii="Nunito Sans" w:cs="Nunito Sans" w:eastAsia="Nunito Sans" w:hAnsi="Nunito Sans"/>
          <w:color w:val="102E3B"/>
          <w:sz w:val="20"/>
          <w:szCs w:val="20"/>
        </w:rPr>
        <w:t xml:space="preserve"> Our Privacy Notice explains, in summary, how long we keep information.</w:t>
      </w: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Records Retention Schedule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A699A1D0-0999-2C32-7447-CCDE87BB751D}"/>
  </w:font>
  <w:font w:name="DM Serif Display">
    <w:family w:val="auto"/>
    <w:pitch w:val="variable"/>
    <w:sig w:usb0="E0002AFF" w:usb1="C000247B" w:usb2="00000009" w:usb3="00000000" w:csb0="000001FF" w:csb1="00000000"/>
    <w:embedRegular r:id="rId2" w:fontKey="{B85017D9-C7CB-7E2C-9437-D6E9C9E732F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Records Retention Schedule  |  Version [1.0]  |  From a Method into Impact template</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RECORDS RETENTION SCHEDULE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Records Retention Schedule</dc:title>
  <dc:creator>Method into Impact</dc:creator>
  <dc:description>How long [[Organisation name]] keeps each type of record, who is responsible for it, and what happens when the time is up.</dc:description>
  <cp:lastModifiedBy>Un-named</cp:lastModifiedBy>
  <cp:revision>1</cp:revision>
  <dcterms:created xsi:type="dcterms:W3CDTF">2026-10-29T00:41:23.230Z</dcterms:created>
  <dcterms:modified xsi:type="dcterms:W3CDTF">2026-10-29T00:41:23.230Z</dcterms:modified>
</cp:coreProperties>
</file>

<file path=docProps/custom.xml><?xml version="1.0" encoding="utf-8"?>
<Properties xmlns="http://schemas.openxmlformats.org/officeDocument/2006/custom-properties" xmlns:vt="http://schemas.openxmlformats.org/officeDocument/2006/docPropsVTypes"/>
</file>