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SAFEGUARDING</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Safeguarding Policy and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How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keeps children, adults at risk and everyone we work with safe from harm, including sexual exploitation, abuse and harassment, and what we do when someone raises a concern.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 safeguarding policy shows that you have thought about how your work could harm people and what you will do about it. Funders, partners and regulators read it more closely than any other policy, because it protects the people with the least power. This template covers children, adults at risk and protection from sexual exploitation, abuse and harassment (SEAH), with a survivor-centred procedure, a report form and a referral map.</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UN agencies and international NGOs before partnering; government regulators and registration bodies; schools, health facilities and community partners;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4–6 hours to adapt, plus 2–3 hours to map local referral services; 30–45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 lesson 10.5 (safeguarding)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Code of Conduct · Anti-Harassment, Intimidation and Bullying Policy and Procedure · Whistleblowing Policy and Procedure · Independent Contact Role Note · Incident Reporting Procedure · Complaints and Feedback Procedure · Photo and Story Consent Form · Data Protection Policy · Partner Due Diligence and Sanctions Screening Policy</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Safeguarding 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 and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consultants, partners' staff on our projects, and visitors to our activities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[safeguarding@yourorganisation.org]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[hello@yourorganisation.org]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What we mean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Our commitments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How to respond and report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Safeguarding concern report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Referral pathway map</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policy: it sets out what we do now and who does it.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safeguarding lead.</w:t>
            </w:r>
            <w:r>
              <w:rPr>
                <w:rFonts w:ascii="Nunito Sans" w:cs="Nunito Sans" w:eastAsia="Nunito Sans" w:hAnsi="Nunito Sans"/>
                <w:color w:val="102E3B"/>
                <w:sz w:val="19"/>
                <w:szCs w:val="19"/>
              </w:rPr>
              <w:t xml:space="preserve"> They receive concerns, decide on protective action, make referrals and keep the records described here.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deputy, or independent contact.</w:t>
            </w:r>
            <w:r>
              <w:rPr>
                <w:rFonts w:ascii="Nunito Sans" w:cs="Nunito Sans" w:eastAsia="Nunito Sans" w:hAnsi="Nunito Sans"/>
                <w:color w:val="102E3B"/>
                <w:sz w:val="19"/>
                <w:szCs w:val="19"/>
              </w:rPr>
              <w:t xml:space="preserve"> They handle any concern about the safeguarding lead, or that the lead is involved in, and cover urgent cases when the lead cannot be reached for more than </w:t>
            </w:r>
            <w:r>
              <w:rPr>
                <w:rFonts w:ascii="Nunito Sans" w:cs="Nunito Sans" w:eastAsia="Nunito Sans" w:hAnsi="Nunito Sans"/>
                <w:color w:val="102E3B"/>
                <w:sz w:val="19"/>
                <w:szCs w:val="19"/>
                <w:highlight w:val="yellow"/>
              </w:rPr>
              <w:t xml:space="preserve">[48 hours]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is the board member responsible for safeguarding.</w:t>
            </w:r>
            <w:r>
              <w:rPr>
                <w:rFonts w:ascii="Nunito Sans" w:cs="Nunito Sans" w:eastAsia="Nunito Sans" w:hAnsi="Nunito Sans"/>
                <w:color w:val="102E3B"/>
                <w:sz w:val="19"/>
                <w:szCs w:val="19"/>
              </w:rPr>
              <w:t xml:space="preserve"> They receive a summary of cases and check that this policy is followed.</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when our activities change, and after any serious incident.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and check they have agreed. In a very small organisation the founder is often the safeguarding lead. If so, the deputy must be someone the founder does not manage, such as a board member or a trusted person outside the organisation, so that a concern about the founder has somewhere safe to go. The Independent Contact Role Note explains this role. Choose a lead who is reachable during activities and has had, or will have, recognised safeguarding training.</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We have zero tolerance for abuse, exploitation, harassment or neglect, and for failing to act on a concern.</w:t>
            </w:r>
          </w:p>
          <w:p>
            <w:pPr>
              <w:pStyle w:val="ListParagraph"/>
              <w:numPr>
                <w:ilvl w:val="0"/>
                <w:numId w:val="3"/>
              </w:numPr>
              <w:spacing w:after="80" w:line="290"/>
            </w:pPr>
            <w:r>
              <w:rPr>
                <w:rFonts w:ascii="Nunito Sans" w:cs="Nunito Sans" w:eastAsia="Nunito Sans" w:hAnsi="Nunito Sans"/>
                <w:color w:val="102E3B"/>
                <w:sz w:val="19"/>
                <w:szCs w:val="19"/>
              </w:rPr>
              <w:t xml:space="preserve">This policy protects children (everyone under 18) and adults at risk, and protects everyone from sexual exploitation, abuse and harassment.</w:t>
            </w:r>
          </w:p>
          <w:p>
            <w:pPr>
              <w:pStyle w:val="ListParagraph"/>
              <w:numPr>
                <w:ilvl w:val="0"/>
                <w:numId w:val="3"/>
              </w:numPr>
              <w:spacing w:after="80" w:line="290"/>
            </w:pPr>
            <w:r>
              <w:rPr>
                <w:rFonts w:ascii="Nunito Sans" w:cs="Nunito Sans" w:eastAsia="Nunito Sans" w:hAnsi="Nunito Sans"/>
                <w:color w:val="102E3B"/>
                <w:sz w:val="19"/>
                <w:szCs w:val="19"/>
              </w:rPr>
              <w:t xml:space="preserve">We follow the IASC six core principles. No sexual activity with anyone under 18. No exchange of help, money or work for sex.</w:t>
            </w:r>
          </w:p>
          <w:p>
            <w:pPr>
              <w:pStyle w:val="ListParagraph"/>
              <w:numPr>
                <w:ilvl w:val="0"/>
                <w:numId w:val="3"/>
              </w:numPr>
              <w:spacing w:after="80" w:line="290"/>
            </w:pPr>
            <w:r>
              <w:rPr>
                <w:rFonts w:ascii="Nunito Sans" w:cs="Nunito Sans" w:eastAsia="Nunito Sans" w:hAnsi="Nunito Sans"/>
                <w:color w:val="102E3B"/>
                <w:sz w:val="19"/>
                <w:szCs w:val="19"/>
              </w:rPr>
              <w:t xml:space="preserve">If someone is in immediate danger, contact emergency services first. Then report to the safeguarding lead 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 You do not need proof.</w:t>
            </w:r>
          </w:p>
          <w:p>
            <w:pPr>
              <w:pStyle w:val="ListParagraph"/>
              <w:numPr>
                <w:ilvl w:val="0"/>
                <w:numId w:val="3"/>
              </w:numPr>
              <w:spacing w:after="80" w:line="290"/>
            </w:pPr>
            <w:r>
              <w:rPr>
                <w:rFonts w:ascii="Nunito Sans" w:cs="Nunito Sans" w:eastAsia="Nunito Sans" w:hAnsi="Nunito Sans"/>
                <w:color w:val="102E3B"/>
                <w:sz w:val="19"/>
                <w:szCs w:val="19"/>
              </w:rPr>
              <w:t xml:space="preserve">If someone tells you about harm: listen, reassure, do not investigate, and write down what they said in their own words.</w:t>
            </w:r>
          </w:p>
          <w:p>
            <w:pPr>
              <w:pStyle w:val="ListParagraph"/>
              <w:numPr>
                <w:ilvl w:val="0"/>
                <w:numId w:val="3"/>
              </w:numPr>
              <w:spacing w:after="80" w:line="290"/>
            </w:pPr>
            <w:r>
              <w:rPr>
                <w:rFonts w:ascii="Nunito Sans" w:cs="Nunito Sans" w:eastAsia="Nunito Sans" w:hAnsi="Nunito Sans"/>
                <w:color w:val="102E3B"/>
                <w:sz w:val="19"/>
                <w:szCs w:val="19"/>
              </w:rPr>
              <w:t xml:space="preserve">We put the survivor's safety and wishes first. We follow the law on mandatory reporting, and we never refer an adult survivor in a way that puts them at greater risk.</w:t>
            </w:r>
          </w:p>
          <w:p>
            <w:pPr>
              <w:pStyle w:val="ListParagraph"/>
              <w:numPr>
                <w:ilvl w:val="0"/>
                <w:numId w:val="3"/>
              </w:numPr>
              <w:spacing w:after="80" w:line="290"/>
            </w:pPr>
            <w:r>
              <w:rPr>
                <w:rFonts w:ascii="Nunito Sans" w:cs="Nunito Sans" w:eastAsia="Nunito Sans" w:hAnsi="Nunito Sans"/>
                <w:color w:val="102E3B"/>
                <w:sz w:val="19"/>
                <w:szCs w:val="19"/>
              </w:rPr>
              <w:t xml:space="preserve">We recruit safely, train our team and expect the same standards from our partners and contractors.</w:t>
            </w:r>
          </w:p>
          <w:p>
            <w:pPr>
              <w:pStyle w:val="ListParagraph"/>
              <w:numPr>
                <w:ilvl w:val="0"/>
                <w:numId w:val="3"/>
              </w:numPr>
              <w:spacing w:after="80" w:line="290"/>
            </w:pPr>
            <w:r>
              <w:rPr>
                <w:rFonts w:ascii="Nunito Sans" w:cs="Nunito Sans" w:eastAsia="Nunito Sans" w:hAnsi="Nunito Sans"/>
                <w:color w:val="102E3B"/>
                <w:sz w:val="19"/>
                <w:szCs w:val="19"/>
              </w:rPr>
              <w:t xml:space="preserve">Concerns about the safeguarding lead go to </w:t>
            </w:r>
            <w:r>
              <w:rPr>
                <w:rFonts w:ascii="Nunito Sans" w:cs="Nunito Sans" w:eastAsia="Nunito Sans" w:hAnsi="Nunito Sans"/>
                <w:color w:val="102E3B"/>
                <w:sz w:val="19"/>
                <w:szCs w:val="19"/>
                <w:highlight w:val="yellow"/>
              </w:rPr>
              <w:t xml:space="preserve">[Name, role]</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works with or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staff, volunteers and interns, board members </w:t>
      </w:r>
      <w:r>
        <w:rPr>
          <w:rFonts w:ascii="Nunito Sans" w:cs="Nunito Sans" w:eastAsia="Nunito Sans" w:hAnsi="Nunito Sans"/>
          <w:color w:val="102E3B"/>
          <w:sz w:val="20"/>
          <w:szCs w:val="20"/>
          <w:highlight w:val="yellow"/>
        </w:rPr>
        <w:t xml:space="preserve">[trustees / directors / committee members]</w:t>
      </w:r>
      <w:r>
        <w:rPr>
          <w:rFonts w:ascii="Nunito Sans" w:cs="Nunito Sans" w:eastAsia="Nunito Sans" w:hAnsi="Nunito Sans"/>
          <w:color w:val="102E3B"/>
          <w:sz w:val="20"/>
          <w:szCs w:val="20"/>
        </w:rPr>
        <w:t xml:space="preserve"> and advisers, and contractors and consultants, including drivers, translators, photographers and researchers. It also applies to partners' staff while they deliver projects with us, through our agreement with the partner, and to visitors such as funders and journalists while they take part in our activities.</w:t>
      </w:r>
    </w:p>
    <w:p>
      <w:pPr>
        <w:spacing w:after="120" w:before="0" w:line="300"/>
      </w:pPr>
      <w:r>
        <w:rPr>
          <w:rFonts w:ascii="Nunito Sans" w:cs="Nunito Sans" w:eastAsia="Nunito Sans" w:hAnsi="Nunito Sans"/>
          <w:color w:val="102E3B"/>
          <w:sz w:val="20"/>
          <w:szCs w:val="20"/>
        </w:rPr>
        <w:t xml:space="preserve">It applies at our offices and project sites, at events, during travel, online, and outside working hours where your conduct could affect the people we serve, including contact that started through our work and continued privately.</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When we work in other countries, we also follow the law that applies there. Where this policy, a partner's or funder's policy and the law differ, we follow the rule that gives people more protection.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AND COUNTRIES</w:t>
            </w:r>
          </w:p>
          <w:p>
            <w:pPr>
              <w:spacing w:after="120" w:before="0" w:line="300"/>
            </w:pPr>
            <w:r>
              <w:rPr>
                <w:rFonts w:ascii="Nunito Sans" w:cs="Nunito Sans" w:eastAsia="Nunito Sans" w:hAnsi="Nunito Sans"/>
                <w:color w:val="102E3B"/>
                <w:sz w:val="19"/>
                <w:szCs w:val="19"/>
              </w:rPr>
              <w:t xml:space="preserve">List the country where you are registered and every country where you run activities. For each one, check with a local lawyer or child protection agency: the legal definition of a child and any special rules for 16–17-year-olds; whether anyone must report suspected child abuse (see the box on mandatory reporting); and whether criminal record checks exist and can lawfully be requested for your roles. If you work in only one country, delete the second sentence.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What we mean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7048"/>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TERM</w:t>
            </w:r>
          </w:p>
        </w:tc>
        <w:tc>
          <w:tcPr>
            <w:tcW w:type="dxa" w:w="704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MEANING</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Child</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Anyone under 18, whatever the local age of majority or of sexual consent, following the UN Convention on the Rights of the Child (1989).</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Adult at risk</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person aged 18 or over who may be less able to protect themselves from harm because of their circumstances: for example disability, illness, older age, trauma, displacement, detention, extreme poverty, stigma, or dependence on others, including on us. It can be temporary, and does not mean the person cannot make their own decisions.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Abuse and harm</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Physical, sexual, emotional, financial and discriminatory harm, neglect, and exploitation such as child labour or trafficking, in person or online.</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Sexual exploitation</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Abusing a position of vulnerability, power or trust for sexual purposes, including to profit financially, socially or politically.</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Sexual abuse</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Actual or threatened physical intrusion of a sexual nature, by force or under unequal or coercive conditions. For children, any sexual activity, sexual messages or images, or exposure to sexual material.</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Sexual harassment</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Unwanted conduct of a sexual nature that violates someone's dignity or creates an intimidating, hostile or humiliating environment, including between colleagues.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SEAH</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Sexual exploitation, abuse and harassment together.</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Grooming</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Building trust with a child or adult, and often their family, in order to abuse or exploit them. It often happens online.</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Survivor</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The person harmed. We use the word they prefer.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Our commitments</w:t>
      </w:r>
    </w:p>
    <w:p>
      <w:pPr>
        <w:pStyle w:val="Heading2"/>
        <w:keepNext/>
        <w:spacing w:after="120" w:before="280"/>
      </w:pPr>
      <w:r>
        <w:rPr>
          <w:rFonts w:ascii="DM Serif Display" w:cs="DM Serif Display" w:eastAsia="DM Serif Display" w:hAnsi="DM Serif Display"/>
          <w:color w:val="123C48"/>
          <w:sz w:val="28"/>
          <w:szCs w:val="28"/>
        </w:rPr>
        <w:t xml:space="preserve">1. Our principles</w:t>
      </w:r>
    </w:p>
    <w:p>
      <w:pPr>
        <w:spacing w:after="120" w:before="0" w:line="300"/>
      </w:pPr>
      <w:r>
        <w:rPr>
          <w:rFonts w:ascii="Nunito Sans" w:cs="Nunito Sans" w:eastAsia="Nunito Sans" w:hAnsi="Nunito Sans"/>
          <w:color w:val="102E3B"/>
          <w:sz w:val="20"/>
          <w:szCs w:val="20"/>
        </w:rPr>
        <w:t xml:space="preserve">We put the safety, dignity and best interests of children and adults at risk first. Our response is survivor-centred: the survivor's safety, wishes, confidentiality and dignity guide what we do. We aim to do no harm, including through our response. We pay special attention to people who find it harder to speak up. Culture is never an excuse for harm.</w:t>
      </w:r>
    </w:p>
    <w:p>
      <w:pPr>
        <w:pStyle w:val="Heading2"/>
        <w:keepNext/>
        <w:spacing w:after="120" w:before="280"/>
      </w:pPr>
      <w:r>
        <w:rPr>
          <w:rFonts w:ascii="DM Serif Display" w:cs="DM Serif Display" w:eastAsia="DM Serif Display" w:hAnsi="DM Serif Display"/>
          <w:color w:val="123C48"/>
          <w:sz w:val="28"/>
          <w:szCs w:val="28"/>
        </w:rPr>
        <w:t xml:space="preserve">2. Protection from sexual exploitation, abuse and harassment</w:t>
      </w:r>
    </w:p>
    <w:p>
      <w:pPr>
        <w:spacing w:after="120" w:before="0" w:line="300"/>
      </w:pP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follows the Inter-Agency Standing Committee (IASC) Six Core Principles relating to Sexual Exploitation and Abuse (2019):</w:t>
      </w:r>
    </w:p>
    <w:p>
      <w:pPr>
        <w:pStyle w:val="ListParagraph"/>
        <w:numPr>
          <w:ilvl w:val="0"/>
          <w:numId w:val="4"/>
        </w:numPr>
        <w:spacing w:after="80" w:line="290"/>
      </w:pPr>
      <w:r>
        <w:rPr>
          <w:rFonts w:ascii="Nunito Sans" w:cs="Nunito Sans" w:eastAsia="Nunito Sans" w:hAnsi="Nunito Sans"/>
          <w:color w:val="102E3B"/>
          <w:sz w:val="20"/>
          <w:szCs w:val="20"/>
        </w:rPr>
        <w:t xml:space="preserve">Sexual exploitation and abuse are gross misconduct and grounds for dismissal or ending any agreement with us.</w:t>
      </w:r>
    </w:p>
    <w:p>
      <w:pPr>
        <w:pStyle w:val="ListParagraph"/>
        <w:numPr>
          <w:ilvl w:val="0"/>
          <w:numId w:val="4"/>
        </w:numPr>
        <w:spacing w:after="80" w:line="290"/>
      </w:pPr>
      <w:r>
        <w:rPr>
          <w:rFonts w:ascii="Nunito Sans" w:cs="Nunito Sans" w:eastAsia="Nunito Sans" w:hAnsi="Nunito Sans"/>
          <w:color w:val="102E3B"/>
          <w:sz w:val="20"/>
          <w:szCs w:val="20"/>
        </w:rPr>
        <w:t xml:space="preserve">Sexual activity with anyone under 18 is prohibited, whatever the local age of majority or consent. Mistaken belief about age is no defence.</w:t>
      </w:r>
    </w:p>
    <w:p>
      <w:pPr>
        <w:pStyle w:val="ListParagraph"/>
        <w:numPr>
          <w:ilvl w:val="0"/>
          <w:numId w:val="4"/>
        </w:numPr>
        <w:spacing w:after="80" w:line="290"/>
      </w:pPr>
      <w:r>
        <w:rPr>
          <w:rFonts w:ascii="Nunito Sans" w:cs="Nunito Sans" w:eastAsia="Nunito Sans" w:hAnsi="Nunito Sans"/>
          <w:color w:val="102E3B"/>
          <w:sz w:val="20"/>
          <w:szCs w:val="20"/>
        </w:rPr>
        <w:t xml:space="preserve">Exchanging money, employment, goods, services or assistance for sex, sexual favours or any other humiliating, degrading or exploitative behaviour is prohibited. This includes assistance due to the people we serve. </w:t>
      </w:r>
      <w:r>
        <w:rPr>
          <w:rFonts w:ascii="Nunito Sans" w:cs="Nunito Sans" w:eastAsia="Nunito Sans" w:hAnsi="Nunito Sans"/>
          <w:color w:val="102E3B"/>
          <w:sz w:val="20"/>
          <w:szCs w:val="20"/>
          <w:highlight w:val="yellow"/>
        </w:rPr>
        <w:t xml:space="preserve">[We also ban paying for sex while working for us, even where it is legal.]</w:t>
      </w:r>
    </w:p>
    <w:p>
      <w:pPr>
        <w:pStyle w:val="ListParagraph"/>
        <w:numPr>
          <w:ilvl w:val="0"/>
          <w:numId w:val="4"/>
        </w:numPr>
        <w:spacing w:after="80" w:line="290"/>
      </w:pPr>
      <w:r>
        <w:rPr>
          <w:rFonts w:ascii="Nunito Sans" w:cs="Nunito Sans" w:eastAsia="Nunito Sans" w:hAnsi="Nunito Sans"/>
          <w:color w:val="102E3B"/>
          <w:sz w:val="20"/>
          <w:szCs w:val="20"/>
        </w:rPr>
        <w:t xml:space="preserve">Sexual relationships with the people we serve that involve improper use of rank or position are prohibited. They undermine the integrity of our work. Any relationship with a person we serve must be declared to the safeguarding lead.</w:t>
      </w:r>
    </w:p>
    <w:p>
      <w:pPr>
        <w:pStyle w:val="ListParagraph"/>
        <w:numPr>
          <w:ilvl w:val="0"/>
          <w:numId w:val="4"/>
        </w:numPr>
        <w:spacing w:after="80" w:line="290"/>
      </w:pPr>
      <w:r>
        <w:rPr>
          <w:rFonts w:ascii="Nunito Sans" w:cs="Nunito Sans" w:eastAsia="Nunito Sans" w:hAnsi="Nunito Sans"/>
          <w:color w:val="102E3B"/>
          <w:sz w:val="20"/>
          <w:szCs w:val="20"/>
        </w:rPr>
        <w:t xml:space="preserve">Anyone with a concern or suspicion about sexual exploitation or abuse by anyone connected to us must report it.</w:t>
      </w:r>
    </w:p>
    <w:p>
      <w:pPr>
        <w:pStyle w:val="ListParagraph"/>
        <w:numPr>
          <w:ilvl w:val="0"/>
          <w:numId w:val="4"/>
        </w:numPr>
        <w:spacing w:after="80" w:line="290"/>
      </w:pPr>
      <w:r>
        <w:rPr>
          <w:rFonts w:ascii="Nunito Sans" w:cs="Nunito Sans" w:eastAsia="Nunito Sans" w:hAnsi="Nunito Sans"/>
          <w:color w:val="102E3B"/>
          <w:sz w:val="20"/>
          <w:szCs w:val="20"/>
        </w:rPr>
        <w:t xml:space="preserve">Everyone must help keep an environment that prevents sexual exploitation and abuse. Managers and board members have a particular duty to build and support the systems that do this.</w:t>
      </w:r>
    </w:p>
    <w:p>
      <w:pPr>
        <w:spacing w:after="120" w:before="0" w:line="300"/>
      </w:pPr>
      <w:r>
        <w:rPr>
          <w:rFonts w:ascii="Nunito Sans" w:cs="Nunito Sans" w:eastAsia="Nunito Sans" w:hAnsi="Nunito Sans"/>
          <w:color w:val="102E3B"/>
          <w:sz w:val="20"/>
          <w:szCs w:val="20"/>
        </w:rPr>
        <w:t xml:space="preserve">Sexual harassment of anyone, including colleagues and partners' staff, also breaches this policy. Our Anti-Harassment, Intimidation and Bullying Policy and Procedure explains how we handle it between colleagues.</w:t>
      </w:r>
    </w:p>
    <w:p>
      <w:pPr>
        <w:pStyle w:val="Heading2"/>
        <w:keepNext/>
        <w:spacing w:after="120" w:before="280"/>
      </w:pPr>
      <w:r>
        <w:rPr>
          <w:rFonts w:ascii="DM Serif Display" w:cs="DM Serif Display" w:eastAsia="DM Serif Display" w:hAnsi="DM Serif Display"/>
          <w:color w:val="123C48"/>
          <w:sz w:val="28"/>
          <w:szCs w:val="28"/>
        </w:rPr>
        <w:t xml:space="preserve">3. Safe activities</w:t>
      </w:r>
    </w:p>
    <w:p>
      <w:pPr>
        <w:spacing w:after="120" w:before="0" w:line="300"/>
      </w:pPr>
      <w:r>
        <w:rPr>
          <w:rFonts w:ascii="Nunito Sans" w:cs="Nunito Sans" w:eastAsia="Nunito Sans" w:hAnsi="Nunito Sans"/>
          <w:color w:val="102E3B"/>
          <w:sz w:val="20"/>
          <w:szCs w:val="20"/>
        </w:rPr>
        <w:t xml:space="preserve">Before any activity involving children or adults at risk, the activity lead and safeguarding lead complete a short risk assessment: who takes part, who has contact with them, what information we collect, how participants can raise a concern, and where we can refer someone (Annex B). Minimum rules:</w:t>
      </w:r>
    </w:p>
    <w:p>
      <w:pPr>
        <w:pStyle w:val="ListParagraph"/>
        <w:numPr>
          <w:ilvl w:val="0"/>
          <w:numId w:val="3"/>
        </w:numPr>
        <w:spacing w:after="80" w:line="290"/>
      </w:pPr>
      <w:r>
        <w:rPr>
          <w:rFonts w:ascii="Nunito Sans" w:cs="Nunito Sans" w:eastAsia="Nunito Sans" w:hAnsi="Nunito Sans"/>
          <w:color w:val="102E3B"/>
          <w:sz w:val="20"/>
          <w:szCs w:val="20"/>
        </w:rPr>
        <w:t xml:space="preserve">At least two adults are present, or the activity happens where others can see. Any one-to-one contact is agreed beforehand with the safeguarding lead and recorded.</w:t>
      </w:r>
    </w:p>
    <w:p>
      <w:pPr>
        <w:pStyle w:val="ListParagraph"/>
        <w:numPr>
          <w:ilvl w:val="0"/>
          <w:numId w:val="3"/>
        </w:numPr>
        <w:spacing w:after="80" w:line="290"/>
      </w:pPr>
      <w:r>
        <w:rPr>
          <w:rFonts w:ascii="Nunito Sans" w:cs="Nunito Sans" w:eastAsia="Nunito Sans" w:hAnsi="Nunito Sans"/>
          <w:color w:val="102E3B"/>
          <w:sz w:val="20"/>
          <w:szCs w:val="20"/>
        </w:rPr>
        <w:t xml:space="preserve">No child is left with a volunteer or visitor who has not been through safer recruitment.</w:t>
      </w:r>
    </w:p>
    <w:p>
      <w:pPr>
        <w:pStyle w:val="ListParagraph"/>
        <w:numPr>
          <w:ilvl w:val="0"/>
          <w:numId w:val="3"/>
        </w:numPr>
        <w:spacing w:after="80" w:line="290"/>
      </w:pPr>
      <w:r>
        <w:rPr>
          <w:rFonts w:ascii="Nunito Sans" w:cs="Nunito Sans" w:eastAsia="Nunito Sans" w:hAnsi="Nunito Sans"/>
          <w:color w:val="102E3B"/>
          <w:sz w:val="20"/>
          <w:szCs w:val="20"/>
        </w:rPr>
        <w:t xml:space="preserve">We get informed consent from participants, and from a parent or guardian for children, before activities, photographs or collecting personal data.</w:t>
      </w:r>
    </w:p>
    <w:p>
      <w:pPr>
        <w:pStyle w:val="ListParagraph"/>
        <w:numPr>
          <w:ilvl w:val="0"/>
          <w:numId w:val="3"/>
        </w:numPr>
        <w:spacing w:after="80" w:line="290"/>
      </w:pPr>
      <w:r>
        <w:rPr>
          <w:rFonts w:ascii="Nunito Sans" w:cs="Nunito Sans" w:eastAsia="Nunito Sans" w:hAnsi="Nunito Sans"/>
          <w:color w:val="102E3B"/>
          <w:sz w:val="20"/>
          <w:szCs w:val="20"/>
        </w:rPr>
        <w:t xml:space="preserve">We do not transport participants in private vehicles unless the safeguarding lead agrees and a second adult is present.</w:t>
      </w:r>
    </w:p>
    <w:p>
      <w:pPr>
        <w:pStyle w:val="ListParagraph"/>
        <w:numPr>
          <w:ilvl w:val="0"/>
          <w:numId w:val="3"/>
        </w:numPr>
        <w:spacing w:after="80" w:line="290"/>
      </w:pPr>
      <w:r>
        <w:rPr>
          <w:rFonts w:ascii="Nunito Sans" w:cs="Nunito Sans" w:eastAsia="Nunito Sans" w:hAnsi="Nunito Sans"/>
          <w:color w:val="102E3B"/>
          <w:sz w:val="20"/>
          <w:szCs w:val="20"/>
        </w:rPr>
        <w:t xml:space="preserve">We do not organise visits to residential care for children or short-term volunteering in orphanages.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YOUR ACTIVITIES</w:t>
            </w:r>
          </w:p>
          <w:p>
            <w:pPr>
              <w:spacing w:after="120" w:before="0" w:line="300"/>
            </w:pPr>
            <w:r>
              <w:rPr>
                <w:rFonts w:ascii="Nunito Sans" w:cs="Nunito Sans" w:eastAsia="Nunito Sans" w:hAnsi="Nunito Sans"/>
                <w:color w:val="102E3B"/>
                <w:sz w:val="19"/>
                <w:szCs w:val="19"/>
              </w:rPr>
              <w:t xml:space="preserve">Keep the rules that match what you do and add rules for your setting: overnight trips, home visits, sport, health sessions, distributions, or work in camps or detention. If you have no direct contact with children or adults at risk (for example, you only fund or train others), say so, but keep the duty to report and the partner rules in section 7. Add safeguarding risks to your Risk Register.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Safer recruitment</w:t>
      </w:r>
    </w:p>
    <w:p>
      <w:pPr>
        <w:spacing w:after="120" w:before="0" w:line="300"/>
      </w:pPr>
      <w:r>
        <w:rPr>
          <w:rFonts w:ascii="Nunito Sans" w:cs="Nunito Sans" w:eastAsia="Nunito Sans" w:hAnsi="Nunito Sans"/>
          <w:color w:val="102E3B"/>
          <w:sz w:val="20"/>
          <w:szCs w:val="20"/>
        </w:rPr>
        <w:t xml:space="preserve">For every role, paid or unpaid, with contact with children or adults at risk or access to their personal information, we:</w:t>
      </w:r>
    </w:p>
    <w:p>
      <w:pPr>
        <w:pStyle w:val="ListParagraph"/>
        <w:numPr>
          <w:ilvl w:val="0"/>
          <w:numId w:val="5"/>
        </w:numPr>
        <w:spacing w:after="80" w:line="290"/>
      </w:pPr>
      <w:r>
        <w:rPr>
          <w:rFonts w:ascii="Nunito Sans" w:cs="Nunito Sans" w:eastAsia="Nunito Sans" w:hAnsi="Nunito Sans"/>
          <w:color w:val="102E3B"/>
          <w:sz w:val="20"/>
          <w:szCs w:val="20"/>
        </w:rPr>
        <w:t xml:space="preserve">state our commitment to safeguarding in the advert and role description, and ask a safeguarding question at interview;</w:t>
      </w:r>
    </w:p>
    <w:p>
      <w:pPr>
        <w:pStyle w:val="ListParagraph"/>
        <w:numPr>
          <w:ilvl w:val="0"/>
          <w:numId w:val="5"/>
        </w:numPr>
        <w:spacing w:after="80" w:line="290"/>
      </w:pPr>
      <w:r>
        <w:rPr>
          <w:rFonts w:ascii="Nunito Sans" w:cs="Nunito Sans" w:eastAsia="Nunito Sans" w:hAnsi="Nunito Sans"/>
          <w:color w:val="102E3B"/>
          <w:sz w:val="20"/>
          <w:szCs w:val="20"/>
        </w:rPr>
        <w:t xml:space="preserve">ask for a signed self-declaration that the candidate has not been dismissed, convicted, or left a role during an investigation, for sexual exploitation, abuse, harassment or offences against children or adults at risk, and is not barred from such work;</w:t>
      </w:r>
    </w:p>
    <w:p>
      <w:pPr>
        <w:pStyle w:val="ListParagraph"/>
        <w:numPr>
          <w:ilvl w:val="0"/>
          <w:numId w:val="5"/>
        </w:numPr>
        <w:spacing w:after="80" w:line="290"/>
      </w:pPr>
      <w:r>
        <w:rPr>
          <w:rFonts w:ascii="Nunito Sans" w:cs="Nunito Sans" w:eastAsia="Nunito Sans" w:hAnsi="Nunito Sans"/>
          <w:color w:val="102E3B"/>
          <w:sz w:val="20"/>
          <w:szCs w:val="20"/>
        </w:rPr>
        <w:t xml:space="preserve">take at least two references, one from the most recent employer, and ask referees directly whether the candidate was investigated for, or found to have committed, sexual exploitation, abuse or harassment;</w:t>
      </w:r>
    </w:p>
    <w:p>
      <w:pPr>
        <w:pStyle w:val="ListParagraph"/>
        <w:numPr>
          <w:ilvl w:val="0"/>
          <w:numId w:val="5"/>
        </w:numPr>
        <w:spacing w:after="80" w:line="290"/>
      </w:pPr>
      <w:r>
        <w:rPr>
          <w:rFonts w:ascii="Nunito Sans" w:cs="Nunito Sans" w:eastAsia="Nunito Sans" w:hAnsi="Nunito Sans"/>
          <w:color w:val="102E3B"/>
          <w:sz w:val="20"/>
          <w:szCs w:val="20"/>
        </w:rPr>
        <w:t xml:space="preserve">verify identity, and qualifications where they matter;</w:t>
      </w:r>
    </w:p>
    <w:p>
      <w:pPr>
        <w:pStyle w:val="ListParagraph"/>
        <w:numPr>
          <w:ilvl w:val="0"/>
          <w:numId w:val="5"/>
        </w:numPr>
        <w:spacing w:after="80" w:line="290"/>
      </w:pPr>
      <w:r>
        <w:rPr>
          <w:rFonts w:ascii="Nunito Sans" w:cs="Nunito Sans" w:eastAsia="Nunito Sans" w:hAnsi="Nunito Sans"/>
          <w:color w:val="102E3B"/>
          <w:sz w:val="20"/>
          <w:szCs w:val="20"/>
        </w:rPr>
        <w:t xml:space="preserve">request a police or criminal record check where one is available, lawful and reasonably reliable;</w:t>
      </w:r>
    </w:p>
    <w:p>
      <w:pPr>
        <w:pStyle w:val="ListParagraph"/>
        <w:numPr>
          <w:ilvl w:val="0"/>
          <w:numId w:val="5"/>
        </w:numPr>
        <w:spacing w:after="80" w:line="290"/>
      </w:pPr>
      <w:r>
        <w:rPr>
          <w:rFonts w:ascii="Nunito Sans" w:cs="Nunito Sans" w:eastAsia="Nunito Sans" w:hAnsi="Nunito Sans"/>
          <w:color w:val="102E3B"/>
          <w:sz w:val="20"/>
          <w:szCs w:val="20"/>
        </w:rPr>
        <w:t xml:space="preserve">make sure the person signs this policy and the Code of Conduct and completes induction before starting contact work.</w:t>
      </w:r>
    </w:p>
    <w:p>
      <w:pPr>
        <w:spacing w:after="120" w:before="0" w:line="300"/>
      </w:pPr>
      <w:r>
        <w:rPr>
          <w:rFonts w:ascii="Nunito Sans" w:cs="Nunito Sans" w:eastAsia="Nunito Sans" w:hAnsi="Nunito Sans"/>
          <w:color w:val="102E3B"/>
          <w:sz w:val="20"/>
          <w:szCs w:val="20"/>
        </w:rPr>
        <w:t xml:space="preserve">We follow the principles of the Misconduct Disclosure Scheme: when asked for a reference, we share confirmed findings of sexual exploitation, abuse or harassment where the law allows. No check is a guarantee. Supervision and a culture of speaking up matter as much.</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POLICE CHECKS BY COUNTRY</w:t>
            </w:r>
          </w:p>
          <w:p>
            <w:pPr>
              <w:spacing w:after="120" w:before="0" w:line="300"/>
            </w:pPr>
            <w:r>
              <w:rPr>
                <w:rFonts w:ascii="Nunito Sans" w:cs="Nunito Sans" w:eastAsia="Nunito Sans" w:hAnsi="Nunito Sans"/>
                <w:color w:val="102E3B"/>
                <w:sz w:val="19"/>
                <w:szCs w:val="19"/>
              </w:rPr>
              <w:t xml:space="preserve">Decide which roles need a check and from which country. Notes to confirm locally: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United Kingdom:</w:t>
            </w:r>
            <w:r>
              <w:rPr>
                <w:rFonts w:ascii="Nunito Sans" w:cs="Nunito Sans" w:eastAsia="Nunito Sans" w:hAnsi="Nunito Sans"/>
                <w:color w:val="102E3B"/>
                <w:sz w:val="19"/>
                <w:szCs w:val="19"/>
              </w:rPr>
              <w:t xml:space="preserve"> Disclosure and Barring Service (DBS) checks; enhanced checks with barred list checks only for eligible roles.</w:t>
            </w:r>
          </w:p>
          <w:p>
            <w:pPr>
              <w:pStyle w:val="ListParagraph"/>
              <w:numPr>
                <w:ilvl w:val="0"/>
                <w:numId w:val="3"/>
              </w:numPr>
              <w:spacing w:after="80" w:line="290"/>
            </w:pPr>
            <w:r>
              <w:rPr>
                <w:rFonts w:ascii="Nunito Sans" w:cs="Nunito Sans" w:eastAsia="Nunito Sans" w:hAnsi="Nunito Sans"/>
                <w:b/>
                <w:bCs/>
                <w:color w:val="102E3B"/>
                <w:sz w:val="19"/>
                <w:szCs w:val="19"/>
              </w:rPr>
              <w:t xml:space="preserve">Kenya:</w:t>
            </w:r>
            <w:r>
              <w:rPr>
                <w:rFonts w:ascii="Nunito Sans" w:cs="Nunito Sans" w:eastAsia="Nunito Sans" w:hAnsi="Nunito Sans"/>
                <w:color w:val="102E3B"/>
                <w:sz w:val="19"/>
                <w:szCs w:val="19"/>
              </w:rPr>
              <w:t xml:space="preserve"> a Police Clearance Certificate (often called a Certificate of Good Conduct) from the Directorate of Criminal Investigations.</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a police clearance certificate, plus checks of the National Child Protection Register and the National Register for Sex Offenders for people working with children. Check your current duties under the Children's Act 38 of 2005.</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 and Brazil:</w:t>
            </w:r>
            <w:r>
              <w:rPr>
                <w:rFonts w:ascii="Nunito Sans" w:cs="Nunito Sans" w:eastAsia="Nunito Sans" w:hAnsi="Nunito Sans"/>
                <w:color w:val="102E3B"/>
                <w:sz w:val="19"/>
                <w:szCs w:val="19"/>
              </w:rPr>
              <w:t xml:space="preserve"> police verification and criminal record certificates are issued by state (and in Brazil also federal) authorities; processes differ.</w:t>
            </w:r>
          </w:p>
          <w:p>
            <w:pPr>
              <w:spacing w:after="120" w:before="0" w:line="300"/>
            </w:pPr>
            <w:r>
              <w:rPr>
                <w:rFonts w:ascii="Nunito Sans" w:cs="Nunito Sans" w:eastAsia="Nunito Sans" w:hAnsi="Nunito Sans"/>
                <w:color w:val="102E3B"/>
                <w:sz w:val="19"/>
                <w:szCs w:val="19"/>
              </w:rPr>
              <w:t xml:space="preserve">Where checks are unreliable or unavailable, rely more on references, self-declaration and supervision, and record why. Criminal record data is highly sensitive under most data protection laws: collect only what you need and delete it after the decision.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Behaviour, online safety and images</w:t>
      </w:r>
    </w:p>
    <w:p>
      <w:pPr>
        <w:spacing w:after="120" w:before="0" w:line="300"/>
      </w:pPr>
      <w:r>
        <w:rPr>
          <w:rFonts w:ascii="Nunito Sans" w:cs="Nunito Sans" w:eastAsia="Nunito Sans" w:hAnsi="Nunito Sans"/>
          <w:color w:val="102E3B"/>
          <w:sz w:val="20"/>
          <w:szCs w:val="20"/>
        </w:rPr>
        <w:t xml:space="preserve">Everyone follows our Code of Conduct, which sets out the behaviour we expect. Harm can also happen through phones, messaging apps and social media. We:</w:t>
      </w:r>
    </w:p>
    <w:p>
      <w:pPr>
        <w:pStyle w:val="ListParagraph"/>
        <w:numPr>
          <w:ilvl w:val="0"/>
          <w:numId w:val="3"/>
        </w:numPr>
        <w:spacing w:after="80" w:line="290"/>
      </w:pPr>
      <w:r>
        <w:rPr>
          <w:rFonts w:ascii="Nunito Sans" w:cs="Nunito Sans" w:eastAsia="Nunito Sans" w:hAnsi="Nunito Sans"/>
          <w:color w:val="102E3B"/>
          <w:sz w:val="20"/>
          <w:szCs w:val="20"/>
        </w:rPr>
        <w:t xml:space="preserve">use organisation accounts and devices to contact children or adults at risk. Where a messaging app is needed, the safeguarding lead agrees which one and a second team member is in the group;</w:t>
      </w:r>
    </w:p>
    <w:p>
      <w:pPr>
        <w:pStyle w:val="ListParagraph"/>
        <w:numPr>
          <w:ilvl w:val="0"/>
          <w:numId w:val="3"/>
        </w:numPr>
        <w:spacing w:after="80" w:line="290"/>
      </w:pPr>
      <w:r>
        <w:rPr>
          <w:rFonts w:ascii="Nunito Sans" w:cs="Nunito Sans" w:eastAsia="Nunito Sans" w:hAnsi="Nunito Sans"/>
          <w:color w:val="102E3B"/>
          <w:sz w:val="20"/>
          <w:szCs w:val="20"/>
        </w:rPr>
        <w:t xml:space="preserve">never contact children through private messages or personal social media, or follow them from personal accounts;</w:t>
      </w:r>
    </w:p>
    <w:p>
      <w:pPr>
        <w:pStyle w:val="ListParagraph"/>
        <w:numPr>
          <w:ilvl w:val="0"/>
          <w:numId w:val="3"/>
        </w:numPr>
        <w:spacing w:after="80" w:line="290"/>
      </w:pPr>
      <w:r>
        <w:rPr>
          <w:rFonts w:ascii="Nunito Sans" w:cs="Nunito Sans" w:eastAsia="Nunito Sans" w:hAnsi="Nunito Sans"/>
          <w:color w:val="102E3B"/>
          <w:sz w:val="20"/>
          <w:szCs w:val="20"/>
        </w:rPr>
        <w:t xml:space="preserve">run online sessions with children with two adults, parental consent and moderated chat, and record them only with consent for a clear purpose;</w:t>
      </w:r>
    </w:p>
    <w:p>
      <w:pPr>
        <w:pStyle w:val="ListParagraph"/>
        <w:numPr>
          <w:ilvl w:val="0"/>
          <w:numId w:val="3"/>
        </w:numPr>
        <w:spacing w:after="80" w:line="290"/>
      </w:pPr>
      <w:r>
        <w:rPr>
          <w:rFonts w:ascii="Nunito Sans" w:cs="Nunito Sans" w:eastAsia="Nunito Sans" w:hAnsi="Nunito Sans"/>
          <w:color w:val="102E3B"/>
          <w:sz w:val="20"/>
          <w:szCs w:val="20"/>
        </w:rPr>
        <w:t xml:space="preserve">switch off location tags and never publish anything that reveals where a child, survivor or shelter can be found;</w:t>
      </w:r>
    </w:p>
    <w:p>
      <w:pPr>
        <w:pStyle w:val="ListParagraph"/>
        <w:numPr>
          <w:ilvl w:val="0"/>
          <w:numId w:val="3"/>
        </w:numPr>
        <w:spacing w:after="80" w:line="290"/>
      </w:pPr>
      <w:r>
        <w:rPr>
          <w:rFonts w:ascii="Nunito Sans" w:cs="Nunito Sans" w:eastAsia="Nunito Sans" w:hAnsi="Nunito Sans"/>
          <w:color w:val="102E3B"/>
          <w:sz w:val="20"/>
          <w:szCs w:val="20"/>
        </w:rPr>
        <w:t xml:space="preserve">never put names, stories, images or case details of children, survivors or adults at risk into AI tools or online services we have not approved.</w:t>
      </w:r>
    </w:p>
    <w:p>
      <w:pPr>
        <w:spacing w:after="120" w:before="0" w:line="300"/>
      </w:pPr>
      <w:r>
        <w:rPr>
          <w:rFonts w:ascii="Nunito Sans" w:cs="Nunito Sans" w:eastAsia="Nunito Sans" w:hAnsi="Nunito Sans"/>
          <w:color w:val="102E3B"/>
          <w:sz w:val="20"/>
          <w:szCs w:val="20"/>
        </w:rPr>
        <w:t xml:space="preserve">We tell people's stories only with informed consent, using our Photo and Story Consent Form, and never in a way that could identify a child at risk or endanger anyone. Report online harm, including grooming, sextortion (threats to share sexual images unless the person pays or does something) and the sharing of intimate images, like any other concern.</w:t>
      </w:r>
    </w:p>
    <w:p>
      <w:pPr>
        <w:pStyle w:val="Heading2"/>
        <w:keepNext/>
        <w:spacing w:after="120" w:before="280"/>
      </w:pPr>
      <w:r>
        <w:rPr>
          <w:rFonts w:ascii="DM Serif Display" w:cs="DM Serif Display" w:eastAsia="DM Serif Display" w:hAnsi="DM Serif Display"/>
          <w:color w:val="123C48"/>
          <w:sz w:val="28"/>
          <w:szCs w:val="28"/>
        </w:rPr>
        <w:t xml:space="preserve">6. Training</w:t>
      </w:r>
    </w:p>
    <w:p>
      <w:pPr>
        <w:spacing w:after="120" w:before="0" w:line="300"/>
      </w:pPr>
      <w:r>
        <w:rPr>
          <w:rFonts w:ascii="Nunito Sans" w:cs="Nunito Sans" w:eastAsia="Nunito Sans" w:hAnsi="Nunito Sans"/>
          <w:color w:val="102E3B"/>
          <w:sz w:val="20"/>
          <w:szCs w:val="20"/>
        </w:rPr>
        <w:t xml:space="preserve">Everyone completes safeguarding induction within </w:t>
      </w:r>
      <w:r>
        <w:rPr>
          <w:rFonts w:ascii="Nunito Sans" w:cs="Nunito Sans" w:eastAsia="Nunito Sans" w:hAnsi="Nunito Sans"/>
          <w:color w:val="102E3B"/>
          <w:sz w:val="20"/>
          <w:szCs w:val="20"/>
          <w:highlight w:val="yellow"/>
        </w:rPr>
        <w:t xml:space="preserve">[their first two weeks]</w:t>
      </w:r>
      <w:r>
        <w:rPr>
          <w:rFonts w:ascii="Nunito Sans" w:cs="Nunito Sans" w:eastAsia="Nunito Sans" w:hAnsi="Nunito Sans"/>
          <w:color w:val="102E3B"/>
          <w:sz w:val="20"/>
          <w:szCs w:val="20"/>
        </w:rPr>
        <w:t xml:space="preserve">, before unsupervised contact work, and a short refresher every year. The safeguarding lead and deputy complete recognised training and refresh it every </w:t>
      </w:r>
      <w:r>
        <w:rPr>
          <w:rFonts w:ascii="Nunito Sans" w:cs="Nunito Sans" w:eastAsia="Nunito Sans" w:hAnsi="Nunito Sans"/>
          <w:color w:val="102E3B"/>
          <w:sz w:val="20"/>
          <w:szCs w:val="20"/>
          <w:highlight w:val="yellow"/>
        </w:rPr>
        <w:t xml:space="preserve">[2 years]</w:t>
      </w:r>
      <w:r>
        <w:rPr>
          <w:rFonts w:ascii="Nunito Sans" w:cs="Nunito Sans" w:eastAsia="Nunito Sans" w:hAnsi="Nunito Sans"/>
          <w:color w:val="102E3B"/>
          <w:sz w:val="20"/>
          <w:szCs w:val="20"/>
        </w:rPr>
        <w:t xml:space="preserve">. We tell the people we serve, in their language and an accessible format, what behaviour to expect from us, that our help is free, and how to raise a concern.</w:t>
      </w:r>
    </w:p>
    <w:p>
      <w:pPr>
        <w:pStyle w:val="Heading2"/>
        <w:keepNext/>
        <w:spacing w:after="120" w:before="280"/>
      </w:pPr>
      <w:r>
        <w:rPr>
          <w:rFonts w:ascii="DM Serif Display" w:cs="DM Serif Display" w:eastAsia="DM Serif Display" w:hAnsi="DM Serif Display"/>
          <w:color w:val="123C48"/>
          <w:sz w:val="28"/>
          <w:szCs w:val="28"/>
        </w:rPr>
        <w:t xml:space="preserve">7. Partners, contractors and suppliers</w:t>
      </w:r>
    </w:p>
    <w:p>
      <w:pPr>
        <w:spacing w:after="120" w:before="0" w:line="300"/>
      </w:pPr>
      <w:r>
        <w:rPr>
          <w:rFonts w:ascii="Nunito Sans" w:cs="Nunito Sans" w:eastAsia="Nunito Sans" w:hAnsi="Nunito Sans"/>
          <w:color w:val="102E3B"/>
          <w:sz w:val="20"/>
          <w:szCs w:val="20"/>
        </w:rPr>
        <w:t xml:space="preserve">Our standards apply to everyone working on our projects. We check partners' safeguarding arrangements under our Partner Due Diligence and Sanctions Screening Policy. Our agreements require partners, sub-grantees and contractors to:</w:t>
      </w:r>
    </w:p>
    <w:p>
      <w:pPr>
        <w:pStyle w:val="ListParagraph"/>
        <w:numPr>
          <w:ilvl w:val="0"/>
          <w:numId w:val="6"/>
        </w:numPr>
        <w:spacing w:after="80" w:line="290"/>
      </w:pPr>
      <w:r>
        <w:rPr>
          <w:rFonts w:ascii="Nunito Sans" w:cs="Nunito Sans" w:eastAsia="Nunito Sans" w:hAnsi="Nunito Sans"/>
          <w:color w:val="102E3B"/>
          <w:sz w:val="20"/>
          <w:szCs w:val="20"/>
        </w:rPr>
        <w:t xml:space="preserve">follow this policy, or their own if it is at least as strong, and the IASC six core principles;</w:t>
      </w:r>
    </w:p>
    <w:p>
      <w:pPr>
        <w:pStyle w:val="ListParagraph"/>
        <w:numPr>
          <w:ilvl w:val="0"/>
          <w:numId w:val="6"/>
        </w:numPr>
        <w:spacing w:after="80" w:line="290"/>
      </w:pPr>
      <w:r>
        <w:rPr>
          <w:rFonts w:ascii="Nunito Sans" w:cs="Nunito Sans" w:eastAsia="Nunito Sans" w:hAnsi="Nunito Sans"/>
          <w:color w:val="102E3B"/>
          <w:sz w:val="20"/>
          <w:szCs w:val="20"/>
        </w:rPr>
        <w:t xml:space="preserve">name a safeguarding focal point and use safer recruitment for our projects;</w:t>
      </w:r>
    </w:p>
    <w:p>
      <w:pPr>
        <w:pStyle w:val="ListParagraph"/>
        <w:numPr>
          <w:ilvl w:val="0"/>
          <w:numId w:val="6"/>
        </w:numPr>
        <w:spacing w:after="80" w:line="290"/>
      </w:pPr>
      <w:r>
        <w:rPr>
          <w:rFonts w:ascii="Nunito Sans" w:cs="Nunito Sans" w:eastAsia="Nunito Sans" w:hAnsi="Nunito Sans"/>
          <w:color w:val="102E3B"/>
          <w:sz w:val="20"/>
          <w:szCs w:val="20"/>
        </w:rPr>
        <w:t xml:space="preserve">tell us of any safeguarding concern connected to our work within </w:t>
      </w:r>
      <w:r>
        <w:rPr>
          <w:rFonts w:ascii="Nunito Sans" w:cs="Nunito Sans" w:eastAsia="Nunito Sans" w:hAnsi="Nunito Sans"/>
          <w:color w:val="102E3B"/>
          <w:sz w:val="20"/>
          <w:szCs w:val="20"/>
          <w:highlight w:val="yellow"/>
        </w:rPr>
        <w:t xml:space="preserve">[24 hours / 48 hours]</w:t>
      </w:r>
      <w:r>
        <w:rPr>
          <w:rFonts w:ascii="Nunito Sans" w:cs="Nunito Sans" w:eastAsia="Nunito Sans" w:hAnsi="Nunito Sans"/>
          <w:color w:val="102E3B"/>
          <w:sz w:val="20"/>
          <w:szCs w:val="20"/>
        </w:rPr>
        <w:t xml:space="preserve">, protecting the survivor's identity;</w:t>
      </w:r>
    </w:p>
    <w:p>
      <w:pPr>
        <w:pStyle w:val="ListParagraph"/>
        <w:numPr>
          <w:ilvl w:val="0"/>
          <w:numId w:val="6"/>
        </w:numPr>
        <w:spacing w:after="80" w:line="290"/>
      </w:pPr>
      <w:r>
        <w:rPr>
          <w:rFonts w:ascii="Nunito Sans" w:cs="Nunito Sans" w:eastAsia="Nunito Sans" w:hAnsi="Nunito Sans"/>
          <w:color w:val="102E3B"/>
          <w:sz w:val="20"/>
          <w:szCs w:val="20"/>
        </w:rPr>
        <w:t xml:space="preserve">cooperate with any review, and accept that we may end the agreement for a breach;</w:t>
      </w:r>
    </w:p>
    <w:p>
      <w:pPr>
        <w:pStyle w:val="ListParagraph"/>
        <w:numPr>
          <w:ilvl w:val="0"/>
          <w:numId w:val="6"/>
        </w:numPr>
        <w:spacing w:after="80" w:line="290"/>
      </w:pPr>
      <w:r>
        <w:rPr>
          <w:rFonts w:ascii="Nunito Sans" w:cs="Nunito Sans" w:eastAsia="Nunito Sans" w:hAnsi="Nunito Sans"/>
          <w:color w:val="102E3B"/>
          <w:sz w:val="20"/>
          <w:szCs w:val="20"/>
        </w:rPr>
        <w:t xml:space="preserve">pass the same requirements to anyone they subcontract.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FLOW-DOWN TO PARTNERS</w:t>
            </w:r>
          </w:p>
          <w:p>
            <w:pPr>
              <w:spacing w:after="120" w:before="0" w:line="300"/>
            </w:pPr>
            <w:r>
              <w:rPr>
                <w:rFonts w:ascii="Nunito Sans" w:cs="Nunito Sans" w:eastAsia="Nunito Sans" w:hAnsi="Nunito Sans"/>
                <w:color w:val="102E3B"/>
                <w:sz w:val="19"/>
                <w:szCs w:val="19"/>
              </w:rPr>
              <w:t xml:space="preserve">Match the requirement to the partner. A community group running a one-off event may need only a signed code of conduct and a briefing. A sub-grantee working with children needs a full policy, a focal point and reporting duties written into the Sub-grant Agreement. Check your funders' terms: many institutional funders require safeguarding clauses to be passed down to every downstream partner, sometimes with fixed reporting deadlines.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How to respond and report</w:t>
      </w:r>
    </w:p>
    <w:p>
      <w:pPr>
        <w:pStyle w:val="Heading2"/>
        <w:keepNext/>
        <w:spacing w:after="120" w:before="280"/>
      </w:pPr>
      <w:r>
        <w:rPr>
          <w:rFonts w:ascii="DM Serif Display" w:cs="DM Serif Display" w:eastAsia="DM Serif Display" w:hAnsi="DM Serif Display"/>
          <w:color w:val="123C48"/>
          <w:sz w:val="28"/>
          <w:szCs w:val="28"/>
        </w:rPr>
        <w:t xml:space="preserve">8. If someone is in immediate danger</w:t>
      </w:r>
    </w:p>
    <w:p>
      <w:pPr>
        <w:spacing w:after="120" w:before="0" w:line="300"/>
      </w:pPr>
      <w:r>
        <w:rPr>
          <w:rFonts w:ascii="Nunito Sans" w:cs="Nunito Sans" w:eastAsia="Nunito Sans" w:hAnsi="Nunito Sans"/>
          <w:color w:val="102E3B"/>
          <w:sz w:val="20"/>
          <w:szCs w:val="20"/>
        </w:rPr>
        <w:t xml:space="preserve">Contact emergency services on </w:t>
      </w:r>
      <w:r>
        <w:rPr>
          <w:rFonts w:ascii="Nunito Sans" w:cs="Nunito Sans" w:eastAsia="Nunito Sans" w:hAnsi="Nunito Sans"/>
          <w:color w:val="102E3B"/>
          <w:sz w:val="20"/>
          <w:szCs w:val="20"/>
          <w:highlight w:val="yellow"/>
        </w:rPr>
        <w:t xml:space="preserve">[local emergency number]</w:t>
      </w:r>
      <w:r>
        <w:rPr>
          <w:rFonts w:ascii="Nunito Sans" w:cs="Nunito Sans" w:eastAsia="Nunito Sans" w:hAnsi="Nunito Sans"/>
          <w:color w:val="102E3B"/>
          <w:sz w:val="20"/>
          <w:szCs w:val="20"/>
        </w:rPr>
        <w:t xml:space="preserve">, or take the person to </w:t>
      </w:r>
      <w:r>
        <w:rPr>
          <w:rFonts w:ascii="Nunito Sans" w:cs="Nunito Sans" w:eastAsia="Nunito Sans" w:hAnsi="Nunito Sans"/>
          <w:color w:val="102E3B"/>
          <w:sz w:val="20"/>
          <w:szCs w:val="20"/>
          <w:highlight w:val="yellow"/>
        </w:rPr>
        <w:t xml:space="preserve">[nearest health facility]</w:t>
      </w:r>
      <w:r>
        <w:rPr>
          <w:rFonts w:ascii="Nunito Sans" w:cs="Nunito Sans" w:eastAsia="Nunito Sans" w:hAnsi="Nunito Sans"/>
          <w:color w:val="102E3B"/>
          <w:sz w:val="20"/>
          <w:szCs w:val="20"/>
        </w:rPr>
        <w:t xml:space="preserve">, if it is safe for you and for them. Then tell the safeguarding lead within </w:t>
      </w:r>
      <w:r>
        <w:rPr>
          <w:rFonts w:ascii="Nunito Sans" w:cs="Nunito Sans" w:eastAsia="Nunito Sans" w:hAnsi="Nunito Sans"/>
          <w:color w:val="102E3B"/>
          <w:sz w:val="20"/>
          <w:szCs w:val="20"/>
          <w:highlight w:val="yellow"/>
        </w:rPr>
        <w:t xml:space="preserve">[2 hours]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9. If someone tells you about harm</w:t>
      </w:r>
    </w:p>
    <w:p>
      <w:pPr>
        <w:pStyle w:val="ListParagraph"/>
        <w:numPr>
          <w:ilvl w:val="0"/>
          <w:numId w:val="3"/>
        </w:numPr>
        <w:spacing w:after="80" w:line="290"/>
      </w:pPr>
      <w:r>
        <w:rPr>
          <w:rFonts w:ascii="Nunito Sans" w:cs="Nunito Sans" w:eastAsia="Nunito Sans" w:hAnsi="Nunito Sans"/>
          <w:b/>
          <w:bCs/>
          <w:color w:val="102E3B"/>
          <w:sz w:val="20"/>
          <w:szCs w:val="20"/>
        </w:rPr>
        <w:t xml:space="preserve">Listen</w:t>
      </w:r>
      <w:r>
        <w:rPr>
          <w:rFonts w:ascii="Nunito Sans" w:cs="Nunito Sans" w:eastAsia="Nunito Sans" w:hAnsi="Nunito Sans"/>
          <w:color w:val="102E3B"/>
          <w:sz w:val="20"/>
          <w:szCs w:val="20"/>
        </w:rPr>
        <w:t xml:space="preserve"> calmly. Let them speak in their own way and at their own pace.</w:t>
      </w:r>
    </w:p>
    <w:p>
      <w:pPr>
        <w:pStyle w:val="ListParagraph"/>
        <w:numPr>
          <w:ilvl w:val="0"/>
          <w:numId w:val="3"/>
        </w:numPr>
        <w:spacing w:after="80" w:line="290"/>
      </w:pPr>
      <w:r>
        <w:rPr>
          <w:rFonts w:ascii="Nunito Sans" w:cs="Nunito Sans" w:eastAsia="Nunito Sans" w:hAnsi="Nunito Sans"/>
          <w:b/>
          <w:bCs/>
          <w:color w:val="102E3B"/>
          <w:sz w:val="20"/>
          <w:szCs w:val="20"/>
        </w:rPr>
        <w:t xml:space="preserve">Reassure</w:t>
      </w:r>
      <w:r>
        <w:rPr>
          <w:rFonts w:ascii="Nunito Sans" w:cs="Nunito Sans" w:eastAsia="Nunito Sans" w:hAnsi="Nunito Sans"/>
          <w:color w:val="102E3B"/>
          <w:sz w:val="20"/>
          <w:szCs w:val="20"/>
        </w:rPr>
        <w:t xml:space="preserve"> them that they were right to tell you and that it is not their fault. Check they are safe now.</w:t>
      </w:r>
    </w:p>
    <w:p>
      <w:pPr>
        <w:pStyle w:val="ListParagraph"/>
        <w:numPr>
          <w:ilvl w:val="0"/>
          <w:numId w:val="3"/>
        </w:numPr>
        <w:spacing w:after="80" w:line="290"/>
      </w:pPr>
      <w:r>
        <w:rPr>
          <w:rFonts w:ascii="Nunito Sans" w:cs="Nunito Sans" w:eastAsia="Nunito Sans" w:hAnsi="Nunito Sans"/>
          <w:b/>
          <w:bCs/>
          <w:color w:val="102E3B"/>
          <w:sz w:val="20"/>
          <w:szCs w:val="20"/>
        </w:rPr>
        <w:t xml:space="preserve">Be honest</w:t>
      </w:r>
      <w:r>
        <w:rPr>
          <w:rFonts w:ascii="Nunito Sans" w:cs="Nunito Sans" w:eastAsia="Nunito Sans" w:hAnsi="Nunito Sans"/>
          <w:color w:val="102E3B"/>
          <w:sz w:val="20"/>
          <w:szCs w:val="20"/>
        </w:rPr>
        <w:t xml:space="preserve"> about what happens next. Do not promise secrecy: say you will share only what is needed to help.</w:t>
      </w:r>
    </w:p>
    <w:p>
      <w:pPr>
        <w:pStyle w:val="ListParagraph"/>
        <w:numPr>
          <w:ilvl w:val="0"/>
          <w:numId w:val="3"/>
        </w:numPr>
        <w:spacing w:after="80" w:line="290"/>
      </w:pPr>
      <w:r>
        <w:rPr>
          <w:rFonts w:ascii="Nunito Sans" w:cs="Nunito Sans" w:eastAsia="Nunito Sans" w:hAnsi="Nunito Sans"/>
          <w:b/>
          <w:bCs/>
          <w:color w:val="102E3B"/>
          <w:sz w:val="20"/>
          <w:szCs w:val="20"/>
        </w:rPr>
        <w:t xml:space="preserve">Do not investigate.</w:t>
      </w:r>
      <w:r>
        <w:rPr>
          <w:rFonts w:ascii="Nunito Sans" w:cs="Nunito Sans" w:eastAsia="Nunito Sans" w:hAnsi="Nunito Sans"/>
          <w:color w:val="102E3B"/>
          <w:sz w:val="20"/>
          <w:szCs w:val="20"/>
        </w:rPr>
        <w:t xml:space="preserve"> Do not ask leading questions ("Did he touch you?"), examine injuries, look for evidence or confront anyone.</w:t>
      </w:r>
    </w:p>
    <w:p>
      <w:pPr>
        <w:pStyle w:val="ListParagraph"/>
        <w:numPr>
          <w:ilvl w:val="0"/>
          <w:numId w:val="3"/>
        </w:numPr>
        <w:spacing w:after="80" w:line="290"/>
      </w:pPr>
      <w:r>
        <w:rPr>
          <w:rFonts w:ascii="Nunito Sans" w:cs="Nunito Sans" w:eastAsia="Nunito Sans" w:hAnsi="Nunito Sans"/>
          <w:b/>
          <w:bCs/>
          <w:color w:val="102E3B"/>
          <w:sz w:val="20"/>
          <w:szCs w:val="20"/>
        </w:rPr>
        <w:t xml:space="preserve">Record</w:t>
      </w:r>
      <w:r>
        <w:rPr>
          <w:rFonts w:ascii="Nunito Sans" w:cs="Nunito Sans" w:eastAsia="Nunito Sans" w:hAnsi="Nunito Sans"/>
          <w:color w:val="102E3B"/>
          <w:sz w:val="20"/>
          <w:szCs w:val="20"/>
        </w:rPr>
        <w:t xml:space="preserve"> as soon as possible what they said, in their own words, with the date, time and place. Facts, not opinions.</w:t>
      </w:r>
    </w:p>
    <w:p>
      <w:pPr>
        <w:pStyle w:val="ListParagraph"/>
        <w:numPr>
          <w:ilvl w:val="0"/>
          <w:numId w:val="3"/>
        </w:numPr>
        <w:spacing w:after="80" w:line="290"/>
      </w:pPr>
      <w:r>
        <w:rPr>
          <w:rFonts w:ascii="Nunito Sans" w:cs="Nunito Sans" w:eastAsia="Nunito Sans" w:hAnsi="Nunito Sans"/>
          <w:b/>
          <w:bCs/>
          <w:color w:val="102E3B"/>
          <w:sz w:val="20"/>
          <w:szCs w:val="20"/>
        </w:rPr>
        <w:t xml:space="preserve">Report</w:t>
      </w:r>
      <w:r>
        <w:rPr>
          <w:rFonts w:ascii="Nunito Sans" w:cs="Nunito Sans" w:eastAsia="Nunito Sans" w:hAnsi="Nunito Sans"/>
          <w:color w:val="102E3B"/>
          <w:sz w:val="20"/>
          <w:szCs w:val="20"/>
        </w:rPr>
        <w:t xml:space="preserve"> to the safeguarding lead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Do not discuss it with anyone else.</w:t>
      </w:r>
    </w:p>
    <w:p>
      <w:pPr>
        <w:pStyle w:val="Heading2"/>
        <w:keepNext/>
        <w:spacing w:after="120" w:before="280"/>
      </w:pPr>
      <w:r>
        <w:rPr>
          <w:rFonts w:ascii="DM Serif Display" w:cs="DM Serif Display" w:eastAsia="DM Serif Display" w:hAnsi="DM Serif Display"/>
          <w:color w:val="123C48"/>
          <w:sz w:val="28"/>
          <w:szCs w:val="28"/>
        </w:rPr>
        <w:t xml:space="preserve">10. How to report</w:t>
      </w:r>
    </w:p>
    <w:p>
      <w:pPr>
        <w:spacing w:after="120" w:before="0" w:line="300"/>
      </w:pPr>
      <w:r>
        <w:rPr>
          <w:rFonts w:ascii="Nunito Sans" w:cs="Nunito Sans" w:eastAsia="Nunito Sans" w:hAnsi="Nunito Sans"/>
          <w:color w:val="102E3B"/>
          <w:sz w:val="20"/>
          <w:szCs w:val="20"/>
        </w:rPr>
        <w:t xml:space="preserve">Report any concern, suspicion or disclosure about anyone connected to our work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You do not need proof. Use the form in Annex A, or report by phone or in person.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ROUTE</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[phone]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[safeguarding@yourorganisation.org]</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Deputy or independent contact</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[phone]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r>
              <w:rPr>
                <w:rFonts w:ascii="Nunito Sans" w:cs="Nunito Sans" w:eastAsia="Nunito Sans" w:hAnsi="Nunito Sans"/>
                <w:color w:val="102E3B"/>
                <w:sz w:val="18"/>
                <w:szCs w:val="18"/>
              </w:rPr>
              <w:t xml:space="preserve">: if the concern is about the lead, the lead is involved, or the lead cannot be reached</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safeguarding member</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[email]</w:t>
            </w:r>
            <w:r>
              <w:rPr>
                <w:rFonts w:ascii="Nunito Sans" w:cs="Nunito Sans" w:eastAsia="Nunito Sans" w:hAnsi="Nunito Sans"/>
                <w:color w:val="102E3B"/>
                <w:sz w:val="18"/>
                <w:szCs w:val="18"/>
              </w:rPr>
              <w:t xml:space="preserve">: if both of the above are involved</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Anonymous route</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[Feedback box / anonymous form / hotline]</w:t>
            </w:r>
            <w:r>
              <w:rPr>
                <w:rFonts w:ascii="Nunito Sans" w:cs="Nunito Sans" w:eastAsia="Nunito Sans" w:hAnsi="Nunito Sans"/>
                <w:color w:val="102E3B"/>
                <w:sz w:val="18"/>
                <w:szCs w:val="18"/>
              </w:rPr>
              <w:t xml:space="preserve">. We may be unable to update you.</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People we serve</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member of our team, </w:t>
            </w:r>
            <w:r>
              <w:rPr>
                <w:rFonts w:ascii="Nunito Sans" w:cs="Nunito Sans" w:eastAsia="Nunito Sans" w:hAnsi="Nunito Sans"/>
                <w:color w:val="102E3B"/>
                <w:sz w:val="18"/>
                <w:szCs w:val="18"/>
                <w:highlight w:val="yellow"/>
              </w:rPr>
              <w:t xml:space="preserve">[community feedback channels]</w:t>
            </w:r>
            <w:r>
              <w:rPr>
                <w:rFonts w:ascii="Nunito Sans" w:cs="Nunito Sans" w:eastAsia="Nunito Sans" w:hAnsi="Nunito Sans"/>
                <w:color w:val="102E3B"/>
                <w:sz w:val="18"/>
                <w:szCs w:val="18"/>
              </w:rPr>
              <w:t xml:space="preserve">, or the safeguarding lead directly (see our Complaints and Feedback Procedure)</w:t>
            </w:r>
          </w:p>
        </w:tc>
      </w:tr>
    </w:tbl>
    <w:p>
      <w:pPr>
        <w:spacing w:after="120"/>
      </w:pPr>
    </w:p>
    <w:p>
      <w:pPr>
        <w:spacing w:after="120" w:before="0" w:line="300"/>
      </w:pPr>
      <w:r>
        <w:rPr>
          <w:rFonts w:ascii="Nunito Sans" w:cs="Nunito Sans" w:eastAsia="Nunito Sans" w:hAnsi="Nunito Sans"/>
          <w:color w:val="102E3B"/>
          <w:sz w:val="20"/>
          <w:szCs w:val="20"/>
        </w:rPr>
        <w:t xml:space="preserve">You can also use our Whistleblowing Policy and Procedure, and you can always go directly to the police or local child protection services.</w:t>
      </w:r>
    </w:p>
    <w:p>
      <w:pPr>
        <w:pStyle w:val="Heading2"/>
        <w:keepNext/>
        <w:spacing w:after="120" w:before="280"/>
      </w:pPr>
      <w:r>
        <w:rPr>
          <w:rFonts w:ascii="DM Serif Display" w:cs="DM Serif Display" w:eastAsia="DM Serif Display" w:hAnsi="DM Serif Display"/>
          <w:color w:val="123C48"/>
          <w:sz w:val="28"/>
          <w:szCs w:val="28"/>
        </w:rPr>
        <w:t xml:space="preserve">11. Timescales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STEP</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 danger: contact emergency services</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Straight away</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Tell the safeguarding lead about immediate danger or a serious incident</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 hours]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Report any other concern to the safeguarding lead</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Acknowledge the report</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Same day if someone may be at risk; otherwise </w:t>
            </w:r>
            <w:r>
              <w:rPr>
                <w:rFonts w:ascii="Nunito Sans" w:cs="Nunito Sans" w:eastAsia="Nunito Sans" w:hAnsi="Nunito Sans"/>
                <w:color w:val="102E3B"/>
                <w:sz w:val="18"/>
                <w:szCs w:val="18"/>
                <w:highlight w:val="yellow"/>
              </w:rPr>
              <w:t xml:space="preserve">[2 working days]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Initial assessment and protective action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for children or SEAH; otherwise </w:t>
            </w:r>
            <w:r>
              <w:rPr>
                <w:rFonts w:ascii="Nunito Sans" w:cs="Nunito Sans" w:eastAsia="Nunito Sans" w:hAnsi="Nunito Sans"/>
                <w:color w:val="102E3B"/>
                <w:sz w:val="18"/>
                <w:szCs w:val="18"/>
                <w:highlight w:val="yellow"/>
              </w:rPr>
              <w:t xml:space="preserve">[3 working days]</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Referral where the law requires it</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the legal deadline, or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if none is set</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Notify funders, regulators or insurers</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each agreement's or rule's deadline (section 15)</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Close the case</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Target </w:t>
            </w:r>
            <w:r>
              <w:rPr>
                <w:rFonts w:ascii="Nunito Sans" w:cs="Nunito Sans" w:eastAsia="Nunito Sans" w:hAnsi="Nunito Sans"/>
                <w:color w:val="102E3B"/>
                <w:sz w:val="18"/>
                <w:szCs w:val="18"/>
                <w:highlight w:val="yellow"/>
              </w:rPr>
              <w:t xml:space="preserve">[30 / 60]</w:t>
            </w:r>
            <w:r>
              <w:rPr>
                <w:rFonts w:ascii="Nunito Sans" w:cs="Nunito Sans" w:eastAsia="Nunito Sans" w:hAnsi="Nunito Sans"/>
                <w:color w:val="102E3B"/>
                <w:sz w:val="18"/>
                <w:szCs w:val="18"/>
              </w:rPr>
              <w:t xml:space="preserve"> days, unless an external process is ongoing</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What happens after a report</w:t>
      </w:r>
    </w:p>
    <w:p>
      <w:pPr>
        <w:spacing w:after="120" w:before="0" w:line="300"/>
      </w:pPr>
      <w:r>
        <w:rPr>
          <w:rFonts w:ascii="Nunito Sans" w:cs="Nunito Sans" w:eastAsia="Nunito Sans" w:hAnsi="Nunito Sans"/>
          <w:color w:val="102E3B"/>
          <w:sz w:val="20"/>
          <w:szCs w:val="20"/>
        </w:rPr>
        <w:t xml:space="preserve">The safeguarding lead, or the deputy if the lead is involved:</w:t>
      </w:r>
    </w:p>
    <w:p>
      <w:pPr>
        <w:pStyle w:val="ListParagraph"/>
        <w:numPr>
          <w:ilvl w:val="0"/>
          <w:numId w:val="7"/>
        </w:numPr>
        <w:spacing w:after="80" w:line="290"/>
      </w:pPr>
      <w:r>
        <w:rPr>
          <w:rFonts w:ascii="Nunito Sans" w:cs="Nunito Sans" w:eastAsia="Nunito Sans" w:hAnsi="Nunito Sans"/>
          <w:b/>
          <w:bCs/>
          <w:color w:val="102E3B"/>
          <w:sz w:val="20"/>
          <w:szCs w:val="20"/>
        </w:rPr>
        <w:t xml:space="preserve">Acknowledges</w:t>
      </w:r>
      <w:r>
        <w:rPr>
          <w:rFonts w:ascii="Nunito Sans" w:cs="Nunito Sans" w:eastAsia="Nunito Sans" w:hAnsi="Nunito Sans"/>
          <w:color w:val="102E3B"/>
          <w:sz w:val="20"/>
          <w:szCs w:val="20"/>
        </w:rPr>
        <w:t xml:space="preserve"> the report and gives a reference number.</w:t>
      </w:r>
    </w:p>
    <w:p>
      <w:pPr>
        <w:pStyle w:val="ListParagraph"/>
        <w:numPr>
          <w:ilvl w:val="0"/>
          <w:numId w:val="7"/>
        </w:numPr>
        <w:spacing w:after="80" w:line="290"/>
      </w:pPr>
      <w:r>
        <w:rPr>
          <w:rFonts w:ascii="Nunito Sans" w:cs="Nunito Sans" w:eastAsia="Nunito Sans" w:hAnsi="Nunito Sans"/>
          <w:b/>
          <w:bCs/>
          <w:color w:val="102E3B"/>
          <w:sz w:val="20"/>
          <w:szCs w:val="20"/>
        </w:rPr>
        <w:t xml:space="preserve">Assesses risk:</w:t>
      </w:r>
      <w:r>
        <w:rPr>
          <w:rFonts w:ascii="Nunito Sans" w:cs="Nunito Sans" w:eastAsia="Nunito Sans" w:hAnsi="Nunito Sans"/>
          <w:color w:val="102E3B"/>
          <w:sz w:val="20"/>
          <w:szCs w:val="20"/>
        </w:rPr>
        <w:t xml:space="preserve"> is anyone in danger, is a child involved, does the law require a report? They seek specialist advice where unsure.</w:t>
      </w:r>
    </w:p>
    <w:p>
      <w:pPr>
        <w:pStyle w:val="ListParagraph"/>
        <w:numPr>
          <w:ilvl w:val="0"/>
          <w:numId w:val="7"/>
        </w:numPr>
        <w:spacing w:after="80" w:line="290"/>
      </w:pPr>
      <w:r>
        <w:rPr>
          <w:rFonts w:ascii="Nunito Sans" w:cs="Nunito Sans" w:eastAsia="Nunito Sans" w:hAnsi="Nunito Sans"/>
          <w:b/>
          <w:bCs/>
          <w:color w:val="102E3B"/>
          <w:sz w:val="20"/>
          <w:szCs w:val="20"/>
        </w:rPr>
        <w:t xml:space="preserve">Protects</w:t>
      </w:r>
      <w:r>
        <w:rPr>
          <w:rFonts w:ascii="Nunito Sans" w:cs="Nunito Sans" w:eastAsia="Nunito Sans" w:hAnsi="Nunito Sans"/>
          <w:color w:val="102E3B"/>
          <w:sz w:val="20"/>
          <w:szCs w:val="20"/>
        </w:rPr>
        <w:t xml:space="preserve"> people straight away where needed: for example moving the person concerned away from contact work, suspending them, or pausing an activity. This is a precaution, not a finding.</w:t>
      </w:r>
    </w:p>
    <w:p>
      <w:pPr>
        <w:pStyle w:val="ListParagraph"/>
        <w:numPr>
          <w:ilvl w:val="0"/>
          <w:numId w:val="7"/>
        </w:numPr>
        <w:spacing w:after="80" w:line="290"/>
      </w:pPr>
      <w:r>
        <w:rPr>
          <w:rFonts w:ascii="Nunito Sans" w:cs="Nunito Sans" w:eastAsia="Nunito Sans" w:hAnsi="Nunito Sans"/>
          <w:b/>
          <w:bCs/>
          <w:color w:val="102E3B"/>
          <w:sz w:val="20"/>
          <w:szCs w:val="20"/>
        </w:rPr>
        <w:t xml:space="preserve">Talks to the survivor,</w:t>
      </w:r>
      <w:r>
        <w:rPr>
          <w:rFonts w:ascii="Nunito Sans" w:cs="Nunito Sans" w:eastAsia="Nunito Sans" w:hAnsi="Nunito Sans"/>
          <w:color w:val="102E3B"/>
          <w:sz w:val="20"/>
          <w:szCs w:val="20"/>
        </w:rPr>
        <w:t xml:space="preserve"> where safe, about their options and wishes, and offers referral to support (Annex B).</w:t>
      </w:r>
    </w:p>
    <w:p>
      <w:pPr>
        <w:pStyle w:val="ListParagraph"/>
        <w:numPr>
          <w:ilvl w:val="0"/>
          <w:numId w:val="7"/>
        </w:numPr>
        <w:spacing w:after="80" w:line="290"/>
      </w:pPr>
      <w:r>
        <w:rPr>
          <w:rFonts w:ascii="Nunito Sans" w:cs="Nunito Sans" w:eastAsia="Nunito Sans" w:hAnsi="Nunito Sans"/>
          <w:b/>
          <w:bCs/>
          <w:color w:val="102E3B"/>
          <w:sz w:val="20"/>
          <w:szCs w:val="20"/>
        </w:rPr>
        <w:t xml:space="preserve">Refers</w:t>
      </w:r>
      <w:r>
        <w:rPr>
          <w:rFonts w:ascii="Nunito Sans" w:cs="Nunito Sans" w:eastAsia="Nunito Sans" w:hAnsi="Nunito Sans"/>
          <w:color w:val="102E3B"/>
          <w:sz w:val="20"/>
          <w:szCs w:val="20"/>
        </w:rPr>
        <w:t xml:space="preserve"> to child protection services, the police or others where the law requires it, a child is at risk, or an adult survivor agrees (section 13).</w:t>
      </w:r>
    </w:p>
    <w:p>
      <w:pPr>
        <w:pStyle w:val="ListParagraph"/>
        <w:numPr>
          <w:ilvl w:val="0"/>
          <w:numId w:val="7"/>
        </w:numPr>
        <w:spacing w:after="80" w:line="290"/>
      </w:pPr>
      <w:r>
        <w:rPr>
          <w:rFonts w:ascii="Nunito Sans" w:cs="Nunito Sans" w:eastAsia="Nunito Sans" w:hAnsi="Nunito Sans"/>
          <w:b/>
          <w:bCs/>
          <w:color w:val="102E3B"/>
          <w:sz w:val="20"/>
          <w:szCs w:val="20"/>
        </w:rPr>
        <w:t xml:space="preserve">Looks into it.</w:t>
      </w:r>
      <w:r>
        <w:rPr>
          <w:rFonts w:ascii="Nunito Sans" w:cs="Nunito Sans" w:eastAsia="Nunito Sans" w:hAnsi="Nunito Sans"/>
          <w:color w:val="102E3B"/>
          <w:sz w:val="20"/>
          <w:szCs w:val="20"/>
        </w:rPr>
        <w:t xml:space="preserve"> We never investigate crimes ourselves. For serious or complex internal cases we appoint a trained external investigator. If the authorities investigate, we cooperate and pause our own work if asked.</w:t>
      </w:r>
    </w:p>
    <w:p>
      <w:pPr>
        <w:pStyle w:val="ListParagraph"/>
        <w:numPr>
          <w:ilvl w:val="0"/>
          <w:numId w:val="7"/>
        </w:numPr>
        <w:spacing w:after="80" w:line="290"/>
      </w:pPr>
      <w:r>
        <w:rPr>
          <w:rFonts w:ascii="Nunito Sans" w:cs="Nunito Sans" w:eastAsia="Nunito Sans" w:hAnsi="Nunito Sans"/>
          <w:b/>
          <w:bCs/>
          <w:color w:val="102E3B"/>
          <w:sz w:val="20"/>
          <w:szCs w:val="20"/>
        </w:rPr>
        <w:t xml:space="preserve">Decides</w:t>
      </w:r>
      <w:r>
        <w:rPr>
          <w:rFonts w:ascii="Nunito Sans" w:cs="Nunito Sans" w:eastAsia="Nunito Sans" w:hAnsi="Nunito Sans"/>
          <w:color w:val="102E3B"/>
          <w:sz w:val="20"/>
          <w:szCs w:val="20"/>
        </w:rPr>
        <w:t xml:space="preserve"> on the balance of probabilities (whether the concern is more likely true than not) and acts under our disciplinary procedure or agreements.</w:t>
      </w:r>
    </w:p>
    <w:p>
      <w:pPr>
        <w:pStyle w:val="ListParagraph"/>
        <w:numPr>
          <w:ilvl w:val="0"/>
          <w:numId w:val="7"/>
        </w:numPr>
        <w:spacing w:after="80" w:line="290"/>
      </w:pPr>
      <w:r>
        <w:rPr>
          <w:rFonts w:ascii="Nunito Sans" w:cs="Nunito Sans" w:eastAsia="Nunito Sans" w:hAnsi="Nunito Sans"/>
          <w:b/>
          <w:bCs/>
          <w:color w:val="102E3B"/>
          <w:sz w:val="20"/>
          <w:szCs w:val="20"/>
        </w:rPr>
        <w:t xml:space="preserve">Closes and learns:</w:t>
      </w:r>
      <w:r>
        <w:rPr>
          <w:rFonts w:ascii="Nunito Sans" w:cs="Nunito Sans" w:eastAsia="Nunito Sans" w:hAnsi="Nunito Sans"/>
          <w:color w:val="102E3B"/>
          <w:sz w:val="20"/>
          <w:szCs w:val="20"/>
        </w:rPr>
        <w:t xml:space="preserve"> tells the survivor and reporter as much as confidentiality allows, records the outcome and what we will change.</w:t>
      </w:r>
    </w:p>
    <w:p>
      <w:pPr>
        <w:spacing w:after="120" w:before="0" w:line="300"/>
      </w:pPr>
      <w:r>
        <w:rPr>
          <w:rFonts w:ascii="Nunito Sans" w:cs="Nunito Sans" w:eastAsia="Nunito Sans" w:hAnsi="Nunito Sans"/>
          <w:color w:val="102E3B"/>
          <w:sz w:val="20"/>
          <w:szCs w:val="20"/>
        </w:rPr>
        <w:t xml:space="preserve">The person concerned is told the substance of the allegation when it is safe, and can respond. Nobody is presumed to have done wrong.</w:t>
      </w:r>
    </w:p>
    <w:p>
      <w:pPr>
        <w:pStyle w:val="Heading2"/>
        <w:keepNext/>
        <w:spacing w:after="120" w:before="280"/>
      </w:pPr>
      <w:r>
        <w:rPr>
          <w:rFonts w:ascii="DM Serif Display" w:cs="DM Serif Display" w:eastAsia="DM Serif Display" w:hAnsi="DM Serif Display"/>
          <w:color w:val="123C48"/>
          <w:sz w:val="28"/>
          <w:szCs w:val="28"/>
        </w:rPr>
        <w:t xml:space="preserve">13. Putting the survivor first</w:t>
      </w:r>
    </w:p>
    <w:p>
      <w:pPr>
        <w:pStyle w:val="ListParagraph"/>
        <w:numPr>
          <w:ilvl w:val="0"/>
          <w:numId w:val="3"/>
        </w:numPr>
        <w:spacing w:after="80" w:line="290"/>
      </w:pPr>
      <w:r>
        <w:rPr>
          <w:rFonts w:ascii="Nunito Sans" w:cs="Nunito Sans" w:eastAsia="Nunito Sans" w:hAnsi="Nunito Sans"/>
          <w:b/>
          <w:bCs/>
          <w:color w:val="102E3B"/>
          <w:sz w:val="20"/>
          <w:szCs w:val="20"/>
        </w:rPr>
        <w:t xml:space="preserve">Safety.</w:t>
      </w:r>
      <w:r>
        <w:rPr>
          <w:rFonts w:ascii="Nunito Sans" w:cs="Nunito Sans" w:eastAsia="Nunito Sans" w:hAnsi="Nunito Sans"/>
          <w:color w:val="102E3B"/>
          <w:sz w:val="20"/>
          <w:szCs w:val="20"/>
        </w:rPr>
        <w:t xml:space="preserve"> Before any referral, we consider how the person who caused harm, the family or the community might react.</w:t>
      </w:r>
    </w:p>
    <w:p>
      <w:pPr>
        <w:pStyle w:val="ListParagraph"/>
        <w:numPr>
          <w:ilvl w:val="0"/>
          <w:numId w:val="3"/>
        </w:numPr>
        <w:spacing w:after="80" w:line="290"/>
      </w:pPr>
      <w:r>
        <w:rPr>
          <w:rFonts w:ascii="Nunito Sans" w:cs="Nunito Sans" w:eastAsia="Nunito Sans" w:hAnsi="Nunito Sans"/>
          <w:b/>
          <w:bCs/>
          <w:color w:val="102E3B"/>
          <w:sz w:val="20"/>
          <w:szCs w:val="20"/>
        </w:rPr>
        <w:t xml:space="preserve">Adults choose.</w:t>
      </w:r>
      <w:r>
        <w:rPr>
          <w:rFonts w:ascii="Nunito Sans" w:cs="Nunito Sans" w:eastAsia="Nunito Sans" w:hAnsi="Nunito Sans"/>
          <w:color w:val="102E3B"/>
          <w:sz w:val="20"/>
          <w:szCs w:val="20"/>
        </w:rPr>
        <w:t xml:space="preserve"> We explain the options and respect their decisions. We do not report an adult survivor's experience to the police or community leaders without their consent, unless the law requires it, a child or another person is at serious risk, or their life is in danger.</w:t>
      </w:r>
    </w:p>
    <w:p>
      <w:pPr>
        <w:pStyle w:val="ListParagraph"/>
        <w:numPr>
          <w:ilvl w:val="0"/>
          <w:numId w:val="3"/>
        </w:numPr>
        <w:spacing w:after="80" w:line="290"/>
      </w:pPr>
      <w:r>
        <w:rPr>
          <w:rFonts w:ascii="Nunito Sans" w:cs="Nunito Sans" w:eastAsia="Nunito Sans" w:hAnsi="Nunito Sans"/>
          <w:b/>
          <w:bCs/>
          <w:color w:val="102E3B"/>
          <w:sz w:val="20"/>
          <w:szCs w:val="20"/>
        </w:rPr>
        <w:t xml:space="preserve">Children are protected.</w:t>
      </w:r>
      <w:r>
        <w:rPr>
          <w:rFonts w:ascii="Nunito Sans" w:cs="Nunito Sans" w:eastAsia="Nunito Sans" w:hAnsi="Nunito Sans"/>
          <w:color w:val="102E3B"/>
          <w:sz w:val="20"/>
          <w:szCs w:val="20"/>
        </w:rPr>
        <w:t xml:space="preserve"> Where a child may be at risk of significant harm, we act even if they or their family disagree, and follow any mandatory reporting duty. We explain to the child what will happen, in a way they understand.</w:t>
      </w:r>
    </w:p>
    <w:p>
      <w:pPr>
        <w:pStyle w:val="ListParagraph"/>
        <w:numPr>
          <w:ilvl w:val="0"/>
          <w:numId w:val="3"/>
        </w:numPr>
        <w:spacing w:after="80" w:line="290"/>
      </w:pPr>
      <w:r>
        <w:rPr>
          <w:rFonts w:ascii="Nunito Sans" w:cs="Nunito Sans" w:eastAsia="Nunito Sans" w:hAnsi="Nunito Sans"/>
          <w:b/>
          <w:bCs/>
          <w:color w:val="102E3B"/>
          <w:sz w:val="20"/>
          <w:szCs w:val="20"/>
        </w:rPr>
        <w:t xml:space="preserve">If we act without consent,</w:t>
      </w:r>
      <w:r>
        <w:rPr>
          <w:rFonts w:ascii="Nunito Sans" w:cs="Nunito Sans" w:eastAsia="Nunito Sans" w:hAnsi="Nunito Sans"/>
          <w:color w:val="102E3B"/>
          <w:sz w:val="20"/>
          <w:szCs w:val="20"/>
        </w:rPr>
        <w:t xml:space="preserve"> we tell the survivor why and what we will share, and share only what is needed.</w:t>
      </w:r>
    </w:p>
    <w:p>
      <w:pPr>
        <w:pStyle w:val="ListParagraph"/>
        <w:numPr>
          <w:ilvl w:val="0"/>
          <w:numId w:val="3"/>
        </w:numPr>
        <w:spacing w:after="80" w:line="290"/>
      </w:pPr>
      <w:r>
        <w:rPr>
          <w:rFonts w:ascii="Nunito Sans" w:cs="Nunito Sans" w:eastAsia="Nunito Sans" w:hAnsi="Nunito Sans"/>
          <w:b/>
          <w:bCs/>
          <w:color w:val="102E3B"/>
          <w:sz w:val="20"/>
          <w:szCs w:val="20"/>
        </w:rPr>
        <w:t xml:space="preserve">Telling it once.</w:t>
      </w:r>
      <w:r>
        <w:rPr>
          <w:rFonts w:ascii="Nunito Sans" w:cs="Nunito Sans" w:eastAsia="Nunito Sans" w:hAnsi="Nunito Sans"/>
          <w:color w:val="102E3B"/>
          <w:sz w:val="20"/>
          <w:szCs w:val="20"/>
        </w:rPr>
        <w:t xml:space="preserve"> Only the safeguarding lead, or their appointee, takes a full account.</w:t>
      </w:r>
    </w:p>
    <w:p>
      <w:pPr>
        <w:pStyle w:val="ListParagraph"/>
        <w:numPr>
          <w:ilvl w:val="0"/>
          <w:numId w:val="3"/>
        </w:numPr>
        <w:spacing w:after="80" w:line="290"/>
      </w:pPr>
      <w:r>
        <w:rPr>
          <w:rFonts w:ascii="Nunito Sans" w:cs="Nunito Sans" w:eastAsia="Nunito Sans" w:hAnsi="Nunito Sans"/>
          <w:b/>
          <w:bCs/>
          <w:color w:val="102E3B"/>
          <w:sz w:val="20"/>
          <w:szCs w:val="20"/>
        </w:rPr>
        <w:t xml:space="preserve">Practical support,</w:t>
      </w:r>
      <w:r>
        <w:rPr>
          <w:rFonts w:ascii="Nunito Sans" w:cs="Nunito Sans" w:eastAsia="Nunito Sans" w:hAnsi="Nunito Sans"/>
          <w:color w:val="102E3B"/>
          <w:sz w:val="20"/>
          <w:szCs w:val="20"/>
        </w:rPr>
        <w:t xml:space="preserve"> such as safe transport or interpretation.</w:t>
      </w:r>
    </w:p>
    <w:p>
      <w:pPr>
        <w:spacing w:after="120" w:before="0" w:line="300"/>
      </w:pPr>
      <w:r>
        <w:rPr>
          <w:rFonts w:ascii="Nunito Sans" w:cs="Nunito Sans" w:eastAsia="Nunito Sans" w:hAnsi="Nunito Sans"/>
          <w:color w:val="102E3B"/>
          <w:sz w:val="20"/>
          <w:szCs w:val="20"/>
        </w:rPr>
        <w:t xml:space="preserve">Referral can put adult survivors at risk. In some places, reporting gender-based violence (GBV) to the police can lead to retaliation, stigma, forced marriage, or prosecution of the survivor, for example for same-sex relationships, sex work, immigration status or sex outside marriage. Where this risk exists, we focus on confidential health, psychosocial and legal support chosen by the survivor.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MANDATORY REPORTING</w:t>
            </w:r>
          </w:p>
          <w:p>
            <w:pPr>
              <w:spacing w:after="120" w:before="0" w:line="300"/>
            </w:pPr>
            <w:r>
              <w:rPr>
                <w:rFonts w:ascii="Nunito Sans" w:cs="Nunito Sans" w:eastAsia="Nunito Sans" w:hAnsi="Nunito Sans"/>
                <w:color w:val="102E3B"/>
                <w:sz w:val="19"/>
                <w:szCs w:val="19"/>
              </w:rPr>
              <w:t xml:space="preserve">Find out what the law requires where you work and replace this box with two or three clear sentences. Examples to confirm locally:</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the Protection of Children from Sexual Offences (POCSO) Act 2012 requires anyone who knows of, or suspects, a sexual offence against a child to report it to the police or the Special Juvenile Police Unit. Failing to report is an offence.</w:t>
            </w:r>
          </w:p>
          <w:p>
            <w:pPr>
              <w:pStyle w:val="ListParagraph"/>
              <w:numPr>
                <w:ilvl w:val="0"/>
                <w:numId w:val="3"/>
              </w:numPr>
              <w:spacing w:after="80" w:line="290"/>
            </w:pPr>
            <w:r>
              <w:rPr>
                <w:rFonts w:ascii="Nunito Sans" w:cs="Nunito Sans" w:eastAsia="Nunito Sans" w:hAnsi="Nunito Sans"/>
                <w:b/>
                <w:bCs/>
                <w:color w:val="102E3B"/>
                <w:sz w:val="19"/>
                <w:szCs w:val="19"/>
              </w:rPr>
              <w:t xml:space="preserve">South Africa:</w:t>
            </w:r>
            <w:r>
              <w:rPr>
                <w:rFonts w:ascii="Nunito Sans" w:cs="Nunito Sans" w:eastAsia="Nunito Sans" w:hAnsi="Nunito Sans"/>
                <w:color w:val="102E3B"/>
                <w:sz w:val="19"/>
                <w:szCs w:val="19"/>
              </w:rPr>
              <w:t xml:space="preserve"> the Children's Act 38 of 2005 (section 110) requires many professionals, including teachers, health and social workers, to report suspected abuse or deliberate neglect of a child. Sexual offences legislation also requires anyone who knows of a sexual offence against a child to report it to the police.</w:t>
            </w:r>
          </w:p>
          <w:p>
            <w:pPr>
              <w:pStyle w:val="ListParagraph"/>
              <w:numPr>
                <w:ilvl w:val="0"/>
                <w:numId w:val="3"/>
              </w:numPr>
              <w:spacing w:after="80" w:line="290"/>
            </w:pPr>
            <w:r>
              <w:rPr>
                <w:rFonts w:ascii="Nunito Sans" w:cs="Nunito Sans" w:eastAsia="Nunito Sans" w:hAnsi="Nunito Sans"/>
                <w:b/>
                <w:bCs/>
                <w:color w:val="102E3B"/>
                <w:sz w:val="19"/>
                <w:szCs w:val="19"/>
              </w:rPr>
              <w:t xml:space="preserve">Brazil:</w:t>
            </w:r>
            <w:r>
              <w:rPr>
                <w:rFonts w:ascii="Nunito Sans" w:cs="Nunito Sans" w:eastAsia="Nunito Sans" w:hAnsi="Nunito Sans"/>
                <w:color w:val="102E3B"/>
                <w:sz w:val="19"/>
                <w:szCs w:val="19"/>
              </w:rPr>
              <w:t xml:space="preserve"> the Statute of the Child and Adolescent (ECA, Law 8.069 of 1990) requires suspected maltreatment of a child to be reported to the Conselho Tutelar.</w:t>
            </w:r>
          </w:p>
          <w:p>
            <w:pPr>
              <w:pStyle w:val="ListParagraph"/>
              <w:numPr>
                <w:ilvl w:val="0"/>
                <w:numId w:val="3"/>
              </w:numPr>
              <w:spacing w:after="80" w:line="290"/>
            </w:pPr>
            <w:r>
              <w:rPr>
                <w:rFonts w:ascii="Nunito Sans" w:cs="Nunito Sans" w:eastAsia="Nunito Sans" w:hAnsi="Nunito Sans"/>
                <w:b/>
                <w:bCs/>
                <w:color w:val="102E3B"/>
                <w:sz w:val="19"/>
                <w:szCs w:val="19"/>
              </w:rPr>
              <w:t xml:space="preserve">Elsewhere:</w:t>
            </w:r>
            <w:r>
              <w:rPr>
                <w:rFonts w:ascii="Nunito Sans" w:cs="Nunito Sans" w:eastAsia="Nunito Sans" w:hAnsi="Nunito Sans"/>
                <w:color w:val="102E3B"/>
                <w:sz w:val="19"/>
                <w:szCs w:val="19"/>
              </w:rPr>
              <w:t xml:space="preserve"> check the children's law, the penal code and any gender-based violence law. Some duties apply only to certain professions.</w:t>
            </w:r>
          </w:p>
          <w:p>
            <w:pPr>
              <w:spacing w:after="120" w:before="0" w:line="300"/>
            </w:pPr>
            <w:r>
              <w:rPr>
                <w:rFonts w:ascii="Nunito Sans" w:cs="Nunito Sans" w:eastAsia="Nunito Sans" w:hAnsi="Nunito Sans"/>
                <w:color w:val="102E3B"/>
                <w:sz w:val="19"/>
                <w:szCs w:val="19"/>
              </w:rPr>
              <w:t xml:space="preserve">Decide who makes the report: usually the safeguarding lead, so that individual team members do not carry it alone. If the law places a personal duty on certain staff, tell them.</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Referral to local services</w:t>
      </w:r>
    </w:p>
    <w:p>
      <w:pPr>
        <w:spacing w:after="120" w:before="0" w:line="300"/>
      </w:pPr>
      <w:r>
        <w:rPr>
          <w:rFonts w:ascii="Nunito Sans" w:cs="Nunito Sans" w:eastAsia="Nunito Sans" w:hAnsi="Nunito Sans"/>
          <w:color w:val="102E3B"/>
          <w:sz w:val="20"/>
          <w:szCs w:val="20"/>
        </w:rPr>
        <w:t xml:space="preserve">The safeguarding lead keeps a map of trusted local services for each place we work (Annex B). Before listing a service, we check that it treats survivors with respect and keeps information confidential. We update the map every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Where a GBV or child protection coordination group exists, we use its referral pathway.</w:t>
      </w:r>
    </w:p>
    <w:p>
      <w:pPr>
        <w:pStyle w:val="Heading2"/>
        <w:keepNext/>
        <w:spacing w:after="120" w:before="280"/>
      </w:pPr>
      <w:r>
        <w:rPr>
          <w:rFonts w:ascii="DM Serif Display" w:cs="DM Serif Display" w:eastAsia="DM Serif Display" w:hAnsi="DM Serif Display"/>
          <w:color w:val="123C48"/>
          <w:sz w:val="28"/>
          <w:szCs w:val="28"/>
        </w:rPr>
        <w:t xml:space="preserve">15. Informing funders, regulators and others</w:t>
      </w:r>
    </w:p>
    <w:p>
      <w:pPr>
        <w:spacing w:after="120" w:before="0" w:line="300"/>
      </w:pPr>
      <w:r>
        <w:rPr>
          <w:rFonts w:ascii="Nunito Sans" w:cs="Nunito Sans" w:eastAsia="Nunito Sans" w:hAnsi="Nunito Sans"/>
          <w:color w:val="102E3B"/>
          <w:sz w:val="20"/>
          <w:szCs w:val="20"/>
        </w:rPr>
        <w:t xml:space="preserve">Some funders, regulators and insurers require us to report safeguarding incidents. The safeguarding lead tells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who makes these reports on time. We share only what is needed, never the survivor's name unless the law requires it or they agree.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FUNDERS AND REGULATORS</w:t>
            </w:r>
          </w:p>
          <w:p>
            <w:pPr>
              <w:spacing w:after="120" w:before="0" w:line="300"/>
            </w:pPr>
            <w:r>
              <w:rPr>
                <w:rFonts w:ascii="Nunito Sans" w:cs="Nunito Sans" w:eastAsia="Nunito Sans" w:hAnsi="Nunito Sans"/>
                <w:color w:val="102E3B"/>
                <w:sz w:val="19"/>
                <w:szCs w:val="19"/>
              </w:rPr>
              <w:t xml:space="preserve">List each funder, regulator and insurer you must notify, what counts as reportable, and the deadline. Many institutional funders require notice within a short period, such as 24 to 72 hours: read each grant agreement. In England and Wales, registered charities must report serious incidents, including safeguarding incidents, to the Charity Commission promptly. Elsewhere, check whether your NGO regulator or registration authority has a reporting rule, and whether your insurer requires notice of possible claims.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16. When the concern is about the safeguarding lead</w:t>
      </w:r>
    </w:p>
    <w:p>
      <w:pPr>
        <w:spacing w:after="120" w:before="0" w:line="300"/>
      </w:pPr>
      <w:r>
        <w:rPr>
          <w:rFonts w:ascii="Nunito Sans" w:cs="Nunito Sans" w:eastAsia="Nunito Sans" w:hAnsi="Nunito Sans"/>
          <w:color w:val="102E3B"/>
          <w:sz w:val="20"/>
          <w:szCs w:val="20"/>
        </w:rPr>
        <w:t xml:space="preserve">Concerns about the safeguarding lead, or cases they are involved in, go directly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The lead steps aside, does not see the records and takes no part in decisions. The deputy can ask for any records they need and bring in an external adviser or investigator, as set out in the Independent Contact Role Note.</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Board</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and reviews this policy every year. Names a safeguarding board member. Receives an anonymised summary of cases. Makes sure we fund safeguarding.</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Safeguarding lead</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Owns this policy. Receives and assesses concerns, takes protective action, makes referrals, keeps records and the referral map, organises training and reports to the board.</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Deputy or independent contact</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Handles concerns about the lead. Covers urgent cases when the lead cannot be reached for more than </w:t>
            </w:r>
            <w:r>
              <w:rPr>
                <w:rFonts w:ascii="Nunito Sans" w:cs="Nunito Sans" w:eastAsia="Nunito Sans" w:hAnsi="Nunito Sans"/>
                <w:color w:val="102E3B"/>
                <w:sz w:val="18"/>
                <w:szCs w:val="18"/>
                <w:highlight w:val="yellow"/>
              </w:rPr>
              <w:t xml:space="preserve">[48 hours]</w:t>
            </w:r>
            <w:r>
              <w:rPr>
                <w:rFonts w:ascii="Nunito Sans" w:cs="Nunito Sans" w:eastAsia="Nunito Sans" w:hAnsi="Nunito Sans"/>
                <w:color w:val="102E3B"/>
                <w:sz w:val="18"/>
                <w:szCs w:val="18"/>
              </w:rPr>
              <w:t xml:space="preserve">. Hears requests for review.</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Managers and activity leads</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Complete risk assessments, make sure their teams are trained and act on concerns promptly.</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Everyone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this policy and the Code of Conduct. Reports within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Never investigates. Keeps concerns confidential.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spacing w:after="120" w:before="0" w:line="300"/>
      </w:pPr>
      <w:r>
        <w:rPr>
          <w:rFonts w:ascii="Nunito Sans" w:cs="Nunito Sans" w:eastAsia="Nunito Sans" w:hAnsi="Nunito Sans"/>
          <w:color w:val="102E3B"/>
          <w:sz w:val="20"/>
          <w:szCs w:val="20"/>
        </w:rPr>
        <w:t xml:space="preserve">The safeguarding lead keeps a confidential record of every concern, including those that lead to no action: reference, date and reporter (or "anonymous"); what was reported, in the reporter's words; people involved; protective actions; the survivor's wishes; referrals made, or why not; decisions, reasons and any review; and the outcome.</w:t>
      </w:r>
    </w:p>
    <w:p>
      <w:pPr>
        <w:spacing w:after="120" w:before="0" w:line="300"/>
      </w:pPr>
      <w:r>
        <w:rPr>
          <w:rFonts w:ascii="Nunito Sans" w:cs="Nunito Sans" w:eastAsia="Nunito Sans" w:hAnsi="Nunito Sans"/>
          <w:color w:val="102E3B"/>
          <w:sz w:val="20"/>
          <w:szCs w:val="20"/>
        </w:rPr>
        <w:t xml:space="preserve">Records are kept in </w:t>
      </w:r>
      <w:r>
        <w:rPr>
          <w:rFonts w:ascii="Nunito Sans" w:cs="Nunito Sans" w:eastAsia="Nunito Sans" w:hAnsi="Nunito Sans"/>
          <w:color w:val="102E3B"/>
          <w:sz w:val="20"/>
          <w:szCs w:val="20"/>
          <w:highlight w:val="yellow"/>
        </w:rPr>
        <w:t xml:space="preserve">[an encrypted folder / a locked cabinet]</w:t>
      </w:r>
      <w:r>
        <w:rPr>
          <w:rFonts w:ascii="Nunito Sans" w:cs="Nunito Sans" w:eastAsia="Nunito Sans" w:hAnsi="Nunito Sans"/>
          <w:color w:val="102E3B"/>
          <w:sz w:val="20"/>
          <w:szCs w:val="20"/>
        </w:rPr>
        <w:t xml:space="preserve">, with access limited to the safeguarding lead and deputy, separately from personnel files. Records about the lead are kept by the deputy. We share information only on a need-to-know basis. Data protection laws generally allow sharing information to protect someone from serious harm: they are never a reason not to act.</w:t>
      </w:r>
    </w:p>
    <w:p>
      <w:pPr>
        <w:spacing w:after="120" w:before="0" w:line="300"/>
      </w:pPr>
      <w:r>
        <w:rPr>
          <w:rFonts w:ascii="Nunito Sans" w:cs="Nunito Sans" w:eastAsia="Nunito Sans" w:hAnsi="Nunito Sans"/>
          <w:color w:val="102E3B"/>
          <w:sz w:val="20"/>
          <w:szCs w:val="20"/>
        </w:rPr>
        <w:t xml:space="preserve">We keep case records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the case closes, or longer if legal proceedings are ongoing or expected. Cases involving a child are kept until the child turns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or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closure, whichever is later. We then delete them securely and log the deletion.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RETENTION AND DATA PROTECTION</w:t>
            </w:r>
          </w:p>
          <w:p>
            <w:pPr>
              <w:spacing w:after="120" w:before="0" w:line="300"/>
            </w:pPr>
            <w:r>
              <w:rPr>
                <w:rFonts w:ascii="Nunito Sans" w:cs="Nunito Sans" w:eastAsia="Nunito Sans" w:hAnsi="Nunito Sans"/>
                <w:color w:val="102E3B"/>
                <w:sz w:val="19"/>
                <w:szCs w:val="19"/>
              </w:rPr>
              <w:t xml:space="preserve">Check your local data protection law and add these periods to your Records Retention Schedule. Safeguarding records often hold sensitive data (health, sex life, criminal allegations). The GDPR is a widely used benchmark; local laws include the Kenya Data Protection Act 2019, the Nigeria Data Protection Act 2023, South Africa's POPIA, Brazil's LGPD and India's DPDP Act 2023. Never keep safeguarding records on personal devices or general shared drives.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A breach of this policy, including failing to report a concern, is serious. Depending on the case, we may give a warning; suspend someone while we look into it; dismiss an employee or end a role, contract or partnership, following our disciplinary procedure and the law; refer the matter to the authorities; and share confirmed findings with future employers who ask, where the law allows.</w:t>
      </w:r>
    </w:p>
    <w:p>
      <w:pPr>
        <w:spacing w:after="120" w:before="0" w:line="300"/>
      </w:pPr>
      <w:r>
        <w:rPr>
          <w:rFonts w:ascii="Nunito Sans" w:cs="Nunito Sans" w:eastAsia="Nunito Sans" w:hAnsi="Nunito Sans"/>
          <w:color w:val="102E3B"/>
          <w:sz w:val="20"/>
          <w:szCs w:val="20"/>
        </w:rPr>
        <w:t xml:space="preserve">Retaliation against anyone who reports or helps with a review is a separate, serious breach. So is knowingly making a false report: we decide this only after a review, never just because a concern was not upheld. Anyone affected by a decision can ask for a review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by writing to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who was not involved in the original decision.</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safeguarding lead reviews open cases every </w:t>
      </w:r>
      <w:r>
        <w:rPr>
          <w:rFonts w:ascii="Nunito Sans" w:cs="Nunito Sans" w:eastAsia="Nunito Sans" w:hAnsi="Nunito Sans"/>
          <w:color w:val="102E3B"/>
          <w:sz w:val="20"/>
          <w:szCs w:val="20"/>
          <w:highlight w:val="yellow"/>
        </w:rPr>
        <w:t xml:space="preserve">[week / two weeks]</w:t>
      </w:r>
      <w:r>
        <w:rPr>
          <w:rFonts w:ascii="Nunito Sans" w:cs="Nunito Sans" w:eastAsia="Nunito Sans" w:hAnsi="Nunito Sans"/>
          <w:color w:val="102E3B"/>
          <w:sz w:val="20"/>
          <w:szCs w:val="20"/>
        </w:rPr>
        <w:t xml:space="preserve"> and gives the board an anonymised summary every </w:t>
      </w:r>
      <w:r>
        <w:rPr>
          <w:rFonts w:ascii="Nunito Sans" w:cs="Nunito Sans" w:eastAsia="Nunito Sans" w:hAnsi="Nunito Sans"/>
          <w:color w:val="102E3B"/>
          <w:sz w:val="20"/>
          <w:szCs w:val="20"/>
          <w:highlight w:val="yellow"/>
        </w:rPr>
        <w:t xml:space="preserve">[6 / 12]</w:t>
      </w:r>
      <w:r>
        <w:rPr>
          <w:rFonts w:ascii="Nunito Sans" w:cs="Nunito Sans" w:eastAsia="Nunito Sans" w:hAnsi="Nunito Sans"/>
          <w:color w:val="102E3B"/>
          <w:sz w:val="20"/>
          <w:szCs w:val="20"/>
        </w:rPr>
        <w:t xml:space="preserve"> months: number and type of concerns, time taken, outcomes and lessons. We review this policy every </w:t>
      </w:r>
      <w:r>
        <w:rPr>
          <w:rFonts w:ascii="Nunito Sans" w:cs="Nunito Sans" w:eastAsia="Nunito Sans" w:hAnsi="Nunito Sans"/>
          <w:color w:val="102E3B"/>
          <w:sz w:val="20"/>
          <w:szCs w:val="20"/>
          <w:highlight w:val="yellow"/>
        </w:rPr>
        <w:t xml:space="preserve">[12 months]</w:t>
      </w:r>
      <w:r>
        <w:rPr>
          <w:rFonts w:ascii="Nunito Sans" w:cs="Nunito Sans" w:eastAsia="Nunito Sans" w:hAnsi="Nunito Sans"/>
          <w:color w:val="102E3B"/>
          <w:sz w:val="20"/>
          <w:szCs w:val="20"/>
        </w:rPr>
        <w:t xml:space="preserve">, after any serious incident, and when the law or our activities change.</w:t>
      </w:r>
    </w:p>
    <w:p>
      <w:pPr>
        <w:spacing w:after="120" w:before="0" w:line="300"/>
      </w:pPr>
      <w:r>
        <w:rPr>
          <w:rFonts w:ascii="Nunito Sans" w:cs="Nunito Sans" w:eastAsia="Nunito Sans" w:hAnsi="Nunito Sans"/>
          <w:color w:val="102E3B"/>
          <w:sz w:val="20"/>
          <w:szCs w:val="20"/>
        </w:rPr>
        <w:t xml:space="preserve">This policy follows the UN Convention on the Rights of the Child (1989), the UN Convention on the Rights of Persons with Disabilities (2006), the IASC Six Core Principles (2019), the UN Secretary-General's Bulletin on protection from sexual exploitation and sexual abuse (ST/SGB/2003/13), the Core Humanitarian Standard on Quality and Accountability and the Keeping Children Safe standards.</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Code of Conduct</w:t>
      </w:r>
    </w:p>
    <w:p>
      <w:pPr>
        <w:pStyle w:val="ListParagraph"/>
        <w:numPr>
          <w:ilvl w:val="0"/>
          <w:numId w:val="3"/>
        </w:numPr>
        <w:spacing w:after="80" w:line="290"/>
      </w:pPr>
      <w:r>
        <w:rPr>
          <w:rFonts w:ascii="Nunito Sans" w:cs="Nunito Sans" w:eastAsia="Nunito Sans" w:hAnsi="Nunito Sans"/>
          <w:color w:val="102E3B"/>
          <w:sz w:val="20"/>
          <w:szCs w:val="20"/>
        </w:rPr>
        <w:t xml:space="preserve">Anti-Harassment, Intimidation and Bullying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Whistleblowing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Independent Contact Role Note</w:t>
      </w:r>
    </w:p>
    <w:p>
      <w:pPr>
        <w:pStyle w:val="ListParagraph"/>
        <w:numPr>
          <w:ilvl w:val="0"/>
          <w:numId w:val="3"/>
        </w:numPr>
        <w:spacing w:after="80" w:line="290"/>
      </w:pPr>
      <w:r>
        <w:rPr>
          <w:rFonts w:ascii="Nunito Sans" w:cs="Nunito Sans" w:eastAsia="Nunito Sans" w:hAnsi="Nunito Sans"/>
          <w:color w:val="102E3B"/>
          <w:sz w:val="20"/>
          <w:szCs w:val="20"/>
        </w:rPr>
        <w:t xml:space="preserve">Incident Reporting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Complaints and Feedback Procedure</w:t>
      </w:r>
    </w:p>
    <w:p>
      <w:pPr>
        <w:pStyle w:val="ListParagraph"/>
        <w:numPr>
          <w:ilvl w:val="0"/>
          <w:numId w:val="3"/>
        </w:numPr>
        <w:spacing w:after="80" w:line="290"/>
      </w:pPr>
      <w:r>
        <w:rPr>
          <w:rFonts w:ascii="Nunito Sans" w:cs="Nunito Sans" w:eastAsia="Nunito Sans" w:hAnsi="Nunito Sans"/>
          <w:color w:val="102E3B"/>
          <w:sz w:val="20"/>
          <w:szCs w:val="20"/>
        </w:rPr>
        <w:t xml:space="preserve">Photo and Story Consent Form</w:t>
      </w:r>
    </w:p>
    <w:p>
      <w:pPr>
        <w:pStyle w:val="ListParagraph"/>
        <w:numPr>
          <w:ilvl w:val="0"/>
          <w:numId w:val="3"/>
        </w:numPr>
        <w:spacing w:after="80" w:line="290"/>
      </w:pPr>
      <w:r>
        <w:rPr>
          <w:rFonts w:ascii="Nunito Sans" w:cs="Nunito Sans" w:eastAsia="Nunito Sans" w:hAnsi="Nunito Sans"/>
          <w:color w:val="102E3B"/>
          <w:sz w:val="20"/>
          <w:szCs w:val="20"/>
        </w:rPr>
        <w:t xml:space="preserve">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Partner Due Diligence and Sanctions Screening Policy</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[Employment contracts, volunteer agreements and sub-grant agreements]</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p>
      <w:pPr>
        <w:spacing w:after="120" w:before="0" w:line="300"/>
      </w:pPr>
      <w:r>
        <w:rPr>
          <w:rFonts w:ascii="Nunito Sans" w:cs="Nunito Sans" w:eastAsia="Nunito Sans" w:hAnsi="Nunito Sans"/>
          <w:color w:val="102E3B"/>
          <w:sz w:val="20"/>
          <w:szCs w:val="20"/>
        </w:rPr>
        <w:t xml:space="preserve">Everyone confirms this policy when they join and whenever it changes significantly.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Safeguarding Policy and Procedure and have had the chance to ask questions. I will follow it, report any concern within </w:t>
            </w:r>
            <w:r>
              <w:rPr>
                <w:rFonts w:ascii="Nunito Sans" w:cs="Nunito Sans" w:eastAsia="Nunito Sans" w:hAnsi="Nunito Sans"/>
                <w:color w:val="102E3B"/>
                <w:sz w:val="19"/>
                <w:szCs w:val="19"/>
                <w:highlight w:val="yellow"/>
              </w:rPr>
              <w:t xml:space="preserve">[24 hours]</w:t>
            </w:r>
            <w:r>
              <w:rPr>
                <w:rFonts w:ascii="Nunito Sans" w:cs="Nunito Sans" w:eastAsia="Nunito Sans" w:hAnsi="Nunito Sans"/>
                <w:color w:val="102E3B"/>
                <w:sz w:val="19"/>
                <w:szCs w:val="19"/>
              </w:rPr>
              <w:t xml:space="preserve"> and never investigate a concern myself. I understand that breaking this policy can lead to the end of my role with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and, where required, referral to the authorities.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Safeguarding concern report form</w:t>
      </w:r>
    </w:p>
    <w:p>
      <w:pPr>
        <w:spacing w:after="120" w:before="0" w:line="300"/>
      </w:pPr>
      <w:r>
        <w:rPr>
          <w:rFonts w:ascii="Nunito Sans" w:cs="Nunito Sans" w:eastAsia="Nunito Sans" w:hAnsi="Nunito Sans"/>
          <w:color w:val="102E3B"/>
          <w:sz w:val="20"/>
          <w:szCs w:val="20"/>
        </w:rPr>
        <w:t xml:space="preserve">Complete this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Write facts, in the person's own words. Give it only to the safeguarding lead (or the deputy if it concerns the lead), and keep no copy.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QUESTION</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ANSWER</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name, role and contact details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and time you are completing this form</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age and sex of the person at risk (if known). Under 18?</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Where are they now? Are they safe?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time and place of what happened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How did you learn about it? (told, saw, heard from someone else, online)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happened? Use the person's own words.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Name, role and connection to us of the person alleged to have caused harm (if known)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Anyone else who saw or knows about it</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injury or distress you noticed (describe; do not examine)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you said or did in response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the person at risk wants to happen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else you have told, including emergency services, and when</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 of person reporting</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THE SAFEGUARDING LEAD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ITEM</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RECORD</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 number; date and time received; date acknowledged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 risk assessment and protective actions</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Referrals made, or reason for not referring</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Funders, regulators or insurers notified (who, when)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Outcome and date closed</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Referral pathway map</w:t>
      </w:r>
    </w:p>
    <w:p>
      <w:pPr>
        <w:spacing w:after="120" w:before="0" w:line="300"/>
      </w:pPr>
      <w:r>
        <w:rPr>
          <w:rFonts w:ascii="Nunito Sans" w:cs="Nunito Sans" w:eastAsia="Nunito Sans" w:hAnsi="Nunito Sans"/>
          <w:color w:val="102E3B"/>
          <w:sz w:val="20"/>
          <w:szCs w:val="20"/>
        </w:rPr>
        <w:t xml:space="preserve">Fill in one table for each place where we work. Check each service before listing it, and update this map every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857"/>
        <w:gridCol w:w="1714"/>
        <w:gridCol w:w="2477"/>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SERVICE</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NAME, ADDRESS, HOURS</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CONTACT</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 (COST, LANGUAGES, CONFIDENTIALITY, CHECKED BY AND WHEN)</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Emergency services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[local emergency number]</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Police (including any child or gender desk)</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Child protection services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children's officer, social welfare department]</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Child helpline</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GBV services (safe house, one-stop centre, women's organisation)</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Health care, including post-rape care</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Mental health and psychosocial support</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Legal aid</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Disability support</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Coordination group</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[e.g. GBV or child protection working group]</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MAPPING REFERRAL SERVICES</w:t>
            </w:r>
          </w:p>
          <w:p>
            <w:pPr>
              <w:spacing w:after="120" w:before="0" w:line="300"/>
            </w:pPr>
            <w:r>
              <w:rPr>
                <w:rFonts w:ascii="Nunito Sans" w:cs="Nunito Sans" w:eastAsia="Nunito Sans" w:hAnsi="Nunito Sans"/>
                <w:color w:val="102E3B"/>
                <w:sz w:val="19"/>
                <w:szCs w:val="19"/>
              </w:rPr>
              <w:t xml:space="preserve">Start with your local children's and social welfare departments, the national child helpline and any GBV or child protection working group (in humanitarian settings, the sub-clusters publish referral pathways). Call each service and ask what happens to a survivor who comes to them. Note any service that requires a police report before medical care, because this deters survivors. If no safe service exists for a type of support, write that down.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Safeguarding Policy and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3051CA21-0CDF-69E3-D1E2-7520E937C970}"/>
  </w:font>
  <w:font w:name="DM Serif Display">
    <w:family w:val="auto"/>
    <w:pitch w:val="variable"/>
    <w:sig w:usb0="E0002AFF" w:usb1="C000247B" w:usb2="00000009" w:usb3="00000000" w:csb0="000001FF" w:csb1="00000000"/>
    <w:embedRegular r:id="rId2" w:fontKey="{E93C31E7-5016-9677-6395-8C2DD470649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Safeguarding Policy and Procedure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SAFEGUARDING POLICY AND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Safeguarding Policy and Procedure</dc:title>
  <dc:creator>Method into Impact</dc:creator>
  <dc:description>How [[Organisation name]] keeps children, adults at risk and everyone we work with safe from harm, including sexual exploitation, abuse and harassment, and what we do when someone raises a concern.</dc:description>
  <cp:lastModifiedBy>Un-named</cp:lastModifiedBy>
  <cp:revision>1</cp:revision>
  <dcterms:created xsi:type="dcterms:W3CDTF">2026-10-29T00:41:23.559Z</dcterms:created>
  <dcterms:modified xsi:type="dcterms:W3CDTF">2026-10-29T00:41:23.559Z</dcterms:modified>
</cp:coreProperties>
</file>

<file path=docProps/custom.xml><?xml version="1.0" encoding="utf-8"?>
<Properties xmlns="http://schemas.openxmlformats.org/officeDocument/2006/custom-properties" xmlns:vt="http://schemas.openxmlformats.org/officeDocument/2006/docPropsVTypes"/>
</file>