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AGREEMENT TEMPLATE · DATA PROTECTION</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Data Sharing Agreement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An agreement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and another organisation that share personal data, each deciding for itself how it uses that data. It sets out what is shared, why, how it is protected, and what each side does when something goes wrong.</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When you share information about people with another organisation, such as a referral partner, a research institution or a co-funder, both of you are responsible for it. A data sharing agreement shows that the sharing is necessary, lawful and safe, and that people's rights are respected. Regulators, funders and partners increasingly expect one.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Referral and delivery partners; universities and research partners; funders who receive participant data; government agencies; data protection regulators;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plus time to complete Schedule 1 with the other organisation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Data Protection Impact Assessment · Data Rights Request Procedure · Data Breach Response Procedure · IT and Information Security Policy · Records Retention Schedule · Information Sharing Consent Form · Services Agreement · Partnership Memorandum of Understanding</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BEFORE YOU USE THIS AGREEMENT</w:t>
            </w:r>
          </w:p>
          <w:p>
            <w:pPr>
              <w:spacing w:after="120" w:before="0" w:line="300"/>
            </w:pPr>
            <w:r>
              <w:rPr>
                <w:rFonts w:ascii="Nunito Sans" w:cs="Nunito Sans" w:eastAsia="Nunito Sans" w:hAnsi="Nunito Sans"/>
                <w:b/>
                <w:bCs/>
                <w:color w:val="102E3B"/>
                <w:sz w:val="19"/>
                <w:szCs w:val="19"/>
              </w:rPr>
              <w:t xml:space="preserve">Use it</w:t>
            </w:r>
            <w:r>
              <w:rPr>
                <w:rFonts w:ascii="Nunito Sans" w:cs="Nunito Sans" w:eastAsia="Nunito Sans" w:hAnsi="Nunito Sans"/>
                <w:color w:val="102E3B"/>
                <w:sz w:val="19"/>
                <w:szCs w:val="19"/>
              </w:rPr>
              <w:t xml:space="preserve"> when two organisations share personal data and each decides for itself why and how it uses that data (each is an independent "controller"). Examples: referring clients to another service, sharing participant data with a university for research, sharing beneficiary lists with a co-delivery partner, or reporting individual-level data to a funder.</w:t>
            </w:r>
          </w:p>
          <w:p>
            <w:pPr>
              <w:spacing w:after="120" w:before="0" w:line="300"/>
            </w:pPr>
            <w:r>
              <w:rPr>
                <w:rFonts w:ascii="Nunito Sans" w:cs="Nunito Sans" w:eastAsia="Nunito Sans" w:hAnsi="Nunito Sans"/>
                <w:b/>
                <w:bCs/>
                <w:color w:val="102E3B"/>
                <w:sz w:val="19"/>
                <w:szCs w:val="19"/>
              </w:rPr>
              <w:t xml:space="preserve">Use a processor agreement instead</w:t>
            </w:r>
            <w:r>
              <w:rPr>
                <w:rFonts w:ascii="Nunito Sans" w:cs="Nunito Sans" w:eastAsia="Nunito Sans" w:hAnsi="Nunito Sans"/>
                <w:color w:val="102E3B"/>
                <w:sz w:val="19"/>
                <w:szCs w:val="19"/>
              </w:rPr>
              <w:t xml:space="preserve"> when the other organisation only handles the data on your behalf and on your instructions, such as a database host, survey platform, payroll provider or transcription service. The Services Agreement includes processor terms (Schedule 3).</w:t>
            </w:r>
          </w:p>
          <w:p>
            <w:pPr>
              <w:spacing w:after="120" w:before="0" w:line="300"/>
            </w:pPr>
            <w:r>
              <w:rPr>
                <w:rFonts w:ascii="Nunito Sans" w:cs="Nunito Sans" w:eastAsia="Nunito Sans" w:hAnsi="Nunito Sans"/>
                <w:b/>
                <w:bCs/>
                <w:color w:val="102E3B"/>
                <w:sz w:val="19"/>
                <w:szCs w:val="19"/>
              </w:rPr>
              <w:t xml:space="preserve">Use a joint controller arrangement</w:t>
            </w:r>
            <w:r>
              <w:rPr>
                <w:rFonts w:ascii="Nunito Sans" w:cs="Nunito Sans" w:eastAsia="Nunito Sans" w:hAnsi="Nunito Sans"/>
                <w:color w:val="102E3B"/>
                <w:sz w:val="19"/>
                <w:szCs w:val="19"/>
              </w:rPr>
              <w:t xml:space="preserve"> when you decide the purposes and means together, for example a joint research project with a shared database. Under the GDPR (Article 26), joint controllers must set out their respective responsibilities in an arrangement and make its essence available to the people concerned. You can adapt this agreement for that, but take advice.</w:t>
            </w:r>
          </w:p>
          <w:p>
            <w:pPr>
              <w:spacing w:after="120" w:before="0" w:line="300"/>
            </w:pPr>
            <w:r>
              <w:rPr>
                <w:rFonts w:ascii="Nunito Sans" w:cs="Nunito Sans" w:eastAsia="Nunito Sans" w:hAnsi="Nunito Sans"/>
                <w:b/>
                <w:bCs/>
                <w:color w:val="102E3B"/>
                <w:sz w:val="19"/>
                <w:szCs w:val="19"/>
              </w:rPr>
              <w:t xml:space="preserve">First ask:</w:t>
            </w:r>
            <w:r>
              <w:rPr>
                <w:rFonts w:ascii="Nunito Sans" w:cs="Nunito Sans" w:eastAsia="Nunito Sans" w:hAnsi="Nunito Sans"/>
                <w:color w:val="102E3B"/>
                <w:sz w:val="19"/>
                <w:szCs w:val="19"/>
              </w:rPr>
              <w:t xml:space="preserve"> is sharing necessary at all? Could you share anonymised or summary data instead? For sensitive data, data about children, or large-scale sharing, complete a Data Protection Impact Assessment before signing.</w:t>
            </w:r>
          </w:p>
          <w:p>
            <w:pPr>
              <w:spacing w:after="120" w:before="0" w:line="300"/>
            </w:pPr>
            <w:r>
              <w:rPr>
                <w:rFonts w:ascii="Nunito Sans" w:cs="Nunito Sans" w:eastAsia="Nunito Sans" w:hAnsi="Nunito Sans"/>
                <w:b/>
                <w:bCs/>
                <w:color w:val="102E3B"/>
                <w:sz w:val="19"/>
                <w:szCs w:val="19"/>
              </w:rPr>
              <w:t xml:space="preserve">Local law:</w:t>
            </w:r>
            <w:r>
              <w:rPr>
                <w:rFonts w:ascii="Nunito Sans" w:cs="Nunito Sans" w:eastAsia="Nunito Sans" w:hAnsi="Nunito Sans"/>
                <w:color w:val="102E3B"/>
                <w:sz w:val="19"/>
                <w:szCs w:val="19"/>
              </w:rPr>
              <w:t xml:space="preserve"> this template uses GDPR principles as a widely recognised benchmark. Apply your own law, for example the Kenya Data Protection Act 2019, Nigeria Data Protection Act 2023, South Africa's Protection of Personal Information Act (POPIA), Brazil's LGPD, India's Digital Personal Data Protection Act 2023, Indonesia's Law 27 of 2022, Argentina's Law 25.326 or Peru's Law 29733. Some countries also require registration with the regulator before processing or sharing.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 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PARTY B</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[Full legal name]</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registered NGO]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number </w:t>
            </w:r>
            <w:r>
              <w:rPr>
                <w:rFonts w:ascii="Nunito Sans" w:cs="Nunito Sans" w:eastAsia="Nunito Sans" w:hAnsi="Nunito Sans"/>
                <w:color w:val="102E3B"/>
                <w:sz w:val="18"/>
                <w:szCs w:val="18"/>
                <w:highlight w:val="yellow"/>
              </w:rPr>
              <w:t xml:space="preserve">[number]</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Legal form and registration: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[e.g. university / foundation]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[country]</w:t>
            </w:r>
            <w:r>
              <w:rPr>
                <w:rFonts w:ascii="Nunito Sans" w:cs="Nunito Sans" w:eastAsia="Nunito Sans" w:hAnsi="Nunito Sans"/>
                <w:color w:val="102E3B"/>
                <w:sz w:val="18"/>
                <w:szCs w:val="18"/>
              </w:rPr>
              <w:t xml:space="preserve">, number </w:t>
            </w:r>
            <w:r>
              <w:rPr>
                <w:rFonts w:ascii="Nunito Sans" w:cs="Nunito Sans" w:eastAsia="Nunito Sans" w:hAnsi="Nunito Sans"/>
                <w:color w:val="102E3B"/>
                <w:sz w:val="18"/>
                <w:szCs w:val="18"/>
                <w:highlight w:val="yellow"/>
              </w:rPr>
              <w:t xml:space="preserve">[number]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Address:</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[Registered address]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Data protection contact: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 phone]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Data protection contact: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 email, phone]</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Regulator registration (if any):</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[Number]</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Regulator registration (if any):</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[Number]</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Signing for it:</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[Name, role]</w:t>
            </w:r>
          </w:p>
        </w:tc>
      </w:tr>
    </w:tbl>
    <w:p>
      <w:pPr>
        <w:spacing w:after="120"/>
      </w:pPr>
    </w:p>
    <w:p>
      <w:pPr>
        <w:spacing w:after="120" w:before="0" w:line="300"/>
      </w:pPr>
      <w:r>
        <w:rPr>
          <w:rFonts w:ascii="Nunito Sans" w:cs="Nunito Sans" w:eastAsia="Nunito Sans" w:hAnsi="Nunito Sans"/>
          <w:color w:val="102E3B"/>
          <w:sz w:val="20"/>
          <w:szCs w:val="20"/>
        </w:rPr>
        <w:t xml:space="preserve">The party sharing data is the </w:t>
      </w:r>
      <w:r>
        <w:rPr>
          <w:rFonts w:ascii="Nunito Sans" w:cs="Nunito Sans" w:eastAsia="Nunito Sans" w:hAnsi="Nunito Sans"/>
          <w:b/>
          <w:bCs/>
          <w:color w:val="102E3B"/>
          <w:sz w:val="20"/>
          <w:szCs w:val="20"/>
        </w:rPr>
        <w:t xml:space="preserve">Discloser</w:t>
      </w:r>
      <w:r>
        <w:rPr>
          <w:rFonts w:ascii="Nunito Sans" w:cs="Nunito Sans" w:eastAsia="Nunito Sans" w:hAnsi="Nunito Sans"/>
          <w:color w:val="102E3B"/>
          <w:sz w:val="20"/>
          <w:szCs w:val="20"/>
        </w:rPr>
        <w:t xml:space="preserve"> and the party receiving it is the </w:t>
      </w:r>
      <w:r>
        <w:rPr>
          <w:rFonts w:ascii="Nunito Sans" w:cs="Nunito Sans" w:eastAsia="Nunito Sans" w:hAnsi="Nunito Sans"/>
          <w:b/>
          <w:bCs/>
          <w:color w:val="102E3B"/>
          <w:sz w:val="20"/>
          <w:szCs w:val="20"/>
        </w:rPr>
        <w:t xml:space="preserve">Recipient</w:t>
      </w:r>
      <w:r>
        <w:rPr>
          <w:rFonts w:ascii="Nunito Sans" w:cs="Nunito Sans" w:eastAsia="Nunito Sans" w:hAnsi="Nunito Sans"/>
          <w:color w:val="102E3B"/>
          <w:sz w:val="20"/>
          <w:szCs w:val="20"/>
        </w:rPr>
        <w:t xml:space="preserve">. Where data flows both ways, each party is both.</w:t>
      </w:r>
    </w:p>
    <w:p>
      <w:pPr>
        <w:pStyle w:val="Heading1"/>
        <w:keepNext/>
        <w:spacing w:after="160" w:before="360"/>
      </w:pPr>
      <w:r>
        <w:rPr>
          <w:rFonts w:ascii="DM Serif Display" w:cs="DM Serif Display" w:eastAsia="DM Serif Display" w:hAnsi="DM Serif Display"/>
          <w:color w:val="123C48"/>
          <w:sz w:val="40"/>
          <w:szCs w:val="40"/>
        </w:rPr>
        <w:t xml:space="preserve">Background</w:t>
      </w:r>
    </w:p>
    <w:p>
      <w:pPr>
        <w:pStyle w:val="ListParagraph"/>
        <w:numPr>
          <w:ilvl w:val="0"/>
          <w:numId w:val="3"/>
        </w:numPr>
        <w:spacing w:after="80" w:line="290"/>
      </w:pPr>
      <w:r>
        <w:rPr>
          <w:rFonts w:ascii="Nunito Sans" w:cs="Nunito Sans" w:eastAsia="Nunito Sans" w:hAnsi="Nunito Sans"/>
          <w:color w:val="102E3B"/>
          <w:sz w:val="20"/>
          <w:szCs w:val="20"/>
        </w:rPr>
        <w:t xml:space="preserve">The parties work together on </w:t>
      </w:r>
      <w:r>
        <w:rPr>
          <w:rFonts w:ascii="Nunito Sans" w:cs="Nunito Sans" w:eastAsia="Nunito Sans" w:hAnsi="Nunito Sans"/>
          <w:color w:val="102E3B"/>
          <w:sz w:val="20"/>
          <w:szCs w:val="20"/>
          <w:highlight w:val="yellow"/>
        </w:rPr>
        <w:t xml:space="preserve">[e.g. a referral pathway for survivors of gender-based violence in X / a study of graduation outcomes for programme participants]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For that work, they need to share the personal data described in Schedule 1. They agree to share it only as this agreement allows.</w:t>
      </w:r>
    </w:p>
    <w:p>
      <w:pPr>
        <w:pStyle w:val="Heading1"/>
        <w:keepNext/>
        <w:spacing w:after="160" w:before="360"/>
      </w:pPr>
      <w:r>
        <w:rPr>
          <w:rFonts w:ascii="DM Serif Display" w:cs="DM Serif Display" w:eastAsia="DM Serif Display" w:hAnsi="DM Serif Display"/>
          <w:color w:val="123C48"/>
          <w:sz w:val="40"/>
          <w:szCs w:val="40"/>
        </w:rPr>
        <w:t xml:space="preserve">Agreed terms</w:t>
      </w:r>
    </w:p>
    <w:p>
      <w:pPr>
        <w:pStyle w:val="Heading2"/>
        <w:keepNext/>
        <w:spacing w:after="120" w:before="280"/>
      </w:pPr>
      <w:r>
        <w:rPr>
          <w:rFonts w:ascii="DM Serif Display" w:cs="DM Serif Display" w:eastAsia="DM Serif Display" w:hAnsi="DM Serif Display"/>
          <w:color w:val="123C48"/>
          <w:sz w:val="28"/>
          <w:szCs w:val="28"/>
        </w:rPr>
        <w:t xml:space="preserve">1. Definitions</w:t>
      </w:r>
    </w:p>
    <w:p>
      <w:pPr>
        <w:pStyle w:val="ListParagraph"/>
        <w:numPr>
          <w:ilvl w:val="0"/>
          <w:numId w:val="4"/>
        </w:numPr>
        <w:spacing w:after="80" w:line="290"/>
      </w:pPr>
      <w:r>
        <w:rPr>
          <w:rFonts w:ascii="Nunito Sans" w:cs="Nunito Sans" w:eastAsia="Nunito Sans" w:hAnsi="Nunito Sans"/>
          <w:color w:val="102E3B"/>
          <w:sz w:val="20"/>
          <w:szCs w:val="20"/>
        </w:rPr>
        <w:t xml:space="preserve">In this agreement:</w:t>
      </w:r>
    </w:p>
    <w:p>
      <w:pPr>
        <w:pStyle w:val="ListParagraph"/>
        <w:numPr>
          <w:ilvl w:val="1"/>
          <w:numId w:val="4"/>
        </w:numPr>
        <w:spacing w:after="80" w:line="290"/>
      </w:pPr>
      <w:r>
        <w:rPr>
          <w:rFonts w:ascii="Nunito Sans" w:cs="Nunito Sans" w:eastAsia="Nunito Sans" w:hAnsi="Nunito Sans"/>
          <w:b/>
          <w:bCs/>
          <w:color w:val="102E3B"/>
          <w:sz w:val="20"/>
          <w:szCs w:val="20"/>
        </w:rPr>
        <w:t xml:space="preserve">Business Day</w:t>
      </w:r>
      <w:r>
        <w:rPr>
          <w:rFonts w:ascii="Nunito Sans" w:cs="Nunito Sans" w:eastAsia="Nunito Sans" w:hAnsi="Nunito Sans"/>
          <w:color w:val="102E3B"/>
          <w:sz w:val="20"/>
          <w:szCs w:val="20"/>
        </w:rPr>
        <w:t xml:space="preserve"> means a day other than a weekend or public holiday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Controller</w:t>
      </w:r>
      <w:r>
        <w:rPr>
          <w:rFonts w:ascii="Nunito Sans" w:cs="Nunito Sans" w:eastAsia="Nunito Sans" w:hAnsi="Nunito Sans"/>
          <w:color w:val="102E3B"/>
          <w:sz w:val="20"/>
          <w:szCs w:val="20"/>
        </w:rPr>
        <w:t xml:space="preserve"> means an organisation that decides why and how personal data is used. </w:t>
      </w:r>
      <w:r>
        <w:rPr>
          <w:rFonts w:ascii="Nunito Sans" w:cs="Nunito Sans" w:eastAsia="Nunito Sans" w:hAnsi="Nunito Sans"/>
          <w:b/>
          <w:bCs/>
          <w:color w:val="102E3B"/>
          <w:sz w:val="20"/>
          <w:szCs w:val="20"/>
        </w:rPr>
        <w:t xml:space="preserve">Processor</w:t>
      </w:r>
      <w:r>
        <w:rPr>
          <w:rFonts w:ascii="Nunito Sans" w:cs="Nunito Sans" w:eastAsia="Nunito Sans" w:hAnsi="Nunito Sans"/>
          <w:color w:val="102E3B"/>
          <w:sz w:val="20"/>
          <w:szCs w:val="20"/>
        </w:rPr>
        <w:t xml:space="preserve"> means an organisation that uses personal data only on a controller's behalf and instructions.</w:t>
      </w:r>
    </w:p>
    <w:p>
      <w:pPr>
        <w:pStyle w:val="ListParagraph"/>
        <w:numPr>
          <w:ilvl w:val="1"/>
          <w:numId w:val="4"/>
        </w:numPr>
        <w:spacing w:after="80" w:line="290"/>
      </w:pPr>
      <w:r>
        <w:rPr>
          <w:rFonts w:ascii="Nunito Sans" w:cs="Nunito Sans" w:eastAsia="Nunito Sans" w:hAnsi="Nunito Sans"/>
          <w:b/>
          <w:bCs/>
          <w:color w:val="102E3B"/>
          <w:sz w:val="20"/>
          <w:szCs w:val="20"/>
        </w:rPr>
        <w:t xml:space="preserve">Data Protection Law</w:t>
      </w:r>
      <w:r>
        <w:rPr>
          <w:rFonts w:ascii="Nunito Sans" w:cs="Nunito Sans" w:eastAsia="Nunito Sans" w:hAnsi="Nunito Sans"/>
          <w:color w:val="102E3B"/>
          <w:sz w:val="20"/>
          <w:szCs w:val="20"/>
        </w:rPr>
        <w:t xml:space="preserve"> means all laws on personal data that apply to either party, including </w:t>
      </w:r>
      <w:r>
        <w:rPr>
          <w:rFonts w:ascii="Nunito Sans" w:cs="Nunito Sans" w:eastAsia="Nunito Sans" w:hAnsi="Nunito Sans"/>
          <w:color w:val="102E3B"/>
          <w:sz w:val="20"/>
          <w:szCs w:val="20"/>
          <w:highlight w:val="yellow"/>
        </w:rPr>
        <w:t xml:space="preserve">[name of law(s)]</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Data Subject</w:t>
      </w:r>
      <w:r>
        <w:rPr>
          <w:rFonts w:ascii="Nunito Sans" w:cs="Nunito Sans" w:eastAsia="Nunito Sans" w:hAnsi="Nunito Sans"/>
          <w:color w:val="102E3B"/>
          <w:sz w:val="20"/>
          <w:szCs w:val="20"/>
        </w:rPr>
        <w:t xml:space="preserve"> means the living person the Shared Data is about.</w:t>
      </w:r>
    </w:p>
    <w:p>
      <w:pPr>
        <w:pStyle w:val="ListParagraph"/>
        <w:numPr>
          <w:ilvl w:val="1"/>
          <w:numId w:val="4"/>
        </w:numPr>
        <w:spacing w:after="80" w:line="290"/>
      </w:pPr>
      <w:r>
        <w:rPr>
          <w:rFonts w:ascii="Nunito Sans" w:cs="Nunito Sans" w:eastAsia="Nunito Sans" w:hAnsi="Nunito Sans"/>
          <w:b/>
          <w:bCs/>
          <w:color w:val="102E3B"/>
          <w:sz w:val="20"/>
          <w:szCs w:val="20"/>
        </w:rPr>
        <w:t xml:space="preserve">Personal Data</w:t>
      </w:r>
      <w:r>
        <w:rPr>
          <w:rFonts w:ascii="Nunito Sans" w:cs="Nunito Sans" w:eastAsia="Nunito Sans" w:hAnsi="Nunito Sans"/>
          <w:color w:val="102E3B"/>
          <w:sz w:val="20"/>
          <w:szCs w:val="20"/>
        </w:rPr>
        <w:t xml:space="preserve"> means information about an identified or identifiable living person.</w:t>
      </w:r>
    </w:p>
    <w:p>
      <w:pPr>
        <w:pStyle w:val="ListParagraph"/>
        <w:numPr>
          <w:ilvl w:val="1"/>
          <w:numId w:val="4"/>
        </w:numPr>
        <w:spacing w:after="80" w:line="290"/>
      </w:pPr>
      <w:r>
        <w:rPr>
          <w:rFonts w:ascii="Nunito Sans" w:cs="Nunito Sans" w:eastAsia="Nunito Sans" w:hAnsi="Nunito Sans"/>
          <w:b/>
          <w:bCs/>
          <w:color w:val="102E3B"/>
          <w:sz w:val="20"/>
          <w:szCs w:val="20"/>
        </w:rPr>
        <w:t xml:space="preserve">Personal Data Breach</w:t>
      </w:r>
      <w:r>
        <w:rPr>
          <w:rFonts w:ascii="Nunito Sans" w:cs="Nunito Sans" w:eastAsia="Nunito Sans" w:hAnsi="Nunito Sans"/>
          <w:color w:val="102E3B"/>
          <w:sz w:val="20"/>
          <w:szCs w:val="20"/>
        </w:rPr>
        <w:t xml:space="preserve"> means a breach of security leading to the accidental or unlawful loss, destruction, change, disclosure of, or access to, Shared Data.</w:t>
      </w:r>
    </w:p>
    <w:p>
      <w:pPr>
        <w:pStyle w:val="ListParagraph"/>
        <w:numPr>
          <w:ilvl w:val="1"/>
          <w:numId w:val="4"/>
        </w:numPr>
        <w:spacing w:after="80" w:line="290"/>
      </w:pPr>
      <w:r>
        <w:rPr>
          <w:rFonts w:ascii="Nunito Sans" w:cs="Nunito Sans" w:eastAsia="Nunito Sans" w:hAnsi="Nunito Sans"/>
          <w:b/>
          <w:bCs/>
          <w:color w:val="102E3B"/>
          <w:sz w:val="20"/>
          <w:szCs w:val="20"/>
        </w:rPr>
        <w:t xml:space="preserve">Purpose</w:t>
      </w:r>
      <w:r>
        <w:rPr>
          <w:rFonts w:ascii="Nunito Sans" w:cs="Nunito Sans" w:eastAsia="Nunito Sans" w:hAnsi="Nunito Sans"/>
          <w:color w:val="102E3B"/>
          <w:sz w:val="20"/>
          <w:szCs w:val="20"/>
        </w:rPr>
        <w:t xml:space="preserve"> means the purpose described in Schedule 1.</w:t>
      </w:r>
    </w:p>
    <w:p>
      <w:pPr>
        <w:pStyle w:val="ListParagraph"/>
        <w:numPr>
          <w:ilvl w:val="1"/>
          <w:numId w:val="4"/>
        </w:numPr>
        <w:spacing w:after="80" w:line="290"/>
      </w:pPr>
      <w:r>
        <w:rPr>
          <w:rFonts w:ascii="Nunito Sans" w:cs="Nunito Sans" w:eastAsia="Nunito Sans" w:hAnsi="Nunito Sans"/>
          <w:b/>
          <w:bCs/>
          <w:color w:val="102E3B"/>
          <w:sz w:val="20"/>
          <w:szCs w:val="20"/>
        </w:rPr>
        <w:t xml:space="preserve">Shared Data</w:t>
      </w:r>
      <w:r>
        <w:rPr>
          <w:rFonts w:ascii="Nunito Sans" w:cs="Nunito Sans" w:eastAsia="Nunito Sans" w:hAnsi="Nunito Sans"/>
          <w:color w:val="102E3B"/>
          <w:sz w:val="20"/>
          <w:szCs w:val="20"/>
        </w:rPr>
        <w:t xml:space="preserve"> means the Personal Data described in Schedule 1 that one party shares with the other under this agreement.</w:t>
      </w:r>
    </w:p>
    <w:p>
      <w:pPr>
        <w:pStyle w:val="ListParagraph"/>
        <w:numPr>
          <w:ilvl w:val="1"/>
          <w:numId w:val="4"/>
        </w:numPr>
        <w:spacing w:after="80" w:line="290"/>
      </w:pPr>
      <w:r>
        <w:rPr>
          <w:rFonts w:ascii="Nunito Sans" w:cs="Nunito Sans" w:eastAsia="Nunito Sans" w:hAnsi="Nunito Sans"/>
          <w:b/>
          <w:bCs/>
          <w:color w:val="102E3B"/>
          <w:sz w:val="20"/>
          <w:szCs w:val="20"/>
        </w:rPr>
        <w:t xml:space="preserve">Special Category Data</w:t>
      </w:r>
      <w:r>
        <w:rPr>
          <w:rFonts w:ascii="Nunito Sans" w:cs="Nunito Sans" w:eastAsia="Nunito Sans" w:hAnsi="Nunito Sans"/>
          <w:color w:val="102E3B"/>
          <w:sz w:val="20"/>
          <w:szCs w:val="20"/>
        </w:rPr>
        <w:t xml:space="preserve"> means data revealing racial or ethnic origin, political opinions, religious or philosophical beliefs or trade union membership; genetic or biometric data used to identify someone; and data about health, sex life or sexual orientation. In this agreement it also includes data about criminal offences </w:t>
      </w:r>
      <w:r>
        <w:rPr>
          <w:rFonts w:ascii="Nunito Sans" w:cs="Nunito Sans" w:eastAsia="Nunito Sans" w:hAnsi="Nunito Sans"/>
          <w:color w:val="102E3B"/>
          <w:sz w:val="20"/>
          <w:szCs w:val="20"/>
          <w:highlight w:val="yellow"/>
        </w:rPr>
        <w:t xml:space="preserve">[and other data treated as sensitive under Data Protection Law]</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"Clause 5.2" means paragraph 2 of clause 5. The schedules form part of this agreement.</w:t>
      </w:r>
    </w:p>
    <w:p>
      <w:pPr>
        <w:pStyle w:val="Heading2"/>
        <w:keepNext/>
        <w:spacing w:after="120" w:before="280"/>
      </w:pPr>
      <w:r>
        <w:rPr>
          <w:rFonts w:ascii="DM Serif Display" w:cs="DM Serif Display" w:eastAsia="DM Serif Display" w:hAnsi="DM Serif Display"/>
          <w:color w:val="123C48"/>
          <w:sz w:val="28"/>
          <w:szCs w:val="28"/>
        </w:rPr>
        <w:t xml:space="preserve">2. Purpose and roles</w:t>
      </w:r>
    </w:p>
    <w:p>
      <w:pPr>
        <w:pStyle w:val="ListParagraph"/>
        <w:numPr>
          <w:ilvl w:val="0"/>
          <w:numId w:val="5"/>
        </w:numPr>
        <w:spacing w:after="80" w:line="290"/>
      </w:pPr>
      <w:r>
        <w:rPr>
          <w:rFonts w:ascii="Nunito Sans" w:cs="Nunito Sans" w:eastAsia="Nunito Sans" w:hAnsi="Nunito Sans"/>
          <w:color w:val="102E3B"/>
          <w:sz w:val="20"/>
          <w:szCs w:val="20"/>
        </w:rPr>
        <w:t xml:space="preserve">The parties will share Shared Data only for the Purpose.</w:t>
      </w:r>
    </w:p>
    <w:p>
      <w:pPr>
        <w:pStyle w:val="ListParagraph"/>
        <w:numPr>
          <w:ilvl w:val="0"/>
          <w:numId w:val="5"/>
        </w:numPr>
        <w:spacing w:after="80" w:line="290"/>
      </w:pPr>
      <w:r>
        <w:rPr>
          <w:rFonts w:ascii="Nunito Sans" w:cs="Nunito Sans" w:eastAsia="Nunito Sans" w:hAnsi="Nunito Sans"/>
          <w:color w:val="102E3B"/>
          <w:sz w:val="20"/>
          <w:szCs w:val="20"/>
        </w:rPr>
        <w:t xml:space="preserve">Each party is an independent Controller of the Shared Data it holds. Each is responsible for its own compliance with Data Protection Law. The parties are not joint Controllers, and neither is the other's Processor.</w:t>
      </w:r>
    </w:p>
    <w:p>
      <w:pPr>
        <w:pStyle w:val="ListParagraph"/>
        <w:numPr>
          <w:ilvl w:val="0"/>
          <w:numId w:val="5"/>
        </w:numPr>
        <w:spacing w:after="80" w:line="290"/>
      </w:pPr>
      <w:r>
        <w:rPr>
          <w:rFonts w:ascii="Nunito Sans" w:cs="Nunito Sans" w:eastAsia="Nunito Sans" w:hAnsi="Nunito Sans"/>
          <w:color w:val="102E3B"/>
          <w:sz w:val="20"/>
          <w:szCs w:val="20"/>
        </w:rPr>
        <w:t xml:space="preserve">Each party will name a data protection contact in the Parties table, who is responsible for this agreement and for working with the other party.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CHECKING THE ROLES</w:t>
            </w:r>
          </w:p>
          <w:p>
            <w:pPr>
              <w:spacing w:after="120" w:before="0" w:line="300"/>
            </w:pPr>
            <w:r>
              <w:rPr>
                <w:rFonts w:ascii="Nunito Sans" w:cs="Nunito Sans" w:eastAsia="Nunito Sans" w:hAnsi="Nunito Sans"/>
                <w:color w:val="102E3B"/>
                <w:sz w:val="19"/>
                <w:szCs w:val="19"/>
              </w:rPr>
              <w:t xml:space="preserve">Test the roles against the facts, not the label. If one party tells the other exactly what to do with the data and the other has no say, that party is probably a processor, and you need processor terms. If you design the data collection and decide its uses together, you may be joint controllers. A party can be a controller for some data and a processor for other data. If you are unsure, record your reasoning and take advice: regulators look at what actually happens.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Lawful basis and transparency</w:t>
      </w:r>
    </w:p>
    <w:p>
      <w:pPr>
        <w:pStyle w:val="ListParagraph"/>
        <w:numPr>
          <w:ilvl w:val="0"/>
          <w:numId w:val="6"/>
        </w:numPr>
        <w:spacing w:after="80" w:line="290"/>
      </w:pPr>
      <w:r>
        <w:rPr>
          <w:rFonts w:ascii="Nunito Sans" w:cs="Nunito Sans" w:eastAsia="Nunito Sans" w:hAnsi="Nunito Sans"/>
          <w:color w:val="102E3B"/>
          <w:sz w:val="20"/>
          <w:szCs w:val="20"/>
        </w:rPr>
        <w:t xml:space="preserve">Each party will have a lawful basis under Data Protection Law for its own use of the Shared Data, and an additional condition for any Special Category Data. Schedule 1 records the basis each party relies on.</w:t>
      </w:r>
    </w:p>
    <w:p>
      <w:pPr>
        <w:pStyle w:val="ListParagraph"/>
        <w:numPr>
          <w:ilvl w:val="0"/>
          <w:numId w:val="6"/>
        </w:numPr>
        <w:spacing w:after="80" w:line="290"/>
      </w:pPr>
      <w:r>
        <w:rPr>
          <w:rFonts w:ascii="Nunito Sans" w:cs="Nunito Sans" w:eastAsia="Nunito Sans" w:hAnsi="Nunito Sans"/>
          <w:color w:val="102E3B"/>
          <w:sz w:val="20"/>
          <w:szCs w:val="20"/>
        </w:rPr>
        <w:t xml:space="preserve">Before sharing, the Discloser will make sure that the Data Subjects have been told, in clear language they understand, that their data will be shared with the Recipient and why, for example through its Privacy Notice or a consent form.</w:t>
      </w:r>
    </w:p>
    <w:p>
      <w:pPr>
        <w:pStyle w:val="ListParagraph"/>
        <w:numPr>
          <w:ilvl w:val="0"/>
          <w:numId w:val="6"/>
        </w:numPr>
        <w:spacing w:after="80" w:line="290"/>
      </w:pPr>
      <w:r>
        <w:rPr>
          <w:rFonts w:ascii="Nunito Sans" w:cs="Nunito Sans" w:eastAsia="Nunito Sans" w:hAnsi="Nunito Sans"/>
          <w:color w:val="102E3B"/>
          <w:sz w:val="20"/>
          <w:szCs w:val="20"/>
        </w:rPr>
        <w:t xml:space="preserve">The Recipient will give Data Subjects any information about its own use of the data that Data Protection Law requires, unless an exemption applies.</w:t>
      </w:r>
    </w:p>
    <w:p>
      <w:pPr>
        <w:pStyle w:val="ListParagraph"/>
        <w:numPr>
          <w:ilvl w:val="0"/>
          <w:numId w:val="6"/>
        </w:numPr>
        <w:spacing w:after="80" w:line="290"/>
      </w:pPr>
      <w:r>
        <w:rPr>
          <w:rFonts w:ascii="Nunito Sans" w:cs="Nunito Sans" w:eastAsia="Nunito Sans" w:hAnsi="Nunito Sans"/>
          <w:color w:val="102E3B"/>
          <w:sz w:val="20"/>
          <w:szCs w:val="20"/>
        </w:rPr>
        <w:t xml:space="preserve">Where a party relies on consent, it will keep a record of the consent. If a Data Subject withdraws consent, the party that received the withdrawal will tell the other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and both will stop using the data on that basis.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A LAWFUL BASIS</w:t>
            </w:r>
          </w:p>
          <w:p>
            <w:pPr>
              <w:spacing w:after="120" w:before="0" w:line="300"/>
            </w:pPr>
            <w:r>
              <w:rPr>
                <w:rFonts w:ascii="Nunito Sans" w:cs="Nunito Sans" w:eastAsia="Nunito Sans" w:hAnsi="Nunito Sans"/>
                <w:color w:val="102E3B"/>
                <w:sz w:val="19"/>
                <w:szCs w:val="19"/>
              </w:rPr>
              <w:t xml:space="preserve">Common bases are consent, a legal obligation, performing a contract with the person, protecting someone's vital interests (in emergencies), a task in the public interest, and legitimate interests. Consent is not always the best basis: it must be freely given, and people who depend on your services may not feel free to refuse. Where you do use consent, use the Information Sharing Consent Form. For Special Category Data, Data Protection Law sets extra conditions, such as explicit consent.</w:t>
            </w:r>
          </w:p>
          <w:p>
            <w:pPr>
              <w:spacing w:after="120" w:before="0" w:line="300"/>
            </w:pPr>
            <w:r>
              <w:rPr>
                <w:rFonts w:ascii="Nunito Sans" w:cs="Nunito Sans" w:eastAsia="Nunito Sans" w:hAnsi="Nunito Sans"/>
                <w:b/>
                <w:bCs/>
                <w:color w:val="102E3B"/>
                <w:sz w:val="19"/>
                <w:szCs w:val="19"/>
              </w:rPr>
              <w:t xml:space="preserve">Children:</w:t>
            </w:r>
            <w:r>
              <w:rPr>
                <w:rFonts w:ascii="Nunito Sans" w:cs="Nunito Sans" w:eastAsia="Nunito Sans" w:hAnsi="Nunito Sans"/>
                <w:color w:val="102E3B"/>
                <w:sz w:val="19"/>
                <w:szCs w:val="19"/>
              </w:rPr>
              <w:t xml:space="preserve"> sharing children's data needs particular care. Check the age at which a child can consent under your law, and involve parents or guardians where required, unless that would put the child at risk. </w:t>
            </w:r>
            <w:r>
              <w:rPr>
                <w:rFonts w:ascii="Nunito Sans" w:cs="Nunito Sans" w:eastAsia="Nunito Sans" w:hAnsi="Nunito Sans"/>
                <w:b/>
                <w:bCs/>
                <w:color w:val="102E3B"/>
                <w:sz w:val="19"/>
                <w:szCs w:val="19"/>
              </w:rPr>
              <w:t xml:space="preserve">Country notes:</w:t>
            </w:r>
            <w:r>
              <w:rPr>
                <w:rFonts w:ascii="Nunito Sans" w:cs="Nunito Sans" w:eastAsia="Nunito Sans" w:hAnsi="Nunito Sans"/>
                <w:color w:val="102E3B"/>
                <w:sz w:val="19"/>
                <w:szCs w:val="19"/>
              </w:rPr>
              <w:t xml:space="preserve"> the lawful bases and the conditions for sensitive data differ between laws, for example between the GDPR, Kenya's Data Protection Act 2019 and India's DPDP Act 2023. Check your local law.</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Data minimisation and accuracy</w:t>
      </w:r>
    </w:p>
    <w:p>
      <w:pPr>
        <w:pStyle w:val="ListParagraph"/>
        <w:numPr>
          <w:ilvl w:val="0"/>
          <w:numId w:val="7"/>
        </w:numPr>
        <w:spacing w:after="80" w:line="290"/>
      </w:pPr>
      <w:r>
        <w:rPr>
          <w:rFonts w:ascii="Nunito Sans" w:cs="Nunito Sans" w:eastAsia="Nunito Sans" w:hAnsi="Nunito Sans"/>
          <w:color w:val="102E3B"/>
          <w:sz w:val="20"/>
          <w:szCs w:val="20"/>
        </w:rPr>
        <w:t xml:space="preserve">The Discloser will share only the Shared Data listed in Schedule 1, and only what the Recipient needs for the Purpose.</w:t>
      </w:r>
    </w:p>
    <w:p>
      <w:pPr>
        <w:pStyle w:val="ListParagraph"/>
        <w:numPr>
          <w:ilvl w:val="0"/>
          <w:numId w:val="7"/>
        </w:numPr>
        <w:spacing w:after="80" w:line="290"/>
      </w:pPr>
      <w:r>
        <w:rPr>
          <w:rFonts w:ascii="Nunito Sans" w:cs="Nunito Sans" w:eastAsia="Nunito Sans" w:hAnsi="Nunito Sans"/>
          <w:color w:val="102E3B"/>
          <w:sz w:val="20"/>
          <w:szCs w:val="20"/>
        </w:rPr>
        <w:t xml:space="preserve">Where the Purpose allows, the parties will share pseudonymised data, with names and direct identifiers replaced by a code, and keep the key separately.</w:t>
      </w:r>
    </w:p>
    <w:p>
      <w:pPr>
        <w:pStyle w:val="ListParagraph"/>
        <w:numPr>
          <w:ilvl w:val="0"/>
          <w:numId w:val="7"/>
        </w:numPr>
        <w:spacing w:after="80" w:line="290"/>
      </w:pPr>
      <w:r>
        <w:rPr>
          <w:rFonts w:ascii="Nunito Sans" w:cs="Nunito Sans" w:eastAsia="Nunito Sans" w:hAnsi="Nunito Sans"/>
          <w:color w:val="102E3B"/>
          <w:sz w:val="20"/>
          <w:szCs w:val="20"/>
        </w:rPr>
        <w:t xml:space="preserve">Each party will take reasonable steps to keep the Shared Data accurate and up to date. If a party finds that Shared Data is inaccurate, it will tell the other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w:t>
      </w:r>
    </w:p>
    <w:p>
      <w:pPr>
        <w:pStyle w:val="Heading2"/>
        <w:keepNext/>
        <w:spacing w:after="120" w:before="280"/>
      </w:pPr>
      <w:r>
        <w:rPr>
          <w:rFonts w:ascii="DM Serif Display" w:cs="DM Serif Display" w:eastAsia="DM Serif Display" w:hAnsi="DM Serif Display"/>
          <w:color w:val="123C48"/>
          <w:sz w:val="28"/>
          <w:szCs w:val="28"/>
        </w:rPr>
        <w:t xml:space="preserve">5. Use of the Shared Data</w:t>
      </w:r>
    </w:p>
    <w:p>
      <w:pPr>
        <w:pStyle w:val="ListParagraph"/>
        <w:numPr>
          <w:ilvl w:val="0"/>
          <w:numId w:val="8"/>
        </w:numPr>
        <w:spacing w:after="80" w:line="290"/>
      </w:pPr>
      <w:r>
        <w:rPr>
          <w:rFonts w:ascii="Nunito Sans" w:cs="Nunito Sans" w:eastAsia="Nunito Sans" w:hAnsi="Nunito Sans"/>
          <w:color w:val="102E3B"/>
          <w:sz w:val="20"/>
          <w:szCs w:val="20"/>
        </w:rPr>
        <w:t xml:space="preserve">The Recipient will use the Shared Data only for the Purpose, or for another purpose that Data Protection Law allows and that the Discloser has agreed in writing.</w:t>
      </w:r>
    </w:p>
    <w:p>
      <w:pPr>
        <w:pStyle w:val="ListParagraph"/>
        <w:numPr>
          <w:ilvl w:val="0"/>
          <w:numId w:val="8"/>
        </w:numPr>
        <w:spacing w:after="80" w:line="290"/>
      </w:pPr>
      <w:r>
        <w:rPr>
          <w:rFonts w:ascii="Nunito Sans" w:cs="Nunito Sans" w:eastAsia="Nunito Sans" w:hAnsi="Nunito Sans"/>
          <w:color w:val="102E3B"/>
          <w:sz w:val="20"/>
          <w:szCs w:val="20"/>
        </w:rPr>
        <w:t xml:space="preserve">The Recipient will not use the Shared Data for fundraising, marketing or selling, and will not sell or rent it to anyone.</w:t>
      </w:r>
    </w:p>
    <w:p>
      <w:pPr>
        <w:pStyle w:val="ListParagraph"/>
        <w:numPr>
          <w:ilvl w:val="0"/>
          <w:numId w:val="8"/>
        </w:numPr>
        <w:spacing w:after="80" w:line="290"/>
      </w:pPr>
      <w:r>
        <w:rPr>
          <w:rFonts w:ascii="Nunito Sans" w:cs="Nunito Sans" w:eastAsia="Nunito Sans" w:hAnsi="Nunito Sans"/>
          <w:color w:val="102E3B"/>
          <w:sz w:val="20"/>
          <w:szCs w:val="20"/>
        </w:rPr>
        <w:t xml:space="preserve">The Recipient will not try to re-identify any person from anonymised or pseudonymised data, unless the Purpose requires it and the Discloser agrees in writing.</w:t>
      </w:r>
    </w:p>
    <w:p>
      <w:pPr>
        <w:pStyle w:val="ListParagraph"/>
        <w:numPr>
          <w:ilvl w:val="0"/>
          <w:numId w:val="8"/>
        </w:numPr>
        <w:spacing w:after="80" w:line="290"/>
      </w:pPr>
      <w:r>
        <w:rPr>
          <w:rFonts w:ascii="Nunito Sans" w:cs="Nunito Sans" w:eastAsia="Nunito Sans" w:hAnsi="Nunito Sans"/>
          <w:color w:val="102E3B"/>
          <w:sz w:val="20"/>
          <w:szCs w:val="20"/>
        </w:rPr>
        <w:t xml:space="preserve">The Recipient will not make decisions about Data Subjects based only on automated processing, including through artificial intelligence (AI) tools, that significantly affect them.</w:t>
      </w:r>
    </w:p>
    <w:p>
      <w:pPr>
        <w:pStyle w:val="Heading2"/>
        <w:keepNext/>
        <w:spacing w:after="120" w:before="280"/>
      </w:pPr>
      <w:r>
        <w:rPr>
          <w:rFonts w:ascii="DM Serif Display" w:cs="DM Serif Display" w:eastAsia="DM Serif Display" w:hAnsi="DM Serif Display"/>
          <w:color w:val="123C48"/>
          <w:sz w:val="28"/>
          <w:szCs w:val="28"/>
        </w:rPr>
        <w:t xml:space="preserve">6. Security</w:t>
      </w:r>
    </w:p>
    <w:p>
      <w:pPr>
        <w:pStyle w:val="ListParagraph"/>
        <w:numPr>
          <w:ilvl w:val="0"/>
          <w:numId w:val="9"/>
        </w:numPr>
        <w:spacing w:after="80" w:line="290"/>
      </w:pPr>
      <w:r>
        <w:rPr>
          <w:rFonts w:ascii="Nunito Sans" w:cs="Nunito Sans" w:eastAsia="Nunito Sans" w:hAnsi="Nunito Sans"/>
          <w:color w:val="102E3B"/>
          <w:sz w:val="20"/>
          <w:szCs w:val="20"/>
        </w:rPr>
        <w:t xml:space="preserve">Each party will protect the Shared Data with appropriate technical and organisational security measures, at least those in Schedule 2.</w:t>
      </w:r>
    </w:p>
    <w:p>
      <w:pPr>
        <w:pStyle w:val="ListParagraph"/>
        <w:numPr>
          <w:ilvl w:val="0"/>
          <w:numId w:val="9"/>
        </w:numPr>
        <w:spacing w:after="80" w:line="290"/>
      </w:pPr>
      <w:r>
        <w:rPr>
          <w:rFonts w:ascii="Nunito Sans" w:cs="Nunito Sans" w:eastAsia="Nunito Sans" w:hAnsi="Nunito Sans"/>
          <w:color w:val="102E3B"/>
          <w:sz w:val="20"/>
          <w:szCs w:val="20"/>
        </w:rPr>
        <w:t xml:space="preserve">The parties will transfer Shared Data only by the secure method set out in Schedule 1. They will not send Special Category Data or data about children by unencrypted email or messaging apps.</w:t>
      </w:r>
    </w:p>
    <w:p>
      <w:pPr>
        <w:pStyle w:val="ListParagraph"/>
        <w:numPr>
          <w:ilvl w:val="0"/>
          <w:numId w:val="9"/>
        </w:numPr>
        <w:spacing w:after="80" w:line="290"/>
      </w:pPr>
      <w:r>
        <w:rPr>
          <w:rFonts w:ascii="Nunito Sans" w:cs="Nunito Sans" w:eastAsia="Nunito Sans" w:hAnsi="Nunito Sans"/>
          <w:color w:val="102E3B"/>
          <w:sz w:val="20"/>
          <w:szCs w:val="20"/>
        </w:rPr>
        <w:t xml:space="preserve">Each party will limit access to the Shared Data to staff, volunteers and Processors who need it for the Purpose, are trained in data protection and are bound by a duty of confidentiality.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SECURITY THAT FITS YOUR SIZE</w:t>
            </w:r>
          </w:p>
          <w:p>
            <w:pPr>
              <w:spacing w:after="120" w:before="0" w:line="300"/>
            </w:pPr>
            <w:r>
              <w:rPr>
                <w:rFonts w:ascii="Nunito Sans" w:cs="Nunito Sans" w:eastAsia="Nunito Sans" w:hAnsi="Nunito Sans"/>
                <w:color w:val="102E3B"/>
                <w:sz w:val="19"/>
                <w:szCs w:val="19"/>
              </w:rPr>
              <w:t xml:space="preserve">Small organisations can meet good standards with simple tools: password managers, multi-factor authentication, encrypted laptops and phones, shared folders with named access, and a rule that no participant data goes on personal devices or personal accounts. Agree in Schedule 1 exactly how data moves between you, for example "an encrypted spreadsheet uploaded to a shared folder, with the password sent separately by phone". Check whether your law or regulator sets specific security requirements.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Onward sharing</w:t>
      </w:r>
    </w:p>
    <w:p>
      <w:pPr>
        <w:pStyle w:val="ListParagraph"/>
        <w:numPr>
          <w:ilvl w:val="0"/>
          <w:numId w:val="10"/>
        </w:numPr>
        <w:spacing w:after="80" w:line="290"/>
      </w:pPr>
      <w:r>
        <w:rPr>
          <w:rFonts w:ascii="Nunito Sans" w:cs="Nunito Sans" w:eastAsia="Nunito Sans" w:hAnsi="Nunito Sans"/>
          <w:color w:val="102E3B"/>
          <w:sz w:val="20"/>
          <w:szCs w:val="20"/>
        </w:rPr>
        <w:t xml:space="preserve">The Recipient will not share the Shared Data with anyone else, except:</w:t>
      </w:r>
    </w:p>
    <w:p>
      <w:pPr>
        <w:pStyle w:val="ListParagraph"/>
        <w:numPr>
          <w:ilvl w:val="1"/>
          <w:numId w:val="10"/>
        </w:numPr>
        <w:spacing w:after="80" w:line="290"/>
      </w:pPr>
      <w:r>
        <w:rPr>
          <w:rFonts w:ascii="Nunito Sans" w:cs="Nunito Sans" w:eastAsia="Nunito Sans" w:hAnsi="Nunito Sans"/>
          <w:color w:val="102E3B"/>
          <w:sz w:val="20"/>
          <w:szCs w:val="20"/>
        </w:rPr>
        <w:t xml:space="preserve">its Processors, under a written contract that meets Data Protection Law and gives the data at least the same protection as this agreement;</w:t>
      </w:r>
    </w:p>
    <w:p>
      <w:pPr>
        <w:pStyle w:val="ListParagraph"/>
        <w:numPr>
          <w:ilvl w:val="1"/>
          <w:numId w:val="10"/>
        </w:numPr>
        <w:spacing w:after="80" w:line="290"/>
      </w:pPr>
      <w:r>
        <w:rPr>
          <w:rFonts w:ascii="Nunito Sans" w:cs="Nunito Sans" w:eastAsia="Nunito Sans" w:hAnsi="Nunito Sans"/>
          <w:color w:val="102E3B"/>
          <w:sz w:val="20"/>
          <w:szCs w:val="20"/>
        </w:rPr>
        <w:t xml:space="preserve">where the law, a court or a regulator requires it, telling the Discloser first where the law allows;</w:t>
      </w:r>
    </w:p>
    <w:p>
      <w:pPr>
        <w:pStyle w:val="ListParagraph"/>
        <w:numPr>
          <w:ilvl w:val="1"/>
          <w:numId w:val="10"/>
        </w:numPr>
        <w:spacing w:after="80" w:line="290"/>
      </w:pPr>
      <w:r>
        <w:rPr>
          <w:rFonts w:ascii="Nunito Sans" w:cs="Nunito Sans" w:eastAsia="Nunito Sans" w:hAnsi="Nunito Sans"/>
          <w:color w:val="102E3B"/>
          <w:sz w:val="20"/>
          <w:szCs w:val="20"/>
        </w:rPr>
        <w:t xml:space="preserve">where it is necessary to protect someone's life or prevent serious harm, telling the Discloser as soon as possible afterwards; or</w:t>
      </w:r>
    </w:p>
    <w:p>
      <w:pPr>
        <w:pStyle w:val="ListParagraph"/>
        <w:numPr>
          <w:ilvl w:val="1"/>
          <w:numId w:val="10"/>
        </w:numPr>
        <w:spacing w:after="80" w:line="290"/>
      </w:pPr>
      <w:r>
        <w:rPr>
          <w:rFonts w:ascii="Nunito Sans" w:cs="Nunito Sans" w:eastAsia="Nunito Sans" w:hAnsi="Nunito Sans"/>
          <w:color w:val="102E3B"/>
          <w:sz w:val="20"/>
          <w:szCs w:val="20"/>
        </w:rPr>
        <w:t xml:space="preserve">with the Discloser's prior written consent.</w:t>
      </w:r>
    </w:p>
    <w:p>
      <w:pPr>
        <w:pStyle w:val="ListParagraph"/>
        <w:numPr>
          <w:ilvl w:val="0"/>
          <w:numId w:val="10"/>
        </w:numPr>
        <w:spacing w:after="80" w:line="290"/>
      </w:pPr>
      <w:r>
        <w:rPr>
          <w:rFonts w:ascii="Nunito Sans" w:cs="Nunito Sans" w:eastAsia="Nunito Sans" w:hAnsi="Nunito Sans"/>
          <w:color w:val="102E3B"/>
          <w:sz w:val="20"/>
          <w:szCs w:val="20"/>
        </w:rPr>
        <w:t xml:space="preserve">The Recipient remains responsible for its Processors' handling of the Shared Data.</w:t>
      </w:r>
    </w:p>
    <w:p>
      <w:pPr>
        <w:pStyle w:val="Heading2"/>
        <w:keepNext/>
        <w:spacing w:after="120" w:before="280"/>
      </w:pPr>
      <w:r>
        <w:rPr>
          <w:rFonts w:ascii="DM Serif Display" w:cs="DM Serif Display" w:eastAsia="DM Serif Display" w:hAnsi="DM Serif Display"/>
          <w:color w:val="123C48"/>
          <w:sz w:val="28"/>
          <w:szCs w:val="28"/>
        </w:rPr>
        <w:t xml:space="preserve">8. International transfers</w:t>
      </w:r>
    </w:p>
    <w:p>
      <w:pPr>
        <w:pStyle w:val="ListParagraph"/>
        <w:numPr>
          <w:ilvl w:val="0"/>
          <w:numId w:val="11"/>
        </w:numPr>
        <w:spacing w:after="80" w:line="290"/>
      </w:pPr>
      <w:r>
        <w:rPr>
          <w:rFonts w:ascii="Nunito Sans" w:cs="Nunito Sans" w:eastAsia="Nunito Sans" w:hAnsi="Nunito Sans"/>
          <w:color w:val="102E3B"/>
          <w:sz w:val="20"/>
          <w:szCs w:val="20"/>
        </w:rPr>
        <w:t xml:space="preserve">Neither party will transfer Shared Data outside </w:t>
      </w:r>
      <w:r>
        <w:rPr>
          <w:rFonts w:ascii="Nunito Sans" w:cs="Nunito Sans" w:eastAsia="Nunito Sans" w:hAnsi="Nunito Sans"/>
          <w:color w:val="102E3B"/>
          <w:sz w:val="20"/>
          <w:szCs w:val="20"/>
          <w:highlight w:val="yellow"/>
        </w:rPr>
        <w:t xml:space="preserve">[country or region]</w:t>
      </w:r>
      <w:r>
        <w:rPr>
          <w:rFonts w:ascii="Nunito Sans" w:cs="Nunito Sans" w:eastAsia="Nunito Sans" w:hAnsi="Nunito Sans"/>
          <w:color w:val="102E3B"/>
          <w:sz w:val="20"/>
          <w:szCs w:val="20"/>
        </w:rPr>
        <w:t xml:space="preserve">, including by storing it with a cloud service based elsewhere, unless Data Protection Law allows the transfer and the safeguards it requires are in place.</w:t>
      </w:r>
    </w:p>
    <w:p>
      <w:pPr>
        <w:pStyle w:val="ListParagraph"/>
        <w:numPr>
          <w:ilvl w:val="0"/>
          <w:numId w:val="11"/>
        </w:numPr>
        <w:spacing w:after="80" w:line="290"/>
      </w:pPr>
      <w:r>
        <w:rPr>
          <w:rFonts w:ascii="Nunito Sans" w:cs="Nunito Sans" w:eastAsia="Nunito Sans" w:hAnsi="Nunito Sans"/>
          <w:color w:val="102E3B"/>
          <w:sz w:val="20"/>
          <w:szCs w:val="20"/>
        </w:rPr>
        <w:t xml:space="preserve">Schedule 1 lists the countries where each party will store or access the Shared Data, and the safeguard used for each transfer.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INTERNATIONAL TRANSFERS</w:t>
            </w:r>
          </w:p>
          <w:p>
            <w:pPr>
              <w:spacing w:after="120" w:before="0" w:line="300"/>
            </w:pPr>
            <w:r>
              <w:rPr>
                <w:rFonts w:ascii="Nunito Sans" w:cs="Nunito Sans" w:eastAsia="Nunito Sans" w:hAnsi="Nunito Sans"/>
                <w:color w:val="102E3B"/>
                <w:sz w:val="19"/>
                <w:szCs w:val="19"/>
              </w:rPr>
              <w:t xml:space="preserve">Many data protection laws restrict sending personal data abroad, and using a cloud service based in another country usually counts as a transfer. Typical safeguards are: a decision by the regulator that the other country gives adequate protection; standard contractual clauses (the EU's 2021 clauses, or the UK's International Data Transfer Agreement or Addendum); or, in limited cases, the person's explicit consent.</w:t>
            </w:r>
          </w:p>
          <w:p>
            <w:pPr>
              <w:spacing w:after="120" w:before="0" w:line="300"/>
            </w:pPr>
            <w:r>
              <w:rPr>
                <w:rFonts w:ascii="Nunito Sans" w:cs="Nunito Sans" w:eastAsia="Nunito Sans" w:hAnsi="Nunito Sans"/>
                <w:b/>
                <w:bCs/>
                <w:color w:val="102E3B"/>
                <w:sz w:val="19"/>
                <w:szCs w:val="19"/>
              </w:rPr>
              <w:t xml:space="preserve">Country notes:</w:t>
            </w:r>
            <w:r>
              <w:rPr>
                <w:rFonts w:ascii="Nunito Sans" w:cs="Nunito Sans" w:eastAsia="Nunito Sans" w:hAnsi="Nunito Sans"/>
                <w:color w:val="102E3B"/>
                <w:sz w:val="19"/>
                <w:szCs w:val="19"/>
              </w:rPr>
              <w:t xml:space="preserve"> South Africa's POPIA (section 72), Kenya's Data Protection Act 2019 and Nigeria's Data Protection Act 2023 all set conditions for transfers abroad, and Argentina's Law 25.326 restricts transfers to countries without adequate protection. Some countries require certain data to be kept in-country. Check your local law, and check where your software providers store data.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Data Subjects' rights</w:t>
      </w:r>
    </w:p>
    <w:p>
      <w:pPr>
        <w:pStyle w:val="ListParagraph"/>
        <w:numPr>
          <w:ilvl w:val="0"/>
          <w:numId w:val="12"/>
        </w:numPr>
        <w:spacing w:after="80" w:line="290"/>
      </w:pPr>
      <w:r>
        <w:rPr>
          <w:rFonts w:ascii="Nunito Sans" w:cs="Nunito Sans" w:eastAsia="Nunito Sans" w:hAnsi="Nunito Sans"/>
          <w:color w:val="102E3B"/>
          <w:sz w:val="20"/>
          <w:szCs w:val="20"/>
        </w:rPr>
        <w:t xml:space="preserve">Each party is responsible for responding to requests from Data Subjects about the Shared Data it holds, such as requests for access, correction, deletion or objection, within the time Data Protection Law sets.</w:t>
      </w:r>
    </w:p>
    <w:p>
      <w:pPr>
        <w:pStyle w:val="ListParagraph"/>
        <w:numPr>
          <w:ilvl w:val="0"/>
          <w:numId w:val="12"/>
        </w:numPr>
        <w:spacing w:after="80" w:line="290"/>
      </w:pPr>
      <w:r>
        <w:rPr>
          <w:rFonts w:ascii="Nunito Sans" w:cs="Nunito Sans" w:eastAsia="Nunito Sans" w:hAnsi="Nunito Sans"/>
          <w:color w:val="102E3B"/>
          <w:sz w:val="20"/>
          <w:szCs w:val="20"/>
        </w:rPr>
        <w:t xml:space="preserve">If a party receives a request that concerns data held by the other, it will forward it to the other party's data protection contact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and tell the Data Subject that it has done so where appropriate.</w:t>
      </w:r>
    </w:p>
    <w:p>
      <w:pPr>
        <w:pStyle w:val="ListParagraph"/>
        <w:numPr>
          <w:ilvl w:val="0"/>
          <w:numId w:val="12"/>
        </w:numPr>
        <w:spacing w:after="80" w:line="290"/>
      </w:pPr>
      <w:r>
        <w:rPr>
          <w:rFonts w:ascii="Nunito Sans" w:cs="Nunito Sans" w:eastAsia="Nunito Sans" w:hAnsi="Nunito Sans"/>
          <w:color w:val="102E3B"/>
          <w:sz w:val="20"/>
          <w:szCs w:val="20"/>
        </w:rPr>
        <w:t xml:space="preserve">Each party will give the other reasonable help to respond to requests, including telling it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of any correction or deletion that affects the Shared Data it holds.</w:t>
      </w:r>
    </w:p>
    <w:p>
      <w:pPr>
        <w:pStyle w:val="Heading2"/>
        <w:keepNext/>
        <w:spacing w:after="120" w:before="280"/>
      </w:pPr>
      <w:r>
        <w:rPr>
          <w:rFonts w:ascii="DM Serif Display" w:cs="DM Serif Display" w:eastAsia="DM Serif Display" w:hAnsi="DM Serif Display"/>
          <w:color w:val="123C48"/>
          <w:sz w:val="28"/>
          <w:szCs w:val="28"/>
        </w:rPr>
        <w:t xml:space="preserve">10. Personal Data Breaches</w:t>
      </w:r>
    </w:p>
    <w:p>
      <w:pPr>
        <w:pStyle w:val="ListParagraph"/>
        <w:numPr>
          <w:ilvl w:val="0"/>
          <w:numId w:val="13"/>
        </w:numPr>
        <w:spacing w:after="80" w:line="290"/>
      </w:pPr>
      <w:r>
        <w:rPr>
          <w:rFonts w:ascii="Nunito Sans" w:cs="Nunito Sans" w:eastAsia="Nunito Sans" w:hAnsi="Nunito Sans"/>
          <w:color w:val="102E3B"/>
          <w:sz w:val="20"/>
          <w:szCs w:val="20"/>
        </w:rPr>
        <w:t xml:space="preserve">If a party becomes aware of a Personal Data Breach affecting Shared Data, it will:</w:t>
      </w:r>
    </w:p>
    <w:p>
      <w:pPr>
        <w:pStyle w:val="ListParagraph"/>
        <w:numPr>
          <w:ilvl w:val="1"/>
          <w:numId w:val="13"/>
        </w:numPr>
        <w:spacing w:after="80" w:line="290"/>
      </w:pPr>
      <w:r>
        <w:rPr>
          <w:rFonts w:ascii="Nunito Sans" w:cs="Nunito Sans" w:eastAsia="Nunito Sans" w:hAnsi="Nunito Sans"/>
          <w:color w:val="102E3B"/>
          <w:sz w:val="20"/>
          <w:szCs w:val="20"/>
        </w:rPr>
        <w:t xml:space="preserve">take immediate steps to contain the breach and limit harm;</w:t>
      </w:r>
    </w:p>
    <w:p>
      <w:pPr>
        <w:pStyle w:val="ListParagraph"/>
        <w:numPr>
          <w:ilvl w:val="1"/>
          <w:numId w:val="13"/>
        </w:numPr>
        <w:spacing w:after="80" w:line="290"/>
      </w:pPr>
      <w:r>
        <w:rPr>
          <w:rFonts w:ascii="Nunito Sans" w:cs="Nunito Sans" w:eastAsia="Nunito Sans" w:hAnsi="Nunito Sans"/>
          <w:color w:val="102E3B"/>
          <w:sz w:val="20"/>
          <w:szCs w:val="20"/>
        </w:rPr>
        <w:t xml:space="preserve">tell the other party's data protection contact without undue delay, and in any case within </w:t>
      </w:r>
      <w:r>
        <w:rPr>
          <w:rFonts w:ascii="Nunito Sans" w:cs="Nunito Sans" w:eastAsia="Nunito Sans" w:hAnsi="Nunito Sans"/>
          <w:color w:val="102E3B"/>
          <w:sz w:val="20"/>
          <w:szCs w:val="20"/>
          <w:highlight w:val="yellow"/>
        </w:rPr>
        <w:t xml:space="preserve">[24 hours / 48 hours]</w:t>
      </w:r>
      <w:r>
        <w:rPr>
          <w:rFonts w:ascii="Nunito Sans" w:cs="Nunito Sans" w:eastAsia="Nunito Sans" w:hAnsi="Nunito Sans"/>
          <w:color w:val="102E3B"/>
          <w:sz w:val="20"/>
          <w:szCs w:val="20"/>
        </w:rPr>
        <w:t xml:space="preserve">, with what it knows about what happened, the data and people affected, the likely consequences and the steps taken; and</w:t>
      </w:r>
    </w:p>
    <w:p>
      <w:pPr>
        <w:pStyle w:val="ListParagraph"/>
        <w:numPr>
          <w:ilvl w:val="1"/>
          <w:numId w:val="13"/>
        </w:numPr>
        <w:spacing w:after="80" w:line="290"/>
      </w:pPr>
      <w:r>
        <w:rPr>
          <w:rFonts w:ascii="Nunito Sans" w:cs="Nunito Sans" w:eastAsia="Nunito Sans" w:hAnsi="Nunito Sans"/>
          <w:color w:val="102E3B"/>
          <w:sz w:val="20"/>
          <w:szCs w:val="20"/>
        </w:rPr>
        <w:t xml:space="preserve">keep the other party informed as it learns more.</w:t>
      </w:r>
    </w:p>
    <w:p>
      <w:pPr>
        <w:pStyle w:val="ListParagraph"/>
        <w:numPr>
          <w:ilvl w:val="0"/>
          <w:numId w:val="13"/>
        </w:numPr>
        <w:spacing w:after="80" w:line="290"/>
      </w:pPr>
      <w:r>
        <w:rPr>
          <w:rFonts w:ascii="Nunito Sans" w:cs="Nunito Sans" w:eastAsia="Nunito Sans" w:hAnsi="Nunito Sans"/>
          <w:color w:val="102E3B"/>
          <w:sz w:val="20"/>
          <w:szCs w:val="20"/>
        </w:rPr>
        <w:t xml:space="preserve">Each party decides, for the data it controls, whether to notify the regulator and the Data Subjects, within the times Data Protection Law requires. The parties will coordinate any notice that concerns both of them, and will not name the other party publicly without its agreement, unless the law requires it.</w:t>
      </w:r>
    </w:p>
    <w:p>
      <w:pPr>
        <w:pStyle w:val="ListParagraph"/>
        <w:numPr>
          <w:ilvl w:val="0"/>
          <w:numId w:val="13"/>
        </w:numPr>
        <w:spacing w:after="80" w:line="290"/>
      </w:pPr>
      <w:r>
        <w:rPr>
          <w:rFonts w:ascii="Nunito Sans" w:cs="Nunito Sans" w:eastAsia="Nunito Sans" w:hAnsi="Nunito Sans"/>
          <w:color w:val="102E3B"/>
          <w:sz w:val="20"/>
          <w:szCs w:val="20"/>
        </w:rPr>
        <w:t xml:space="preserve">Each party will keep a record of every Personal Data Breach affecting Shared Data, and the parties will review together what happened and how to prevent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BREACH NOTICE TIMES</w:t>
            </w:r>
          </w:p>
          <w:p>
            <w:pPr>
              <w:spacing w:after="120" w:before="0" w:line="300"/>
            </w:pPr>
            <w:r>
              <w:rPr>
                <w:rFonts w:ascii="Nunito Sans" w:cs="Nunito Sans" w:eastAsia="Nunito Sans" w:hAnsi="Nunito Sans"/>
                <w:color w:val="102E3B"/>
                <w:sz w:val="19"/>
                <w:szCs w:val="19"/>
              </w:rPr>
              <w:t xml:space="preserve">Agree a short internal deadline so that each party can meet its own legal deadline. Under the GDPR (Article 33), a controller must notify the regulator within 72 hours of becoming aware of a breach, where feasible, unless the breach is unlikely to put people at risk. Kenya's Data Protection Act 2019 and Nigeria's Data Protection Act 2023 also set 72 hours for notifying the regulator. South Africa's POPIA requires notice to the Regulator and the people affected as soon as reasonably possible. Other laws differ: check your local law, and follow your Data Breach Response Procedure.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Retention and deletion</w:t>
      </w:r>
    </w:p>
    <w:p>
      <w:pPr>
        <w:pStyle w:val="ListParagraph"/>
        <w:numPr>
          <w:ilvl w:val="0"/>
          <w:numId w:val="14"/>
        </w:numPr>
        <w:spacing w:after="80" w:line="290"/>
      </w:pPr>
      <w:r>
        <w:rPr>
          <w:rFonts w:ascii="Nunito Sans" w:cs="Nunito Sans" w:eastAsia="Nunito Sans" w:hAnsi="Nunito Sans"/>
          <w:color w:val="102E3B"/>
          <w:sz w:val="20"/>
          <w:szCs w:val="20"/>
        </w:rPr>
        <w:t xml:space="preserve">Each party will keep the Shared Data only for as long as the Purpose requires, and no longer than the retention period in Schedule 1, unless the law requires it to keep the data for longer.</w:t>
      </w:r>
    </w:p>
    <w:p>
      <w:pPr>
        <w:pStyle w:val="ListParagraph"/>
        <w:numPr>
          <w:ilvl w:val="0"/>
          <w:numId w:val="14"/>
        </w:numPr>
        <w:spacing w:after="80" w:line="290"/>
      </w:pPr>
      <w:r>
        <w:rPr>
          <w:rFonts w:ascii="Nunito Sans" w:cs="Nunito Sans" w:eastAsia="Nunito Sans" w:hAnsi="Nunito Sans"/>
          <w:color w:val="102E3B"/>
          <w:sz w:val="20"/>
          <w:szCs w:val="20"/>
        </w:rPr>
        <w:t xml:space="preserve">At the end of the retention period, or when this agreement ends, the Recipient will securely delete the Shared Data, or return it if the Discloser asks, and confirm this in writing within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Business Days. Data in backups will be deleted in the normal backup cycle and not used in the meantime.</w:t>
      </w:r>
    </w:p>
    <w:p>
      <w:pPr>
        <w:pStyle w:val="ListParagraph"/>
        <w:numPr>
          <w:ilvl w:val="0"/>
          <w:numId w:val="14"/>
        </w:numPr>
        <w:spacing w:after="80" w:line="290"/>
      </w:pPr>
      <w:r>
        <w:rPr>
          <w:rFonts w:ascii="Nunito Sans" w:cs="Nunito Sans" w:eastAsia="Nunito Sans" w:hAnsi="Nunito Sans"/>
          <w:color w:val="102E3B"/>
          <w:sz w:val="20"/>
          <w:szCs w:val="20"/>
        </w:rPr>
        <w:t xml:space="preserve">The Recipient may keep anonymised data, which no longer identifies anyone, for </w:t>
      </w:r>
      <w:r>
        <w:rPr>
          <w:rFonts w:ascii="Nunito Sans" w:cs="Nunito Sans" w:eastAsia="Nunito Sans" w:hAnsi="Nunito Sans"/>
          <w:color w:val="102E3B"/>
          <w:sz w:val="20"/>
          <w:szCs w:val="20"/>
          <w:highlight w:val="yellow"/>
        </w:rPr>
        <w:t xml:space="preserve">[reporting and research]</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12. Review and audit</w:t>
      </w:r>
    </w:p>
    <w:p>
      <w:pPr>
        <w:pStyle w:val="ListParagraph"/>
        <w:numPr>
          <w:ilvl w:val="0"/>
          <w:numId w:val="15"/>
        </w:numPr>
        <w:spacing w:after="80" w:line="290"/>
      </w:pPr>
      <w:r>
        <w:rPr>
          <w:rFonts w:ascii="Nunito Sans" w:cs="Nunito Sans" w:eastAsia="Nunito Sans" w:hAnsi="Nunito Sans"/>
          <w:color w:val="102E3B"/>
          <w:sz w:val="20"/>
          <w:szCs w:val="20"/>
        </w:rPr>
        <w:t xml:space="preserve">The parties will review this agreement and the sharing at least once a year, and after any Personal Data Breach, change in the law or change in the Purpose.</w:t>
      </w:r>
    </w:p>
    <w:p>
      <w:pPr>
        <w:pStyle w:val="ListParagraph"/>
        <w:numPr>
          <w:ilvl w:val="0"/>
          <w:numId w:val="15"/>
        </w:numPr>
        <w:spacing w:after="80" w:line="290"/>
      </w:pPr>
      <w:r>
        <w:rPr>
          <w:rFonts w:ascii="Nunito Sans" w:cs="Nunito Sans" w:eastAsia="Nunito Sans" w:hAnsi="Nunito Sans"/>
          <w:color w:val="102E3B"/>
          <w:sz w:val="20"/>
          <w:szCs w:val="20"/>
        </w:rPr>
        <w:t xml:space="preserve">Each party will answer the other's reasonable questions about how it protects the Shared Data, and complete a short self-assessment on request, no more than once a year unless there has been a breach.</w:t>
      </w:r>
    </w:p>
    <w:p>
      <w:pPr>
        <w:pStyle w:val="ListParagraph"/>
        <w:numPr>
          <w:ilvl w:val="0"/>
          <w:numId w:val="15"/>
        </w:numPr>
        <w:spacing w:after="80" w:line="290"/>
      </w:pPr>
      <w:r>
        <w:rPr>
          <w:rFonts w:ascii="Nunito Sans" w:cs="Nunito Sans" w:eastAsia="Nunito Sans" w:hAnsi="Nunito Sans"/>
          <w:color w:val="102E3B"/>
          <w:sz w:val="20"/>
          <w:szCs w:val="20"/>
        </w:rPr>
        <w:t xml:space="preserve">Where there is a serious concern, a party may audit the other's handling of the Shared Data, itself or through an independent auditor, on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Business Days' notice, at its own cost and with minimal disruption.</w:t>
      </w:r>
    </w:p>
    <w:p>
      <w:pPr>
        <w:pStyle w:val="Heading2"/>
        <w:keepNext/>
        <w:spacing w:after="120" w:before="280"/>
      </w:pPr>
      <w:r>
        <w:rPr>
          <w:rFonts w:ascii="DM Serif Display" w:cs="DM Serif Display" w:eastAsia="DM Serif Display" w:hAnsi="DM Serif Display"/>
          <w:color w:val="123C48"/>
          <w:sz w:val="28"/>
          <w:szCs w:val="28"/>
        </w:rPr>
        <w:t xml:space="preserve">13. Regulators and complaints</w:t>
      </w:r>
    </w:p>
    <w:p>
      <w:pPr>
        <w:pStyle w:val="ListParagraph"/>
        <w:numPr>
          <w:ilvl w:val="0"/>
          <w:numId w:val="16"/>
        </w:numPr>
        <w:spacing w:after="80" w:line="290"/>
      </w:pPr>
      <w:r>
        <w:rPr>
          <w:rFonts w:ascii="Nunito Sans" w:cs="Nunito Sans" w:eastAsia="Nunito Sans" w:hAnsi="Nunito Sans"/>
          <w:color w:val="102E3B"/>
          <w:sz w:val="20"/>
          <w:szCs w:val="20"/>
        </w:rPr>
        <w:t xml:space="preserve">Each party will tell the other within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Business Days if a regulator contacts it, or a Data Subject complains, about the Shared Data, unless the law forbids it.</w:t>
      </w:r>
    </w:p>
    <w:p>
      <w:pPr>
        <w:pStyle w:val="ListParagraph"/>
        <w:numPr>
          <w:ilvl w:val="0"/>
          <w:numId w:val="16"/>
        </w:numPr>
        <w:spacing w:after="80" w:line="290"/>
      </w:pPr>
      <w:r>
        <w:rPr>
          <w:rFonts w:ascii="Nunito Sans" w:cs="Nunito Sans" w:eastAsia="Nunito Sans" w:hAnsi="Nunito Sans"/>
          <w:color w:val="102E3B"/>
          <w:sz w:val="20"/>
          <w:szCs w:val="20"/>
        </w:rPr>
        <w:t xml:space="preserve">The parties will cooperate in responding, and in any investigation.</w:t>
      </w:r>
    </w:p>
    <w:p>
      <w:pPr>
        <w:pStyle w:val="Heading2"/>
        <w:keepNext/>
        <w:spacing w:after="120" w:before="280"/>
      </w:pPr>
      <w:r>
        <w:rPr>
          <w:rFonts w:ascii="DM Serif Display" w:cs="DM Serif Display" w:eastAsia="DM Serif Display" w:hAnsi="DM Serif Display"/>
          <w:color w:val="123C48"/>
          <w:sz w:val="28"/>
          <w:szCs w:val="28"/>
        </w:rPr>
        <w:t xml:space="preserve">14. Liability</w:t>
      </w:r>
    </w:p>
    <w:p>
      <w:pPr>
        <w:pStyle w:val="ListParagraph"/>
        <w:numPr>
          <w:ilvl w:val="0"/>
          <w:numId w:val="17"/>
        </w:numPr>
        <w:spacing w:after="80" w:line="290"/>
      </w:pPr>
      <w:r>
        <w:rPr>
          <w:rFonts w:ascii="Nunito Sans" w:cs="Nunito Sans" w:eastAsia="Nunito Sans" w:hAnsi="Nunito Sans"/>
          <w:color w:val="102E3B"/>
          <w:sz w:val="20"/>
          <w:szCs w:val="20"/>
        </w:rPr>
        <w:t xml:space="preserve">Each party is responsible for its own use of the Shared Data and for its own compliance with Data Protection Law.</w:t>
      </w:r>
    </w:p>
    <w:p>
      <w:pPr>
        <w:pStyle w:val="ListParagraph"/>
        <w:numPr>
          <w:ilvl w:val="0"/>
          <w:numId w:val="17"/>
        </w:numPr>
        <w:spacing w:after="80" w:line="290"/>
      </w:pPr>
      <w:r>
        <w:rPr>
          <w:rFonts w:ascii="Nunito Sans" w:cs="Nunito Sans" w:eastAsia="Nunito Sans" w:hAnsi="Nunito Sans"/>
          <w:color w:val="102E3B"/>
          <w:sz w:val="20"/>
          <w:szCs w:val="20"/>
        </w:rPr>
        <w:t xml:space="preserve">Each party will compensate the other for losses caused by its breach of this agreement, including reasonable costs of responding to a Personal Data Breach that it caused.</w:t>
      </w:r>
    </w:p>
    <w:p>
      <w:pPr>
        <w:pStyle w:val="ListParagraph"/>
        <w:numPr>
          <w:ilvl w:val="0"/>
          <w:numId w:val="17"/>
        </w:numPr>
        <w:spacing w:after="80" w:line="290"/>
      </w:pPr>
      <w:r>
        <w:rPr>
          <w:rFonts w:ascii="Nunito Sans" w:cs="Nunito Sans" w:eastAsia="Nunito Sans" w:hAnsi="Nunito Sans"/>
          <w:color w:val="102E3B"/>
          <w:sz w:val="20"/>
          <w:szCs w:val="20"/>
        </w:rPr>
        <w:t xml:space="preserve">Neither party is liable to the other for indirect or consequential loss. </w:t>
      </w:r>
      <w:r>
        <w:rPr>
          <w:rFonts w:ascii="Nunito Sans" w:cs="Nunito Sans" w:eastAsia="Nunito Sans" w:hAnsi="Nunito Sans"/>
          <w:color w:val="102E3B"/>
          <w:sz w:val="20"/>
          <w:szCs w:val="20"/>
          <w:highlight w:val="yellow"/>
        </w:rPr>
        <w:t xml:space="preserve">[Each party's total liability under this agreement is limited to amount and currency, except for fraud, deliberate breach and any liability that cannot be limited by law.]</w:t>
      </w:r>
    </w:p>
    <w:p>
      <w:pPr>
        <w:pStyle w:val="ListParagraph"/>
        <w:numPr>
          <w:ilvl w:val="0"/>
          <w:numId w:val="17"/>
        </w:numPr>
        <w:spacing w:after="80" w:line="290"/>
      </w:pPr>
      <w:r>
        <w:rPr>
          <w:rFonts w:ascii="Nunito Sans" w:cs="Nunito Sans" w:eastAsia="Nunito Sans" w:hAnsi="Nunito Sans"/>
          <w:color w:val="102E3B"/>
          <w:sz w:val="20"/>
          <w:szCs w:val="20"/>
        </w:rPr>
        <w:t xml:space="preserve">Nothing in this agreement limits a Data Subject's rights against either party.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LIABILITY</w:t>
            </w:r>
          </w:p>
          <w:p>
            <w:pPr>
              <w:spacing w:after="120" w:before="0" w:line="300"/>
            </w:pPr>
            <w:r>
              <w:rPr>
                <w:rFonts w:ascii="Nunito Sans" w:cs="Nunito Sans" w:eastAsia="Nunito Sans" w:hAnsi="Nunito Sans"/>
                <w:color w:val="102E3B"/>
                <w:sz w:val="19"/>
                <w:szCs w:val="19"/>
              </w:rPr>
              <w:t xml:space="preserve">Between two small non-profits, simple mutual responsibility is usually enough. If the other party is much larger, or the data is very sensitive, consider a cap that reflects your resources and check your insurance. Fines imposed by a regulator usually fall on the party that broke the law and may not be recoverable from the other: check your local law. Do not accept wide indemnities for the other party's own breaches.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15. Term and termination</w:t>
      </w:r>
    </w:p>
    <w:p>
      <w:pPr>
        <w:pStyle w:val="ListParagraph"/>
        <w:numPr>
          <w:ilvl w:val="0"/>
          <w:numId w:val="18"/>
        </w:numPr>
        <w:spacing w:after="80" w:line="290"/>
      </w:pPr>
      <w:r>
        <w:rPr>
          <w:rFonts w:ascii="Nunito Sans" w:cs="Nunito Sans" w:eastAsia="Nunito Sans" w:hAnsi="Nunito Sans"/>
          <w:color w:val="102E3B"/>
          <w:sz w:val="20"/>
          <w:szCs w:val="20"/>
        </w:rPr>
        <w:t xml:space="preserve">This agreement starts on </w:t>
      </w:r>
      <w:r>
        <w:rPr>
          <w:rFonts w:ascii="Nunito Sans" w:cs="Nunito Sans" w:eastAsia="Nunito Sans" w:hAnsi="Nunito Sans"/>
          <w:color w:val="102E3B"/>
          <w:sz w:val="20"/>
          <w:szCs w:val="20"/>
          <w:highlight w:val="yellow"/>
        </w:rPr>
        <w:t xml:space="preserve">[the date of the last signature below]</w:t>
      </w:r>
      <w:r>
        <w:rPr>
          <w:rFonts w:ascii="Nunito Sans" w:cs="Nunito Sans" w:eastAsia="Nunito Sans" w:hAnsi="Nunito Sans"/>
          <w:color w:val="102E3B"/>
          <w:sz w:val="20"/>
          <w:szCs w:val="20"/>
        </w:rPr>
        <w:t xml:space="preserve"> and lasts until </w:t>
      </w:r>
      <w:r>
        <w:rPr>
          <w:rFonts w:ascii="Nunito Sans" w:cs="Nunito Sans" w:eastAsia="Nunito Sans" w:hAnsi="Nunito Sans"/>
          <w:color w:val="102E3B"/>
          <w:sz w:val="20"/>
          <w:szCs w:val="20"/>
          <w:highlight w:val="yellow"/>
        </w:rPr>
        <w:t xml:space="preserve">[date / the Purpose is complete]</w:t>
      </w:r>
      <w:r>
        <w:rPr>
          <w:rFonts w:ascii="Nunito Sans" w:cs="Nunito Sans" w:eastAsia="Nunito Sans" w:hAnsi="Nunito Sans"/>
          <w:color w:val="102E3B"/>
          <w:sz w:val="20"/>
          <w:szCs w:val="20"/>
        </w:rPr>
        <w:t xml:space="preserve">, unless it ends earlier under this clause.</w:t>
      </w:r>
    </w:p>
    <w:p>
      <w:pPr>
        <w:pStyle w:val="ListParagraph"/>
        <w:numPr>
          <w:ilvl w:val="0"/>
          <w:numId w:val="18"/>
        </w:numPr>
        <w:spacing w:after="80" w:line="290"/>
      </w:pPr>
      <w:r>
        <w:rPr>
          <w:rFonts w:ascii="Nunito Sans" w:cs="Nunito Sans" w:eastAsia="Nunito Sans" w:hAnsi="Nunito Sans"/>
          <w:color w:val="102E3B"/>
          <w:sz w:val="20"/>
          <w:szCs w:val="20"/>
        </w:rPr>
        <w:t xml:space="preserve">Either party may end this agreement by giving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days' written notice.</w:t>
      </w:r>
    </w:p>
    <w:p>
      <w:pPr>
        <w:pStyle w:val="ListParagraph"/>
        <w:numPr>
          <w:ilvl w:val="0"/>
          <w:numId w:val="18"/>
        </w:numPr>
        <w:spacing w:after="80" w:line="290"/>
      </w:pPr>
      <w:r>
        <w:rPr>
          <w:rFonts w:ascii="Nunito Sans" w:cs="Nunito Sans" w:eastAsia="Nunito Sans" w:hAnsi="Nunito Sans"/>
          <w:color w:val="102E3B"/>
          <w:sz w:val="20"/>
          <w:szCs w:val="20"/>
        </w:rPr>
        <w:t xml:space="preserve">Either party may suspend sharing at once, or end this agreement by written notice, if the other party commits a serious breach of it or of Data Protection Law, or a Personal Data Breach shows that the Shared Data is not safe with the other party.</w:t>
      </w:r>
    </w:p>
    <w:p>
      <w:pPr>
        <w:pStyle w:val="ListParagraph"/>
        <w:numPr>
          <w:ilvl w:val="0"/>
          <w:numId w:val="18"/>
        </w:numPr>
        <w:spacing w:after="80" w:line="290"/>
      </w:pPr>
      <w:r>
        <w:rPr>
          <w:rFonts w:ascii="Nunito Sans" w:cs="Nunito Sans" w:eastAsia="Nunito Sans" w:hAnsi="Nunito Sans"/>
          <w:color w:val="102E3B"/>
          <w:sz w:val="20"/>
          <w:szCs w:val="20"/>
        </w:rPr>
        <w:t xml:space="preserve">When this agreement ends, clause 11.2 applies. Clauses 6, 7, 9, 10, 11, 13 and 14 continue for as long as either party holds Shared Data.</w:t>
      </w:r>
    </w:p>
    <w:p>
      <w:pPr>
        <w:pStyle w:val="Heading2"/>
        <w:keepNext/>
        <w:spacing w:after="120" w:before="280"/>
      </w:pPr>
      <w:r>
        <w:rPr>
          <w:rFonts w:ascii="DM Serif Display" w:cs="DM Serif Display" w:eastAsia="DM Serif Display" w:hAnsi="DM Serif Display"/>
          <w:color w:val="123C48"/>
          <w:sz w:val="28"/>
          <w:szCs w:val="28"/>
        </w:rPr>
        <w:t xml:space="preserve">16. Governing law, disputes and general terms</w:t>
      </w:r>
    </w:p>
    <w:p>
      <w:pPr>
        <w:pStyle w:val="ListParagraph"/>
        <w:numPr>
          <w:ilvl w:val="0"/>
          <w:numId w:val="19"/>
        </w:numPr>
        <w:spacing w:after="80" w:line="290"/>
      </w:pPr>
      <w:r>
        <w:rPr>
          <w:rFonts w:ascii="Nunito Sans" w:cs="Nunito Sans" w:eastAsia="Nunito Sans" w:hAnsi="Nunito Sans"/>
          <w:color w:val="102E3B"/>
          <w:sz w:val="20"/>
          <w:szCs w:val="20"/>
        </w:rPr>
        <w:t xml:space="preserve">This agreement is governed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0"/>
          <w:numId w:val="19"/>
        </w:numPr>
        <w:spacing w:after="80" w:line="290"/>
      </w:pPr>
      <w:r>
        <w:rPr>
          <w:rFonts w:ascii="Nunito Sans" w:cs="Nunito Sans" w:eastAsia="Nunito Sans" w:hAnsi="Nunito Sans"/>
          <w:color w:val="102E3B"/>
          <w:sz w:val="20"/>
          <w:szCs w:val="20"/>
        </w:rPr>
        <w:t xml:space="preserve">The parties' data protection contacts will try to settle any dispute within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then the heads of the two organisations within a further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Business Days. If that fails, </w:t>
      </w:r>
      <w:r>
        <w:rPr>
          <w:rFonts w:ascii="Nunito Sans" w:cs="Nunito Sans" w:eastAsia="Nunito Sans" w:hAnsi="Nunito Sans"/>
          <w:color w:val="102E3B"/>
          <w:sz w:val="20"/>
          <w:szCs w:val="20"/>
          <w:highlight w:val="yellow"/>
        </w:rPr>
        <w:t xml:space="preserve">[the courts of country / mediation followed by the courts of country]</w:t>
      </w:r>
      <w:r>
        <w:rPr>
          <w:rFonts w:ascii="Nunito Sans" w:cs="Nunito Sans" w:eastAsia="Nunito Sans" w:hAnsi="Nunito Sans"/>
          <w:color w:val="102E3B"/>
          <w:sz w:val="20"/>
          <w:szCs w:val="20"/>
        </w:rPr>
        <w:t xml:space="preserve"> will decide.</w:t>
      </w:r>
    </w:p>
    <w:p>
      <w:pPr>
        <w:pStyle w:val="ListParagraph"/>
        <w:numPr>
          <w:ilvl w:val="0"/>
          <w:numId w:val="19"/>
        </w:numPr>
        <w:spacing w:after="80" w:line="290"/>
      </w:pPr>
      <w:r>
        <w:rPr>
          <w:rFonts w:ascii="Nunito Sans" w:cs="Nunito Sans" w:eastAsia="Nunito Sans" w:hAnsi="Nunito Sans"/>
          <w:color w:val="102E3B"/>
          <w:sz w:val="20"/>
          <w:szCs w:val="20"/>
        </w:rPr>
        <w:t xml:space="preserve">Changes to this agreement, including to Schedule 1, are valid only in writing signed by both parties. Neither party may transfer it without the other's consent.</w:t>
      </w:r>
    </w:p>
    <w:p>
      <w:pPr>
        <w:pStyle w:val="ListParagraph"/>
        <w:numPr>
          <w:ilvl w:val="0"/>
          <w:numId w:val="19"/>
        </w:numPr>
        <w:spacing w:after="80" w:line="290"/>
      </w:pPr>
      <w:r>
        <w:rPr>
          <w:rFonts w:ascii="Nunito Sans" w:cs="Nunito Sans" w:eastAsia="Nunito Sans" w:hAnsi="Nunito Sans"/>
          <w:color w:val="102E3B"/>
          <w:sz w:val="20"/>
          <w:szCs w:val="20"/>
        </w:rPr>
        <w:t xml:space="preserve">This agreement may be signed in counterparts and electronically. If it is translated, the </w:t>
      </w:r>
      <w:r>
        <w:rPr>
          <w:rFonts w:ascii="Nunito Sans" w:cs="Nunito Sans" w:eastAsia="Nunito Sans" w:hAnsi="Nunito Sans"/>
          <w:color w:val="102E3B"/>
          <w:sz w:val="20"/>
          <w:szCs w:val="20"/>
          <w:highlight w:val="yellow"/>
        </w:rPr>
        <w:t xml:space="preserve">[English]</w:t>
      </w:r>
      <w:r>
        <w:rPr>
          <w:rFonts w:ascii="Nunito Sans" w:cs="Nunito Sans" w:eastAsia="Nunito Sans" w:hAnsi="Nunito Sans"/>
          <w:color w:val="102E3B"/>
          <w:sz w:val="20"/>
          <w:szCs w:val="20"/>
        </w:rPr>
        <w:t xml:space="preserve"> version prevails.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Schedule 1: Description of the Shared Data</w:t>
      </w:r>
    </w:p>
    <w:p>
      <w:pPr>
        <w:spacing w:after="120" w:before="0" w:line="300"/>
      </w:pPr>
      <w:r>
        <w:rPr>
          <w:rFonts w:ascii="Nunito Sans" w:cs="Nunito Sans" w:eastAsia="Nunito Sans" w:hAnsi="Nunito Sans"/>
          <w:color w:val="102E3B"/>
          <w:sz w:val="20"/>
          <w:szCs w:val="20"/>
        </w:rPr>
        <w:t xml:space="preserve">Complete one column for each direction of sharing. Delete the second column if data flows only one way. The examples are for illustration; replace them.</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3428"/>
        <w:gridCol w:w="3430"/>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FROM PARTY A TO PARTY B</w:t>
            </w:r>
          </w:p>
        </w:tc>
        <w:tc>
          <w:tcPr>
            <w:tcW w:type="dxa" w:w="343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FROM PARTY B TO PARTY 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Purpose</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referring clients for legal aid]</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confirming the outcome of a referral]</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Subjects</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adult clients who agree to a referral]</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the same clients]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Categories of data</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name, phone, district, language, summary of legal need]</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name, case status: accepted, closed]</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Special Category Data</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none / health information where relevant to the need]</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none]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Children's data</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 if yes, safeguards]</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[Yes / no]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Lawful basis (and condition for sensitive data)</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Discloser: </w:t>
            </w:r>
            <w:r>
              <w:rPr>
                <w:rFonts w:ascii="Nunito Sans" w:cs="Nunito Sans" w:eastAsia="Nunito Sans" w:hAnsi="Nunito Sans"/>
                <w:color w:val="102E3B"/>
                <w:sz w:val="18"/>
                <w:szCs w:val="18"/>
                <w:highlight w:val="yellow"/>
              </w:rPr>
              <w:t xml:space="preserve">[e.g. consent]</w:t>
            </w:r>
          </w:p>
          <w:p>
            <w:pPr>
              <w:spacing w:after="40" w:line="260"/>
            </w:pPr>
            <w:r>
              <w:rPr>
                <w:rFonts w:ascii="Nunito Sans" w:cs="Nunito Sans" w:eastAsia="Nunito Sans" w:hAnsi="Nunito Sans"/>
                <w:color w:val="102E3B"/>
                <w:sz w:val="18"/>
                <w:szCs w:val="18"/>
              </w:rPr>
              <w:t xml:space="preserve">Recipient: </w:t>
            </w:r>
            <w:r>
              <w:rPr>
                <w:rFonts w:ascii="Nunito Sans" w:cs="Nunito Sans" w:eastAsia="Nunito Sans" w:hAnsi="Nunito Sans"/>
                <w:color w:val="102E3B"/>
                <w:sz w:val="18"/>
                <w:szCs w:val="18"/>
                <w:highlight w:val="yellow"/>
              </w:rPr>
              <w:t xml:space="preserve">[e.g. consent]</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Discloser: </w:t>
            </w:r>
            <w:r>
              <w:rPr>
                <w:rFonts w:ascii="Nunito Sans" w:cs="Nunito Sans" w:eastAsia="Nunito Sans" w:hAnsi="Nunito Sans"/>
                <w:color w:val="102E3B"/>
                <w:sz w:val="18"/>
                <w:szCs w:val="18"/>
                <w:highlight w:val="yellow"/>
              </w:rPr>
              <w:t xml:space="preserve">[e.g. legitimate interests]</w:t>
            </w:r>
          </w:p>
          <w:p>
            <w:pPr>
              <w:spacing w:after="40" w:line="260"/>
            </w:pPr>
            <w:r>
              <w:rPr>
                <w:rFonts w:ascii="Nunito Sans" w:cs="Nunito Sans" w:eastAsia="Nunito Sans" w:hAnsi="Nunito Sans"/>
                <w:color w:val="102E3B"/>
                <w:sz w:val="18"/>
                <w:szCs w:val="18"/>
              </w:rPr>
              <w:t xml:space="preserve">Recipient: </w:t>
            </w:r>
            <w:r>
              <w:rPr>
                <w:rFonts w:ascii="Nunito Sans" w:cs="Nunito Sans" w:eastAsia="Nunito Sans" w:hAnsi="Nunito Sans"/>
                <w:color w:val="102E3B"/>
                <w:sz w:val="18"/>
                <w:szCs w:val="18"/>
                <w:highlight w:val="yellow"/>
              </w:rPr>
              <w:t xml:space="preserve">[e.g. legitimate interests]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people are told</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referral consent form, read aloud in local language]</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Party A's privacy notice]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Frequency and volume</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about 20 referrals a month]</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monthly update]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Transfer method</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encrypted file via shared folder]</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same]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Recipient's permitted uses</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assessing and delivering legal aid]</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follow-up and programme reporting]</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data is stored, and transfer safeguards</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[Country, system, safeguard]</w:t>
            </w:r>
          </w:p>
        </w:tc>
        <w:tc>
          <w:tcPr>
            <w:tcW w:type="dxa" w:w="343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[Country, system, safeguard]</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Retention</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2 years after case closed]</w:t>
            </w:r>
          </w:p>
        </w:tc>
        <w:tc>
          <w:tcPr>
            <w:tcW w:type="dxa" w:w="343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12 months, then anonymised]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Schedule 2: Minimum security measures</w:t>
      </w:r>
    </w:p>
    <w:p>
      <w:pPr>
        <w:spacing w:after="120" w:before="0" w:line="300"/>
      </w:pPr>
      <w:r>
        <w:rPr>
          <w:rFonts w:ascii="Nunito Sans" w:cs="Nunito Sans" w:eastAsia="Nunito Sans" w:hAnsi="Nunito Sans"/>
          <w:color w:val="102E3B"/>
          <w:sz w:val="20"/>
          <w:szCs w:val="20"/>
        </w:rPr>
        <w:t xml:space="preserve">Each party will, at least:</w:t>
      </w:r>
    </w:p>
    <w:p>
      <w:pPr>
        <w:pStyle w:val="ListParagraph"/>
        <w:numPr>
          <w:ilvl w:val="0"/>
          <w:numId w:val="20"/>
        </w:numPr>
        <w:spacing w:after="80" w:line="290"/>
      </w:pPr>
      <w:r>
        <w:rPr>
          <w:rFonts w:ascii="Nunito Sans" w:cs="Nunito Sans" w:eastAsia="Nunito Sans" w:hAnsi="Nunito Sans"/>
          <w:color w:val="102E3B"/>
          <w:sz w:val="20"/>
          <w:szCs w:val="20"/>
        </w:rPr>
        <w:t xml:space="preserve">keep Shared Data only on systems the organisation controls, never on personal email, personal cloud accounts or unencrypted USB drives;</w:t>
      </w:r>
    </w:p>
    <w:p>
      <w:pPr>
        <w:pStyle w:val="ListParagraph"/>
        <w:numPr>
          <w:ilvl w:val="0"/>
          <w:numId w:val="20"/>
        </w:numPr>
        <w:spacing w:after="80" w:line="290"/>
      </w:pPr>
      <w:r>
        <w:rPr>
          <w:rFonts w:ascii="Nunito Sans" w:cs="Nunito Sans" w:eastAsia="Nunito Sans" w:hAnsi="Nunito Sans"/>
          <w:color w:val="102E3B"/>
          <w:sz w:val="20"/>
          <w:szCs w:val="20"/>
        </w:rPr>
        <w:t xml:space="preserve">protect accounts with strong unique passwords and multi-factor authentication, and remove access within </w:t>
      </w:r>
      <w:r>
        <w:rPr>
          <w:rFonts w:ascii="Nunito Sans" w:cs="Nunito Sans" w:eastAsia="Nunito Sans" w:hAnsi="Nunito Sans"/>
          <w:color w:val="102E3B"/>
          <w:sz w:val="20"/>
          <w:szCs w:val="20"/>
          <w:highlight w:val="yellow"/>
        </w:rPr>
        <w:t xml:space="preserve">[2]</w:t>
      </w:r>
      <w:r>
        <w:rPr>
          <w:rFonts w:ascii="Nunito Sans" w:cs="Nunito Sans" w:eastAsia="Nunito Sans" w:hAnsi="Nunito Sans"/>
          <w:color w:val="102E3B"/>
          <w:sz w:val="20"/>
          <w:szCs w:val="20"/>
        </w:rPr>
        <w:t xml:space="preserve"> Business Days when someone leaves or changes role;</w:t>
      </w:r>
    </w:p>
    <w:p>
      <w:pPr>
        <w:pStyle w:val="ListParagraph"/>
        <w:numPr>
          <w:ilvl w:val="0"/>
          <w:numId w:val="20"/>
        </w:numPr>
        <w:spacing w:after="80" w:line="290"/>
      </w:pPr>
      <w:r>
        <w:rPr>
          <w:rFonts w:ascii="Nunito Sans" w:cs="Nunito Sans" w:eastAsia="Nunito Sans" w:hAnsi="Nunito Sans"/>
          <w:color w:val="102E3B"/>
          <w:sz w:val="20"/>
          <w:szCs w:val="20"/>
        </w:rPr>
        <w:t xml:space="preserve">encrypt laptops, phones and any file containing Special Category Data or children's data;</w:t>
      </w:r>
    </w:p>
    <w:p>
      <w:pPr>
        <w:pStyle w:val="ListParagraph"/>
        <w:numPr>
          <w:ilvl w:val="0"/>
          <w:numId w:val="20"/>
        </w:numPr>
        <w:spacing w:after="80" w:line="290"/>
      </w:pPr>
      <w:r>
        <w:rPr>
          <w:rFonts w:ascii="Nunito Sans" w:cs="Nunito Sans" w:eastAsia="Nunito Sans" w:hAnsi="Nunito Sans"/>
          <w:color w:val="102E3B"/>
          <w:sz w:val="20"/>
          <w:szCs w:val="20"/>
        </w:rPr>
        <w:t xml:space="preserve">keep paper records in a locked cabinet, and shred them when no longer needed;</w:t>
      </w:r>
    </w:p>
    <w:p>
      <w:pPr>
        <w:pStyle w:val="ListParagraph"/>
        <w:numPr>
          <w:ilvl w:val="0"/>
          <w:numId w:val="20"/>
        </w:numPr>
        <w:spacing w:after="80" w:line="290"/>
      </w:pPr>
      <w:r>
        <w:rPr>
          <w:rFonts w:ascii="Nunito Sans" w:cs="Nunito Sans" w:eastAsia="Nunito Sans" w:hAnsi="Nunito Sans"/>
          <w:color w:val="102E3B"/>
          <w:sz w:val="20"/>
          <w:szCs w:val="20"/>
        </w:rPr>
        <w:t xml:space="preserve">train everyone with access in data protection and confidentiality before they start, and at least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w:t>
      </w:r>
    </w:p>
    <w:p>
      <w:pPr>
        <w:pStyle w:val="ListParagraph"/>
        <w:numPr>
          <w:ilvl w:val="0"/>
          <w:numId w:val="20"/>
        </w:numPr>
        <w:spacing w:after="80" w:line="290"/>
      </w:pPr>
      <w:r>
        <w:rPr>
          <w:rFonts w:ascii="Nunito Sans" w:cs="Nunito Sans" w:eastAsia="Nunito Sans" w:hAnsi="Nunito Sans"/>
          <w:color w:val="102E3B"/>
          <w:sz w:val="20"/>
          <w:szCs w:val="20"/>
        </w:rPr>
        <w:t xml:space="preserve">keep software updated and use anti-malware protection;</w:t>
      </w:r>
    </w:p>
    <w:p>
      <w:pPr>
        <w:pStyle w:val="ListParagraph"/>
        <w:numPr>
          <w:ilvl w:val="0"/>
          <w:numId w:val="20"/>
        </w:numPr>
        <w:spacing w:after="80" w:line="290"/>
      </w:pPr>
      <w:r>
        <w:rPr>
          <w:rFonts w:ascii="Nunito Sans" w:cs="Nunito Sans" w:eastAsia="Nunito Sans" w:hAnsi="Nunito Sans"/>
          <w:color w:val="102E3B"/>
          <w:sz w:val="20"/>
          <w:szCs w:val="20"/>
        </w:rPr>
        <w:t xml:space="preserve">keep secure backups, tested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 and</w:t>
      </w:r>
    </w:p>
    <w:p>
      <w:pPr>
        <w:pStyle w:val="ListParagraph"/>
        <w:numPr>
          <w:ilvl w:val="0"/>
          <w:numId w:val="20"/>
        </w:numPr>
        <w:spacing w:after="80" w:line="290"/>
      </w:pPr>
      <w:r>
        <w:rPr>
          <w:rFonts w:ascii="Nunito Sans" w:cs="Nunito Sans" w:eastAsia="Nunito Sans" w:hAnsi="Nunito Sans"/>
          <w:color w:val="102E3B"/>
          <w:sz w:val="20"/>
          <w:szCs w:val="20"/>
        </w:rPr>
        <w:t xml:space="preserve">keep a log of who has accessed or changed Special Category Data, where the system allows.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Signatures</w:t>
      </w:r>
    </w:p>
    <w:p>
      <w:pPr>
        <w:spacing w:after="120" w:before="0" w:line="300"/>
      </w:pPr>
      <w:r>
        <w:rPr>
          <w:rFonts w:ascii="Nunito Sans" w:cs="Nunito Sans" w:eastAsia="Nunito Sans" w:hAnsi="Nunito Sans"/>
          <w:color w:val="102E3B"/>
          <w:sz w:val="20"/>
          <w:szCs w:val="20"/>
        </w:rPr>
        <w:t xml:space="preserve">Signed by the authorised representatives of the parties on the dates below.</w:t>
      </w:r>
    </w:p>
    <w:p>
      <w:pPr>
        <w:keepNext/>
        <w:spacing w:after="80" w:before="120"/>
      </w:pPr>
      <w:r>
        <w:rPr>
          <w:rFonts w:ascii="Nunito Sans" w:cs="Nunito Sans" w:eastAsia="Nunito Sans" w:hAnsi="Nunito Sans"/>
          <w:b/>
          <w:bCs/>
          <w:color w:val="16746E"/>
          <w:spacing w:val="30"/>
          <w:sz w:val="15"/>
          <w:szCs w:val="15"/>
        </w:rPr>
        <w:t xml:space="preserve">FOR PARTY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[Party A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PARTY B</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[Party B legal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00537511-D327-D0D0-CAF3-AC8E8DB6951C}"/>
  </w:font>
  <w:font w:name="DM Serif Display">
    <w:family w:val="auto"/>
    <w:pitch w:val="variable"/>
    <w:sig w:usb0="E0002AFF" w:usb1="C000247B" w:usb2="00000009" w:usb3="00000000" w:csb0="000001FF" w:csb1="00000000"/>
    <w:embedRegular r:id="rId2" w:fontKey="{CB388363-C06B-3B57-C1DF-43684C3C26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Data Sharing Agreement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DATA SHARING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Sharing Agreement</dc:title>
  <dc:creator>Method into Impact</dc:creator>
  <dc:description>An agreement for [[Organisation name]] and another organisation that share personal data, each deciding for itself how it uses that data. It sets out what is shared, why, how it is protected, and what each side does when something goes wrong.</dc:description>
  <cp:lastModifiedBy>Un-named</cp:lastModifiedBy>
  <cp:revision>1</cp:revision>
  <dcterms:created xsi:type="dcterms:W3CDTF">2026-10-29T04:56:18.705Z</dcterms:created>
  <dcterms:modified xsi:type="dcterms:W3CDTF">2026-10-29T04:56:18.705Z</dcterms:modified>
</cp:coreProperties>
</file>

<file path=docProps/custom.xml><?xml version="1.0" encoding="utf-8"?>
<Properties xmlns="http://schemas.openxmlformats.org/officeDocument/2006/custom-properties" xmlns:vt="http://schemas.openxmlformats.org/officeDocument/2006/docPropsVTypes"/>
</file>