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PROCEDURE TEMPLATE · INCIDENTS AND RISK</w:t>
      </w:r>
    </w:p>
    <w:p>
      <w:pPr>
        <w:spacing w:after="300"/>
      </w:pPr>
      <w:r>
        <w:rPr>
          <w:rFonts w:ascii="Nunito Sans" w:cs="Nunito Sans" w:eastAsia="Nunito Sans" w:hAnsi="Nunito Sans"/>
          <w:b/>
          <w:bCs/>
          <w:color w:val="102E3B"/>
          <w:sz w:val="24"/>
          <w:szCs w:val="24"/>
          <w:highlight w:val="yellow"/>
        </w:rPr>
        <w:t xml:space="preserve">[Organisation name]</w:t>
      </w:r>
    </w:p>
    <w:p>
      <w:pPr>
        <w:spacing w:after="280" w:before="240" w:line="260"/>
      </w:pPr>
      <w:r>
        <w:rPr>
          <w:rFonts w:ascii="DM Serif Display" w:cs="DM Serif Display" w:eastAsia="DM Serif Display" w:hAnsi="DM Serif Display"/>
          <w:color w:val="FFFAF3"/>
          <w:sz w:val="76"/>
          <w:szCs w:val="76"/>
        </w:rPr>
        <w:t xml:space="preserve">Incident Reporting Procedure</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What everyone at </w:t>
      </w:r>
      <w:r>
        <w:rPr>
          <w:rFonts w:ascii="Nunito Sans" w:cs="Nunito Sans" w:eastAsia="Nunito Sans" w:hAnsi="Nunito Sans"/>
          <w:color w:val="102E3B"/>
          <w:sz w:val="21"/>
          <w:szCs w:val="21"/>
          <w:highlight w:val="yellow"/>
        </w:rPr>
        <w:t xml:space="preserve">[Organisation name]</w:t>
      </w:r>
      <w:r>
        <w:rPr>
          <w:rFonts w:ascii="Nunito Sans" w:cs="Nunito Sans" w:eastAsia="Nunito Sans" w:hAnsi="Nunito Sans"/>
          <w:color w:val="D8EEE2"/>
          <w:sz w:val="21"/>
          <w:szCs w:val="21"/>
        </w:rPr>
        <w:t xml:space="preserve"> does when something goes wrong: keep people safe, report it quickly to the right person, tell the authorities and funders on time, and learn from it.</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DELETE THIS PAGE BEFORE USE</w:t>
      </w:r>
    </w:p>
    <w:p>
      <w:pPr>
        <w:keepNext/>
        <w:spacing w:after="80" w:before="0"/>
      </w:pPr>
      <w:r>
        <w:rPr>
          <w:rFonts w:ascii="Nunito Sans" w:cs="Nunito Sans" w:eastAsia="Nunito Sans" w:hAnsi="Nunito Sans"/>
          <w:b/>
          <w:bCs/>
          <w:color w:val="16746E"/>
          <w:spacing w:val="30"/>
          <w:sz w:val="15"/>
          <w:szCs w:val="15"/>
        </w:rPr>
        <w:t xml:space="preserve">METHOD INTO IMPACT · TEMPLATE GUIDE</w:t>
      </w:r>
    </w:p>
    <w:p>
      <w:pPr>
        <w:spacing w:after="160"/>
      </w:pPr>
      <w:r>
        <w:rPr>
          <w:rFonts w:ascii="DM Serif Display" w:cs="DM Serif Display" w:eastAsia="DM Serif Display" w:hAnsi="DM Serif Display"/>
          <w:color w:val="123C48"/>
          <w:sz w:val="40"/>
          <w:szCs w:val="40"/>
        </w:rPr>
        <w:t xml:space="preserve">How to use this template</w:t>
      </w:r>
    </w:p>
    <w:p>
      <w:pPr>
        <w:spacing w:after="120" w:before="0" w:line="270"/>
      </w:pPr>
      <w:r>
        <w:rPr>
          <w:rFonts w:ascii="Nunito Sans" w:cs="Nunito Sans" w:eastAsia="Nunito Sans" w:hAnsi="Nunito Sans"/>
          <w:color w:val="102E3B"/>
          <w:sz w:val="18"/>
          <w:szCs w:val="18"/>
        </w:rPr>
        <w:t xml:space="preserve">An incident procedure makes sure that when something goes wrong, people act safely and fast, the right people know, and outside reporting deadlines are not missed. Funders, regulators and insurers often set short deadlines, sometimes 24 to 72 hours, and missing them can cost you a grant, a fine or an insurance claim. This template gives a simple severity scale, clear time limits and a report form a small team can actually use.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YOU WILL SEE</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WHAT TO DO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[Yellow highlight]</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Replace with your own details, then remove the highlight (in Word: Home › Text Highlight Colour › No Colour).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Orange-bar boxes headed “Adapt this”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Guidance for you. Make the decision it describes, edit the text around it, then delete the box.</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Square brackets with options, e.g. </w:t>
            </w:r>
            <w:r>
              <w:rPr>
                <w:rFonts w:ascii="Nunito Sans" w:cs="Nunito Sans" w:eastAsia="Nunito Sans" w:hAnsi="Nunito Sans"/>
                <w:color w:val="102E3B"/>
                <w:sz w:val="16"/>
                <w:szCs w:val="16"/>
                <w:highlight w:val="yellow"/>
              </w:rPr>
              <w:t xml:space="preserve">[24 hours / 48 hours]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Choose one option, or write your own, and delete the rest.</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Green and cream boxes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Part of the finished document. Keep them, and update the wording.</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WHO USUALLY ASKS FOR IT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Institutional funders and international NGO partners in grant agreements; charity or NGO regulators; insurers; your board; auditors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TIME TO ADAPT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2–3 hours to adapt; 1 hour to agree with your board and test with a practice scenario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LEARN IT IN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Course 4 · Protect, Module 10 (Legal, compliance, policies and risk)</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USE IT WITH</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Safeguarding Policy and Procedure · Fraud, Bribery and Corruption Policy and Procedure · Data Breach Response Procedure · Whistleblowing Policy and Procedure · Complaints and Feedback Procedure · Travel Safety and Duty of Care Policy · Risk Register</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FIVE STEPS TO A FINISHED DOCUMENT</w:t>
      </w:r>
    </w:p>
    <w:p>
      <w:pPr>
        <w:pStyle w:val="ListParagraph"/>
        <w:numPr>
          <w:ilvl w:val="0"/>
          <w:numId w:val="2"/>
        </w:numPr>
        <w:spacing w:after="40" w:line="260"/>
      </w:pPr>
      <w:r>
        <w:rPr>
          <w:rFonts w:ascii="Nunito Sans" w:cs="Nunito Sans" w:eastAsia="Nunito Sans" w:hAnsi="Nunito Sans"/>
          <w:color w:val="102E3B"/>
          <w:sz w:val="17"/>
          <w:szCs w:val="17"/>
        </w:rPr>
        <w:t xml:space="preserve">Fill in every yellow field and work through each “Adapt this” box.</w:t>
      </w:r>
    </w:p>
    <w:p>
      <w:pPr>
        <w:pStyle w:val="ListParagraph"/>
        <w:numPr>
          <w:ilvl w:val="0"/>
          <w:numId w:val="2"/>
        </w:numPr>
        <w:spacing w:after="40" w:line="260"/>
      </w:pPr>
      <w:r>
        <w:rPr>
          <w:rFonts w:ascii="Nunito Sans" w:cs="Nunito Sans" w:eastAsia="Nunito Sans" w:hAnsi="Nunito Sans"/>
          <w:color w:val="102E3B"/>
          <w:sz w:val="17"/>
          <w:szCs w:val="17"/>
        </w:rPr>
        <w:t xml:space="preserve">Cut what does not apply to you, and keep the document proportionate to your size.</w:t>
      </w:r>
    </w:p>
    <w:p>
      <w:pPr>
        <w:pStyle w:val="ListParagraph"/>
        <w:numPr>
          <w:ilvl w:val="0"/>
          <w:numId w:val="2"/>
        </w:numPr>
        <w:spacing w:after="40" w:line="260"/>
      </w:pPr>
      <w:r>
        <w:rPr>
          <w:rFonts w:ascii="Nunito Sans" w:cs="Nunito Sans" w:eastAsia="Nunito Sans" w:hAnsi="Nunito Sans"/>
          <w:color w:val="102E3B"/>
          <w:sz w:val="17"/>
          <w:szCs w:val="17"/>
        </w:rPr>
        <w:t xml:space="preserve">Ask a qualified adviser in your country to check it against local law, your funders’ conditions and your sector’s rules. The legal review checklist template can guide that conversation.</w:t>
      </w:r>
    </w:p>
    <w:p>
      <w:pPr>
        <w:pStyle w:val="ListParagraph"/>
        <w:numPr>
          <w:ilvl w:val="0"/>
          <w:numId w:val="2"/>
        </w:numPr>
        <w:spacing w:after="40" w:line="260"/>
      </w:pPr>
      <w:r>
        <w:rPr>
          <w:rFonts w:ascii="Nunito Sans" w:cs="Nunito Sans" w:eastAsia="Nunito Sans" w:hAnsi="Nunito Sans"/>
          <w:color w:val="102E3B"/>
          <w:sz w:val="17"/>
          <w:szCs w:val="17"/>
        </w:rPr>
        <w:t xml:space="preserve">Approve it formally (for example, a board or founder decision), date it and set a review date.</w:t>
      </w:r>
    </w:p>
    <w:p>
      <w:pPr>
        <w:pStyle w:val="ListParagraph"/>
        <w:numPr>
          <w:ilvl w:val="0"/>
          <w:numId w:val="2"/>
        </w:numPr>
        <w:spacing w:after="40" w:line="260"/>
      </w:pPr>
      <w:r>
        <w:rPr>
          <w:rFonts w:ascii="Nunito Sans" w:cs="Nunito Sans" w:eastAsia="Nunito Sans" w:hAnsi="Nunito Sans"/>
          <w:color w:val="102E3B"/>
          <w:sz w:val="17"/>
          <w:szCs w:val="17"/>
        </w:rPr>
        <w:t xml:space="preserve">Tell people about it, ask them to confirm they have read it, and keep it where everyone can find it.</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w:t>
            </w:r>
          </w:p>
          <w:p>
            <w:pPr>
              <w:spacing w:after="120" w:before="0" w:line="260"/>
            </w:pPr>
            <w:r>
              <w:rPr>
                <w:rFonts w:ascii="Nunito Sans" w:cs="Nunito Sans" w:eastAsia="Nunito Sans" w:hAnsi="Nunito Sans"/>
                <w:color w:val="102E3B"/>
                <w:sz w:val="16"/>
                <w:szCs w:val="16"/>
              </w:rPr>
              <w:t xml:space="preserve">This is a template, not legal advice. It is a general starting point written for small purpose-led organisations working in different countries. Laws, regulators and funders differ, and they change. Method into Impact does not guarantee that this template is complete, current or suitable for your circumstances, and using it does not create an adviser–client relationship. You are responsible for adapting it, getting local advice and approving the final version. Licensed for use within one organisation; please do not resell or republish it.</w:t>
            </w:r>
          </w:p>
        </w:tc>
      </w:tr>
    </w:tbl>
    <w:p>
      <w:r>
        <w:br w:type="page"/>
      </w:r>
    </w:p>
    <w:p>
      <w:pPr>
        <w:keepNext/>
        <w:spacing w:after="80" w:before="0"/>
      </w:pPr>
      <w:r>
        <w:rPr>
          <w:rFonts w:ascii="Nunito Sans" w:cs="Nunito Sans" w:eastAsia="Nunito Sans" w:hAnsi="Nunito Sans"/>
          <w:b/>
          <w:bCs/>
          <w:color w:val="16746E"/>
          <w:spacing w:val="30"/>
          <w:sz w:val="15"/>
          <w:szCs w:val="15"/>
        </w:rPr>
        <w:t xml:space="preserve">DOCUMENT CONTROL</w:t>
      </w:r>
    </w:p>
    <w:p>
      <w:pPr>
        <w:spacing w:after="200"/>
      </w:pPr>
      <w:r>
        <w:rPr>
          <w:rFonts w:ascii="DM Serif Display" w:cs="DM Serif Display" w:eastAsia="DM Serif Display" w:hAnsi="DM Serif Display"/>
          <w:color w:val="123C48"/>
          <w:sz w:val="40"/>
          <w:szCs w:val="40"/>
        </w:rPr>
        <w:t xml:space="preserve">About this document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DOCUMENT</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Incident Reporting Procedure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TYPE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Procedure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OWNER</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[Name and role of the person responsible]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APPROVED BY</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[Name, role and body, e.g. the board of trustees]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VERSION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[1.0]</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DATE OF APPROVAL</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[DD Month YYYY]</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NEXT REVIEW</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[Month YYYY]</w:t>
            </w:r>
            <w:r>
              <w:rPr>
                <w:rFonts w:ascii="Nunito Sans" w:cs="Nunito Sans" w:eastAsia="Nunito Sans" w:hAnsi="Nunito Sans"/>
                <w:color w:val="102E3B"/>
                <w:sz w:val="19"/>
                <w:szCs w:val="19"/>
              </w:rPr>
              <w:t xml:space="preserve">, or sooner after a serious incident, a change in the law or a major change in how we work</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APPLIES 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Staff, volunteers, interns, board members, contractors and consultants, and partners delivering work with </w:t>
            </w:r>
            <w:r>
              <w:rPr>
                <w:rFonts w:ascii="Nunito Sans" w:cs="Nunito Sans" w:eastAsia="Nunito Sans" w:hAnsi="Nunito Sans"/>
                <w:color w:val="102E3B"/>
                <w:sz w:val="19"/>
                <w:szCs w:val="19"/>
                <w:highlight w:val="yellow"/>
              </w:rPr>
              <w:t xml:space="preserve">[Organisation name]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ORGANISATION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[Legal name, legal form, country of registration and registration number]</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CONTACT</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[incidents@yourorganisation.org]</w:t>
            </w:r>
            <w:r>
              <w:rPr>
                <w:rFonts w:ascii="Nunito Sans" w:cs="Nunito Sans" w:eastAsia="Nunito Sans" w:hAnsi="Nunito Sans"/>
                <w:color w:val="102E3B"/>
                <w:sz w:val="19"/>
                <w:szCs w:val="19"/>
              </w:rPr>
              <w:t xml:space="preserve"> · </w:t>
            </w:r>
            <w:r>
              <w:rPr>
                <w:rFonts w:ascii="Nunito Sans" w:cs="Nunito Sans" w:eastAsia="Nunito Sans" w:hAnsi="Nunito Sans"/>
                <w:color w:val="102E3B"/>
                <w:sz w:val="19"/>
                <w:szCs w:val="19"/>
                <w:highlight w:val="yellow"/>
              </w:rPr>
              <w:t xml:space="preserve">[emergency phone number]</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LANGUAGE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[English]</w:t>
            </w:r>
            <w:r>
              <w:rPr>
                <w:rFonts w:ascii="Nunito Sans" w:cs="Nunito Sans" w:eastAsia="Nunito Sans" w:hAnsi="Nunito Sans"/>
                <w:color w:val="102E3B"/>
                <w:sz w:val="19"/>
                <w:szCs w:val="19"/>
              </w:rPr>
              <w:t xml:space="preserve">. Translations: </w:t>
            </w:r>
            <w:r>
              <w:rPr>
                <w:rFonts w:ascii="Nunito Sans" w:cs="Nunito Sans" w:eastAsia="Nunito Sans" w:hAnsi="Nunito Sans"/>
                <w:color w:val="102E3B"/>
                <w:sz w:val="19"/>
                <w:szCs w:val="19"/>
                <w:highlight w:val="yellow"/>
              </w:rPr>
              <w:t xml:space="preserve">[languages, or “none”]</w:t>
            </w:r>
            <w:r>
              <w:rPr>
                <w:rFonts w:ascii="Nunito Sans" w:cs="Nunito Sans" w:eastAsia="Nunito Sans" w:hAnsi="Nunito Sans"/>
                <w:color w:val="102E3B"/>
                <w:sz w:val="19"/>
                <w:szCs w:val="19"/>
              </w:rPr>
              <w:t xml:space="preserve">. If versions differ, the </w:t>
            </w:r>
            <w:r>
              <w:rPr>
                <w:rFonts w:ascii="Nunito Sans" w:cs="Nunito Sans" w:eastAsia="Nunito Sans" w:hAnsi="Nunito Sans"/>
                <w:color w:val="102E3B"/>
                <w:sz w:val="19"/>
                <w:szCs w:val="19"/>
                <w:highlight w:val="yellow"/>
              </w:rPr>
              <w:t xml:space="preserve">[English]</w:t>
            </w:r>
            <w:r>
              <w:rPr>
                <w:rFonts w:ascii="Nunito Sans" w:cs="Nunito Sans" w:eastAsia="Nunito Sans" w:hAnsi="Nunito Sans"/>
                <w:color w:val="102E3B"/>
                <w:sz w:val="19"/>
                <w:szCs w:val="19"/>
              </w:rPr>
              <w:t xml:space="preserve"> version applies.</w:t>
            </w:r>
          </w:p>
        </w:tc>
      </w:tr>
    </w:tbl>
    <w:p>
      <w:pPr>
        <w:keepNext/>
        <w:spacing w:after="100" w:before="360"/>
      </w:pPr>
      <w:r>
        <w:rPr>
          <w:rFonts w:ascii="Nunito Sans" w:cs="Nunito Sans" w:eastAsia="Nunito Sans" w:hAnsi="Nunito Sans"/>
          <w:b/>
          <w:bCs/>
          <w:color w:val="16746E"/>
          <w:spacing w:val="30"/>
          <w:sz w:val="15"/>
          <w:szCs w:val="15"/>
        </w:rPr>
        <w:t xml:space="preserve">CONTENTS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62"/>
        <w:gridCol w:w="4762"/>
      </w:tblGrid>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Purpose and scope</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Step 6: Close and learn</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Severity levels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Roles and responsibilities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Step 1: Make people safe</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Records and confidentiality</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Step 2: Report it</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Monitoring and review</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Step 3: Assess and escalate</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Annex A: Incident report form</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Step 4: External notifications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Annex B: Incident log</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Step 5: Respond and investigate</w:t>
            </w:r>
          </w:p>
        </w:tc>
        <w:tc>
          <w:tcPr>
            <w:tcW w:type="dxa" w:w="4762"/>
            <w:tcBorders>
              <w:top w:val="none" w:color="FFFFFF" w:sz="0"/>
              <w:left w:val="none" w:color="FFFFFF" w:sz="0"/>
              <w:bottom w:val="none" w:color="FFFFFF" w:sz="0"/>
              <w:right w:val="none" w:color="FFFFFF" w:sz="0"/>
            </w:tcBorders>
            <w:tcMar>
              <w:top w:type="dxa" w:w="60"/>
              <w:left w:type="dxa" w:w="300"/>
              <w:bottom w:type="dxa" w:w="60"/>
              <w:right w:type="dxa" w:w="120"/>
            </w:tcMar>
          </w:tcPr>
          <w:p>
            <w:pPr>
              <w:spacing w:after="0"/>
            </w:pPr>
          </w:p>
        </w:tc>
      </w:tr>
    </w:tbl>
    <w:p>
      <w:r>
        <w:br w:type="page"/>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PROPORTIONATE TO OUR SIZE</w:t>
            </w:r>
          </w:p>
          <w:p>
            <w:pPr>
              <w:spacing w:after="120" w:before="0" w:line="300"/>
            </w:pP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is a </w:t>
            </w:r>
            <w:r>
              <w:rPr>
                <w:rFonts w:ascii="Nunito Sans" w:cs="Nunito Sans" w:eastAsia="Nunito Sans" w:hAnsi="Nunito Sans"/>
                <w:color w:val="102E3B"/>
                <w:sz w:val="19"/>
                <w:szCs w:val="19"/>
                <w:highlight w:val="yellow"/>
              </w:rPr>
              <w:t xml:space="preserve">[small organisation of X people / start-up run by its founders]</w:t>
            </w:r>
            <w:r>
              <w:rPr>
                <w:rFonts w:ascii="Nunito Sans" w:cs="Nunito Sans" w:eastAsia="Nunito Sans" w:hAnsi="Nunito Sans"/>
                <w:color w:val="102E3B"/>
                <w:sz w:val="19"/>
                <w:szCs w:val="19"/>
              </w:rPr>
              <w:t xml:space="preserve">. This is our </w:t>
            </w:r>
            <w:r>
              <w:rPr>
                <w:rFonts w:ascii="Nunito Sans" w:cs="Nunito Sans" w:eastAsia="Nunito Sans" w:hAnsi="Nunito Sans"/>
                <w:color w:val="102E3B"/>
                <w:sz w:val="19"/>
                <w:szCs w:val="19"/>
                <w:highlight w:val="yellow"/>
              </w:rPr>
              <w:t xml:space="preserve">[first]</w:t>
            </w:r>
            <w:r>
              <w:rPr>
                <w:rFonts w:ascii="Nunito Sans" w:cs="Nunito Sans" w:eastAsia="Nunito Sans" w:hAnsi="Nunito Sans"/>
                <w:color w:val="102E3B"/>
                <w:sz w:val="19"/>
                <w:szCs w:val="19"/>
              </w:rPr>
              <w:t xml:space="preserve"> version of this procedure. We will expand it as we grow. Until then:</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[Name, role]</w:t>
            </w:r>
            <w:r>
              <w:rPr>
                <w:rFonts w:ascii="Nunito Sans" w:cs="Nunito Sans" w:eastAsia="Nunito Sans" w:hAnsi="Nunito Sans"/>
                <w:b/>
                <w:bCs/>
                <w:color w:val="102E3B"/>
                <w:sz w:val="19"/>
                <w:szCs w:val="19"/>
              </w:rPr>
              <w:t xml:space="preserve"> is our incident lead.</w:t>
            </w:r>
            <w:r>
              <w:rPr>
                <w:rFonts w:ascii="Nunito Sans" w:cs="Nunito Sans" w:eastAsia="Nunito Sans" w:hAnsi="Nunito Sans"/>
                <w:color w:val="102E3B"/>
                <w:sz w:val="19"/>
                <w:szCs w:val="19"/>
              </w:rPr>
              <w:t xml:space="preserve"> They receive reports, set the severity level, coordinate the response, make external notifications and keep the incident log.</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[Name, role]</w:t>
            </w:r>
            <w:r>
              <w:rPr>
                <w:rFonts w:ascii="Nunito Sans" w:cs="Nunito Sans" w:eastAsia="Nunito Sans" w:hAnsi="Nunito Sans"/>
                <w:b/>
                <w:bCs/>
                <w:color w:val="102E3B"/>
                <w:sz w:val="19"/>
                <w:szCs w:val="19"/>
              </w:rPr>
              <w:t xml:space="preserve"> is our deputy incident lead.</w:t>
            </w:r>
            <w:r>
              <w:rPr>
                <w:rFonts w:ascii="Nunito Sans" w:cs="Nunito Sans" w:eastAsia="Nunito Sans" w:hAnsi="Nunito Sans"/>
                <w:color w:val="102E3B"/>
                <w:sz w:val="19"/>
                <w:szCs w:val="19"/>
              </w:rPr>
              <w:t xml:space="preserve"> They act when the incident lead cannot be reached within </w:t>
            </w:r>
            <w:r>
              <w:rPr>
                <w:rFonts w:ascii="Nunito Sans" w:cs="Nunito Sans" w:eastAsia="Nunito Sans" w:hAnsi="Nunito Sans"/>
                <w:color w:val="102E3B"/>
                <w:sz w:val="19"/>
                <w:szCs w:val="19"/>
                <w:highlight w:val="yellow"/>
              </w:rPr>
              <w:t xml:space="preserve">[2 hours]</w:t>
            </w:r>
            <w:r>
              <w:rPr>
                <w:rFonts w:ascii="Nunito Sans" w:cs="Nunito Sans" w:eastAsia="Nunito Sans" w:hAnsi="Nunito Sans"/>
                <w:color w:val="102E3B"/>
                <w:sz w:val="19"/>
                <w:szCs w:val="19"/>
              </w:rPr>
              <w:t xml:space="preserve"> for a high or critical incident, and handle any incident that involves the incident lead.</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[Name]</w:t>
            </w:r>
            <w:r>
              <w:rPr>
                <w:rFonts w:ascii="Nunito Sans" w:cs="Nunito Sans" w:eastAsia="Nunito Sans" w:hAnsi="Nunito Sans"/>
                <w:b/>
                <w:bCs/>
                <w:color w:val="102E3B"/>
                <w:sz w:val="19"/>
                <w:szCs w:val="19"/>
              </w:rPr>
              <w:t xml:space="preserve">, chair of our board</w:t>
            </w:r>
            <w:r>
              <w:rPr>
                <w:rFonts w:ascii="Nunito Sans" w:cs="Nunito Sans" w:eastAsia="Nunito Sans" w:hAnsi="Nunito Sans"/>
                <w:color w:val="102E3B"/>
                <w:sz w:val="19"/>
                <w:szCs w:val="19"/>
              </w:rPr>
              <w:t xml:space="preserve"> </w:t>
            </w:r>
            <w:r>
              <w:rPr>
                <w:rFonts w:ascii="Nunito Sans" w:cs="Nunito Sans" w:eastAsia="Nunito Sans" w:hAnsi="Nunito Sans"/>
                <w:color w:val="102E3B"/>
                <w:sz w:val="19"/>
                <w:szCs w:val="19"/>
                <w:highlight w:val="yellow"/>
              </w:rPr>
              <w:t xml:space="preserve">[trustees / directors / committee]</w:t>
            </w:r>
            <w:r>
              <w:rPr>
                <w:rFonts w:ascii="Nunito Sans" w:cs="Nunito Sans" w:eastAsia="Nunito Sans" w:hAnsi="Nunito Sans"/>
                <w:color w:val="102E3B"/>
                <w:sz w:val="19"/>
                <w:szCs w:val="19"/>
              </w:rPr>
              <w:t xml:space="preserve">, is told of every high and critical incident.</w:t>
            </w:r>
          </w:p>
          <w:p>
            <w:pPr>
              <w:pStyle w:val="ListParagraph"/>
              <w:numPr>
                <w:ilvl w:val="0"/>
                <w:numId w:val="3"/>
              </w:numPr>
              <w:spacing w:after="80" w:line="290"/>
            </w:pPr>
            <w:r>
              <w:rPr>
                <w:rFonts w:ascii="Nunito Sans" w:cs="Nunito Sans" w:eastAsia="Nunito Sans" w:hAnsi="Nunito Sans"/>
                <w:b/>
                <w:bCs/>
                <w:color w:val="102E3B"/>
                <w:sz w:val="19"/>
                <w:szCs w:val="19"/>
              </w:rPr>
              <w:t xml:space="preserve">We review this procedure</w:t>
            </w:r>
            <w:r>
              <w:rPr>
                <w:rFonts w:ascii="Nunito Sans" w:cs="Nunito Sans" w:eastAsia="Nunito Sans" w:hAnsi="Nunito Sans"/>
                <w:color w:val="102E3B"/>
                <w:sz w:val="19"/>
                <w:szCs w:val="19"/>
              </w:rPr>
              <w:t xml:space="preserve"> at least once a year, after any high or critical incident, and when our activities, funders or countries of work change.</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WHO HOLDS THESE ROLES</w:t>
            </w:r>
          </w:p>
          <w:p>
            <w:pPr>
              <w:spacing w:after="120" w:before="0" w:line="300"/>
            </w:pPr>
            <w:r>
              <w:rPr>
                <w:rFonts w:ascii="Nunito Sans" w:cs="Nunito Sans" w:eastAsia="Nunito Sans" w:hAnsi="Nunito Sans"/>
                <w:color w:val="102E3B"/>
                <w:sz w:val="19"/>
                <w:szCs w:val="19"/>
              </w:rPr>
              <w:t xml:space="preserve">In a small organisation the founder or director is usually the incident lead. The deputy should be someone who does not report to the incident lead, such as a board member, so that an incident involving the lead still has somewhere to go. Safeguarding incidents are led by the safeguarding lead; this can be the same person, but say so. If you have no board yet, name an external adviser who agrees to be called for serious incidents. Give a phone number answered out of hours if you run evening or field activities.</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EAF5EF"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AT A GLANCE</w:t>
            </w:r>
          </w:p>
          <w:p>
            <w:pPr>
              <w:pStyle w:val="ListParagraph"/>
              <w:numPr>
                <w:ilvl w:val="0"/>
                <w:numId w:val="3"/>
              </w:numPr>
              <w:spacing w:after="80" w:line="290"/>
            </w:pPr>
            <w:r>
              <w:rPr>
                <w:rFonts w:ascii="Nunito Sans" w:cs="Nunito Sans" w:eastAsia="Nunito Sans" w:hAnsi="Nunito Sans"/>
                <w:color w:val="102E3B"/>
                <w:sz w:val="19"/>
                <w:szCs w:val="19"/>
              </w:rPr>
              <w:t xml:space="preserve">An incident is any event that has harmed, or could harm, people, money, information or our reputation. Near misses count too.</w:t>
            </w:r>
          </w:p>
          <w:p>
            <w:pPr>
              <w:pStyle w:val="ListParagraph"/>
              <w:numPr>
                <w:ilvl w:val="0"/>
                <w:numId w:val="3"/>
              </w:numPr>
              <w:spacing w:after="80" w:line="290"/>
            </w:pPr>
            <w:r>
              <w:rPr>
                <w:rFonts w:ascii="Nunito Sans" w:cs="Nunito Sans" w:eastAsia="Nunito Sans" w:hAnsi="Nunito Sans"/>
                <w:color w:val="102E3B"/>
                <w:sz w:val="19"/>
                <w:szCs w:val="19"/>
              </w:rPr>
              <w:t xml:space="preserve">Safety first: if anyone is in danger, call emergency services on </w:t>
            </w:r>
            <w:r>
              <w:rPr>
                <w:rFonts w:ascii="Nunito Sans" w:cs="Nunito Sans" w:eastAsia="Nunito Sans" w:hAnsi="Nunito Sans"/>
                <w:color w:val="102E3B"/>
                <w:sz w:val="19"/>
                <w:szCs w:val="19"/>
                <w:highlight w:val="yellow"/>
              </w:rPr>
              <w:t xml:space="preserve">[number]</w:t>
            </w:r>
            <w:r>
              <w:rPr>
                <w:rFonts w:ascii="Nunito Sans" w:cs="Nunito Sans" w:eastAsia="Nunito Sans" w:hAnsi="Nunito Sans"/>
                <w:color w:val="102E3B"/>
                <w:sz w:val="19"/>
                <w:szCs w:val="19"/>
              </w:rPr>
              <w:t xml:space="preserve"> before anything else.</w:t>
            </w:r>
          </w:p>
          <w:p>
            <w:pPr>
              <w:pStyle w:val="ListParagraph"/>
              <w:numPr>
                <w:ilvl w:val="0"/>
                <w:numId w:val="3"/>
              </w:numPr>
              <w:spacing w:after="80" w:line="290"/>
            </w:pPr>
            <w:r>
              <w:rPr>
                <w:rFonts w:ascii="Nunito Sans" w:cs="Nunito Sans" w:eastAsia="Nunito Sans" w:hAnsi="Nunito Sans"/>
                <w:color w:val="102E3B"/>
                <w:sz w:val="19"/>
                <w:szCs w:val="19"/>
              </w:rPr>
              <w:t xml:space="preserve">Report every incident to the incident lead </w:t>
            </w:r>
            <w:r>
              <w:rPr>
                <w:rFonts w:ascii="Nunito Sans" w:cs="Nunito Sans" w:eastAsia="Nunito Sans" w:hAnsi="Nunito Sans"/>
                <w:b/>
                <w:bCs/>
                <w:color w:val="102E3B"/>
                <w:sz w:val="19"/>
                <w:szCs w:val="19"/>
              </w:rPr>
              <w:t xml:space="preserve">within </w:t>
            </w:r>
            <w:r>
              <w:rPr>
                <w:rFonts w:ascii="Nunito Sans" w:cs="Nunito Sans" w:eastAsia="Nunito Sans" w:hAnsi="Nunito Sans"/>
                <w:b/>
                <w:bCs/>
                <w:color w:val="102E3B"/>
                <w:sz w:val="19"/>
                <w:szCs w:val="19"/>
                <w:highlight w:val="yellow"/>
              </w:rPr>
              <w:t xml:space="preserve">[24 hours]</w:t>
            </w:r>
            <w:r>
              <w:rPr>
                <w:rFonts w:ascii="Nunito Sans" w:cs="Nunito Sans" w:eastAsia="Nunito Sans" w:hAnsi="Nunito Sans"/>
                <w:color w:val="102E3B"/>
                <w:sz w:val="19"/>
                <w:szCs w:val="19"/>
              </w:rPr>
              <w:t xml:space="preserve">, and </w:t>
            </w:r>
            <w:r>
              <w:rPr>
                <w:rFonts w:ascii="Nunito Sans" w:cs="Nunito Sans" w:eastAsia="Nunito Sans" w:hAnsi="Nunito Sans"/>
                <w:b/>
                <w:bCs/>
                <w:color w:val="102E3B"/>
                <w:sz w:val="19"/>
                <w:szCs w:val="19"/>
              </w:rPr>
              <w:t xml:space="preserve">immediately</w:t>
            </w:r>
            <w:r>
              <w:rPr>
                <w:rFonts w:ascii="Nunito Sans" w:cs="Nunito Sans" w:eastAsia="Nunito Sans" w:hAnsi="Nunito Sans"/>
                <w:color w:val="102E3B"/>
                <w:sz w:val="19"/>
                <w:szCs w:val="19"/>
              </w:rPr>
              <w:t xml:space="preserve"> if it is high or critical. Safeguarding concerns go to the safeguarding lead. You do not need all the facts.</w:t>
            </w:r>
          </w:p>
          <w:p>
            <w:pPr>
              <w:pStyle w:val="ListParagraph"/>
              <w:numPr>
                <w:ilvl w:val="0"/>
                <w:numId w:val="3"/>
              </w:numPr>
              <w:spacing w:after="80" w:line="290"/>
            </w:pPr>
            <w:r>
              <w:rPr>
                <w:rFonts w:ascii="Nunito Sans" w:cs="Nunito Sans" w:eastAsia="Nunito Sans" w:hAnsi="Nunito Sans"/>
                <w:color w:val="102E3B"/>
                <w:sz w:val="19"/>
                <w:szCs w:val="19"/>
              </w:rPr>
              <w:t xml:space="preserve">The incident lead sets the severity level: low, medium, high or critical.</w:t>
            </w:r>
          </w:p>
          <w:p>
            <w:pPr>
              <w:pStyle w:val="ListParagraph"/>
              <w:numPr>
                <w:ilvl w:val="0"/>
                <w:numId w:val="3"/>
              </w:numPr>
              <w:spacing w:after="80" w:line="290"/>
            </w:pPr>
            <w:r>
              <w:rPr>
                <w:rFonts w:ascii="Nunito Sans" w:cs="Nunito Sans" w:eastAsia="Nunito Sans" w:hAnsi="Nunito Sans"/>
                <w:color w:val="102E3B"/>
                <w:sz w:val="19"/>
                <w:szCs w:val="19"/>
              </w:rPr>
              <w:t xml:space="preserve">High and critical incidents go to the director and the board chair the same day.</w:t>
            </w:r>
          </w:p>
          <w:p>
            <w:pPr>
              <w:pStyle w:val="ListParagraph"/>
              <w:numPr>
                <w:ilvl w:val="0"/>
                <w:numId w:val="3"/>
              </w:numPr>
              <w:spacing w:after="80" w:line="290"/>
            </w:pPr>
            <w:r>
              <w:rPr>
                <w:rFonts w:ascii="Nunito Sans" w:cs="Nunito Sans" w:eastAsia="Nunito Sans" w:hAnsi="Nunito Sans"/>
                <w:color w:val="102E3B"/>
                <w:sz w:val="19"/>
                <w:szCs w:val="19"/>
              </w:rPr>
              <w:t xml:space="preserve">The incident lead makes external reports on time: police, regulators, the data protection authority (often within 72 hours), funders (often within 24 to 72 hours) and insurers.</w:t>
            </w:r>
          </w:p>
          <w:p>
            <w:pPr>
              <w:pStyle w:val="ListParagraph"/>
              <w:numPr>
                <w:ilvl w:val="0"/>
                <w:numId w:val="3"/>
              </w:numPr>
              <w:spacing w:after="80" w:line="290"/>
            </w:pPr>
            <w:r>
              <w:rPr>
                <w:rFonts w:ascii="Nunito Sans" w:cs="Nunito Sans" w:eastAsia="Nunito Sans" w:hAnsi="Nunito Sans"/>
                <w:color w:val="102E3B"/>
                <w:sz w:val="19"/>
                <w:szCs w:val="19"/>
              </w:rPr>
              <w:t xml:space="preserve">Records are confidential. Every incident is closed with a short learning review.</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Purpose and scope</w:t>
      </w:r>
    </w:p>
    <w:p>
      <w:pPr>
        <w:spacing w:after="120" w:before="0" w:line="300"/>
      </w:pPr>
      <w:r>
        <w:rPr>
          <w:rFonts w:ascii="Nunito Sans" w:cs="Nunito Sans" w:eastAsia="Nunito Sans" w:hAnsi="Nunito Sans"/>
          <w:color w:val="102E3B"/>
          <w:sz w:val="20"/>
          <w:szCs w:val="20"/>
        </w:rPr>
        <w:t xml:space="preserve">This procedure explains what to do when an incident happens in connection with </w:t>
      </w: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at work, at our activities, when travelling for us, and online.</w:t>
      </w:r>
    </w:p>
    <w:p>
      <w:pPr>
        <w:spacing w:after="120" w:before="0" w:line="300"/>
      </w:pPr>
      <w:r>
        <w:rPr>
          <w:rFonts w:ascii="Nunito Sans" w:cs="Nunito Sans" w:eastAsia="Nunito Sans" w:hAnsi="Nunito Sans"/>
          <w:color w:val="102E3B"/>
          <w:sz w:val="20"/>
          <w:szCs w:val="20"/>
        </w:rPr>
        <w:t xml:space="preserve">An </w:t>
      </w:r>
      <w:r>
        <w:rPr>
          <w:rFonts w:ascii="Nunito Sans" w:cs="Nunito Sans" w:eastAsia="Nunito Sans" w:hAnsi="Nunito Sans"/>
          <w:b/>
          <w:bCs/>
          <w:color w:val="102E3B"/>
          <w:sz w:val="20"/>
          <w:szCs w:val="20"/>
        </w:rPr>
        <w:t xml:space="preserve">incident</w:t>
      </w:r>
      <w:r>
        <w:rPr>
          <w:rFonts w:ascii="Nunito Sans" w:cs="Nunito Sans" w:eastAsia="Nunito Sans" w:hAnsi="Nunito Sans"/>
          <w:color w:val="102E3B"/>
          <w:sz w:val="20"/>
          <w:szCs w:val="20"/>
        </w:rPr>
        <w:t xml:space="preserve"> is an event that has caused, or could cause, harm to people, money, property, personal information or our reputation. A </w:t>
      </w:r>
      <w:r>
        <w:rPr>
          <w:rFonts w:ascii="Nunito Sans" w:cs="Nunito Sans" w:eastAsia="Nunito Sans" w:hAnsi="Nunito Sans"/>
          <w:b/>
          <w:bCs/>
          <w:color w:val="102E3B"/>
          <w:sz w:val="20"/>
          <w:szCs w:val="20"/>
        </w:rPr>
        <w:t xml:space="preserve">near miss</w:t>
      </w:r>
      <w:r>
        <w:rPr>
          <w:rFonts w:ascii="Nunito Sans" w:cs="Nunito Sans" w:eastAsia="Nunito Sans" w:hAnsi="Nunito Sans"/>
          <w:color w:val="102E3B"/>
          <w:sz w:val="20"/>
          <w:szCs w:val="20"/>
        </w:rPr>
        <w:t xml:space="preserve"> could have caused harm but did not. Report near misses too: they show us where to improve.</w:t>
      </w:r>
    </w:p>
    <w:p>
      <w:pPr>
        <w:spacing w:after="120" w:before="0" w:line="300"/>
      </w:pPr>
      <w:r>
        <w:rPr>
          <w:rFonts w:ascii="Nunito Sans" w:cs="Nunito Sans" w:eastAsia="Nunito Sans" w:hAnsi="Nunito Sans"/>
          <w:color w:val="102E3B"/>
          <w:sz w:val="20"/>
          <w:szCs w:val="20"/>
        </w:rPr>
        <w:t xml:space="preserve">Some incidents are then investigated under their own policy:</w:t>
      </w:r>
    </w:p>
    <w:p>
      <w:pPr>
        <w:pStyle w:val="ListParagraph"/>
        <w:numPr>
          <w:ilvl w:val="0"/>
          <w:numId w:val="3"/>
        </w:numPr>
        <w:spacing w:after="80" w:line="290"/>
      </w:pPr>
      <w:r>
        <w:rPr>
          <w:rFonts w:ascii="Nunito Sans" w:cs="Nunito Sans" w:eastAsia="Nunito Sans" w:hAnsi="Nunito Sans"/>
          <w:color w:val="102E3B"/>
          <w:sz w:val="20"/>
          <w:szCs w:val="20"/>
        </w:rPr>
        <w:t xml:space="preserve">harm, abuse or exploitation: Safeguarding Policy and Procedure;</w:t>
      </w:r>
    </w:p>
    <w:p>
      <w:pPr>
        <w:pStyle w:val="ListParagraph"/>
        <w:numPr>
          <w:ilvl w:val="0"/>
          <w:numId w:val="3"/>
        </w:numPr>
        <w:spacing w:after="80" w:line="290"/>
      </w:pPr>
      <w:r>
        <w:rPr>
          <w:rFonts w:ascii="Nunito Sans" w:cs="Nunito Sans" w:eastAsia="Nunito Sans" w:hAnsi="Nunito Sans"/>
          <w:color w:val="102E3B"/>
          <w:sz w:val="20"/>
          <w:szCs w:val="20"/>
        </w:rPr>
        <w:t xml:space="preserve">fraud, theft, bribery or corruption: Fraud, Bribery and Corruption Policy and Procedure;</w:t>
      </w:r>
    </w:p>
    <w:p>
      <w:pPr>
        <w:pStyle w:val="ListParagraph"/>
        <w:numPr>
          <w:ilvl w:val="0"/>
          <w:numId w:val="3"/>
        </w:numPr>
        <w:spacing w:after="80" w:line="290"/>
      </w:pPr>
      <w:r>
        <w:rPr>
          <w:rFonts w:ascii="Nunito Sans" w:cs="Nunito Sans" w:eastAsia="Nunito Sans" w:hAnsi="Nunito Sans"/>
          <w:color w:val="102E3B"/>
          <w:sz w:val="20"/>
          <w:szCs w:val="20"/>
        </w:rPr>
        <w:t xml:space="preserve">lost, stolen or wrongly shared personal data: Data Breach Response Procedure;</w:t>
      </w:r>
    </w:p>
    <w:p>
      <w:pPr>
        <w:pStyle w:val="ListParagraph"/>
        <w:numPr>
          <w:ilvl w:val="0"/>
          <w:numId w:val="3"/>
        </w:numPr>
        <w:spacing w:after="80" w:line="290"/>
      </w:pPr>
      <w:r>
        <w:rPr>
          <w:rFonts w:ascii="Nunito Sans" w:cs="Nunito Sans" w:eastAsia="Nunito Sans" w:hAnsi="Nunito Sans"/>
          <w:color w:val="102E3B"/>
          <w:sz w:val="20"/>
          <w:szCs w:val="20"/>
        </w:rPr>
        <w:t xml:space="preserve">complaints from the people we serve, supporters or the public: Complaints and Feedback Procedure.</w:t>
      </w:r>
    </w:p>
    <w:p>
      <w:pPr>
        <w:spacing w:after="120" w:before="0" w:line="300"/>
      </w:pPr>
      <w:r>
        <w:rPr>
          <w:rFonts w:ascii="Nunito Sans" w:cs="Nunito Sans" w:eastAsia="Nunito Sans" w:hAnsi="Nunito Sans"/>
          <w:color w:val="102E3B"/>
          <w:sz w:val="20"/>
          <w:szCs w:val="20"/>
        </w:rPr>
        <w:t xml:space="preserve">If you are not sure which applies, report under this procedure. The incident lead will route it. You can also raise a concern confidentially under our Whistleblowing Policy and Procedure.</w:t>
      </w:r>
    </w:p>
    <w:p>
      <w:pPr>
        <w:spacing w:after="120" w:before="0" w:line="300"/>
      </w:pPr>
      <w:r>
        <w:rPr>
          <w:rFonts w:ascii="Nunito Sans" w:cs="Nunito Sans" w:eastAsia="Nunito Sans" w:hAnsi="Nunito Sans"/>
          <w:b/>
          <w:bCs/>
          <w:color w:val="102E3B"/>
          <w:sz w:val="20"/>
          <w:szCs w:val="20"/>
        </w:rPr>
        <w:t xml:space="preserve">Law.</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is registered in </w:t>
      </w:r>
      <w:r>
        <w:rPr>
          <w:rFonts w:ascii="Nunito Sans" w:cs="Nunito Sans" w:eastAsia="Nunito Sans" w:hAnsi="Nunito Sans"/>
          <w:color w:val="102E3B"/>
          <w:sz w:val="20"/>
          <w:szCs w:val="20"/>
          <w:highlight w:val="yellow"/>
        </w:rPr>
        <w:t xml:space="preserve">[country]</w:t>
      </w:r>
      <w:r>
        <w:rPr>
          <w:rFonts w:ascii="Nunito Sans" w:cs="Nunito Sans" w:eastAsia="Nunito Sans" w:hAnsi="Nunito Sans"/>
          <w:color w:val="102E3B"/>
          <w:sz w:val="20"/>
          <w:szCs w:val="20"/>
        </w:rPr>
        <w:t xml:space="preserve"> and follows its laws, and the law of any other country where we work. Where a funder's or partner's rules are stricter than this procedure, the stricter rule applies to their project.</w:t>
      </w:r>
    </w:p>
    <w:p>
      <w:pPr>
        <w:pStyle w:val="Heading1"/>
        <w:keepNext/>
        <w:spacing w:after="160" w:before="360"/>
      </w:pPr>
      <w:r>
        <w:rPr>
          <w:rFonts w:ascii="DM Serif Display" w:cs="DM Serif Display" w:eastAsia="DM Serif Display" w:hAnsi="DM Serif Display"/>
          <w:color w:val="123C48"/>
          <w:sz w:val="40"/>
          <w:szCs w:val="40"/>
        </w:rPr>
        <w:t xml:space="preserve">Severity levels</w:t>
      </w:r>
    </w:p>
    <w:p>
      <w:pPr>
        <w:spacing w:after="120" w:before="0" w:line="300"/>
      </w:pPr>
      <w:r>
        <w:rPr>
          <w:rFonts w:ascii="Nunito Sans" w:cs="Nunito Sans" w:eastAsia="Nunito Sans" w:hAnsi="Nunito Sans"/>
          <w:color w:val="102E3B"/>
          <w:sz w:val="20"/>
          <w:szCs w:val="20"/>
        </w:rPr>
        <w:t xml:space="preserve">The incident lead sets the level on receiving a report. If unsure, choose the higher level: it can go down later.</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38"/>
        <w:gridCol w:w="2571"/>
        <w:gridCol w:w="3428"/>
        <w:gridCol w:w="2287"/>
      </w:tblGrid>
      <w:tr>
        <w:trPr>
          <w:cantSplit/>
          <w:tblHeader/>
        </w:trPr>
        <w:tc>
          <w:tcPr>
            <w:tcW w:type="dxa" w:w="123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LEVEL</w:t>
            </w:r>
          </w:p>
        </w:tc>
        <w:tc>
          <w:tcPr>
            <w:tcW w:type="dxa" w:w="257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WHAT IT MEANS</w:t>
            </w:r>
          </w:p>
        </w:tc>
        <w:tc>
          <w:tcPr>
            <w:tcW w:type="dxa" w:w="342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EXAMPLES</w:t>
            </w:r>
          </w:p>
        </w:tc>
        <w:tc>
          <w:tcPr>
            <w:tcW w:type="dxa" w:w="228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WHO IS TOLD, AND WHEN</w:t>
            </w:r>
          </w:p>
        </w:tc>
      </w:tr>
      <w:tr>
        <w:trPr>
          <w:cantSplit/>
          <w:tblHeader w:val="off"/>
        </w:trPr>
        <w:tc>
          <w:tcPr>
            <w:tcW w:type="dxa" w:w="123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Low</w:t>
            </w:r>
          </w:p>
        </w:tc>
        <w:tc>
          <w:tcPr>
            <w:tcW w:type="dxa" w:w="257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Minor harm or a near miss. No lasting effect.</w:t>
            </w:r>
          </w:p>
        </w:tc>
        <w:tc>
          <w:tcPr>
            <w:tcW w:type="dxa" w:w="342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 minor cut at an activity; a small payment error, found and fixed; a rude comment on social media.</w:t>
            </w:r>
          </w:p>
        </w:tc>
        <w:tc>
          <w:tcPr>
            <w:tcW w:type="dxa" w:w="228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Incident lead within </w:t>
            </w:r>
            <w:r>
              <w:rPr>
                <w:rFonts w:ascii="Nunito Sans" w:cs="Nunito Sans" w:eastAsia="Nunito Sans" w:hAnsi="Nunito Sans"/>
                <w:color w:val="102E3B"/>
                <w:sz w:val="18"/>
                <w:szCs w:val="18"/>
                <w:highlight w:val="yellow"/>
              </w:rPr>
              <w:t xml:space="preserve">[24 hours]</w:t>
            </w:r>
            <w:r>
              <w:rPr>
                <w:rFonts w:ascii="Nunito Sans" w:cs="Nunito Sans" w:eastAsia="Nunito Sans" w:hAnsi="Nunito Sans"/>
                <w:color w:val="102E3B"/>
                <w:sz w:val="18"/>
                <w:szCs w:val="18"/>
              </w:rPr>
              <w:t xml:space="preserve">. Logged.</w:t>
            </w:r>
          </w:p>
        </w:tc>
      </w:tr>
      <w:tr>
        <w:trPr>
          <w:cantSplit/>
          <w:tblHeader w:val="off"/>
        </w:trPr>
        <w:tc>
          <w:tcPr>
            <w:tcW w:type="dxa" w:w="123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Medium</w:t>
            </w:r>
          </w:p>
        </w:tc>
        <w:tc>
          <w:tcPr>
            <w:tcW w:type="dxa" w:w="257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Some harm or loss, or a clear risk of more. Needs a planned response.</w:t>
            </w:r>
          </w:p>
        </w:tc>
        <w:tc>
          <w:tcPr>
            <w:tcW w:type="dxa" w:w="342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An injury needing medical treatment; theft of equipment; an email with personal data sent to the wrong person; a formal complaint about a staff member.</w:t>
            </w:r>
          </w:p>
        </w:tc>
        <w:tc>
          <w:tcPr>
            <w:tcW w:type="dxa" w:w="228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Incident lead within </w:t>
            </w:r>
            <w:r>
              <w:rPr>
                <w:rFonts w:ascii="Nunito Sans" w:cs="Nunito Sans" w:eastAsia="Nunito Sans" w:hAnsi="Nunito Sans"/>
                <w:color w:val="102E3B"/>
                <w:sz w:val="18"/>
                <w:szCs w:val="18"/>
                <w:highlight w:val="yellow"/>
              </w:rPr>
              <w:t xml:space="preserve">[24 hours]</w:t>
            </w:r>
            <w:r>
              <w:rPr>
                <w:rFonts w:ascii="Nunito Sans" w:cs="Nunito Sans" w:eastAsia="Nunito Sans" w:hAnsi="Nunito Sans"/>
                <w:color w:val="102E3B"/>
                <w:sz w:val="18"/>
                <w:szCs w:val="18"/>
              </w:rPr>
              <w:t xml:space="preserve">. Director within </w:t>
            </w:r>
            <w:r>
              <w:rPr>
                <w:rFonts w:ascii="Nunito Sans" w:cs="Nunito Sans" w:eastAsia="Nunito Sans" w:hAnsi="Nunito Sans"/>
                <w:color w:val="102E3B"/>
                <w:sz w:val="18"/>
                <w:szCs w:val="18"/>
                <w:highlight w:val="yellow"/>
              </w:rPr>
              <w:t xml:space="preserve">[2 working days]</w:t>
            </w:r>
            <w:r>
              <w:rPr>
                <w:rFonts w:ascii="Nunito Sans" w:cs="Nunito Sans" w:eastAsia="Nunito Sans" w:hAnsi="Nunito Sans"/>
                <w:color w:val="102E3B"/>
                <w:sz w:val="18"/>
                <w:szCs w:val="18"/>
              </w:rPr>
              <w:t xml:space="preserve">.</w:t>
            </w:r>
          </w:p>
        </w:tc>
      </w:tr>
      <w:tr>
        <w:trPr>
          <w:cantSplit/>
          <w:tblHeader w:val="off"/>
        </w:trPr>
        <w:tc>
          <w:tcPr>
            <w:tcW w:type="dxa" w:w="123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High</w:t>
            </w:r>
          </w:p>
        </w:tc>
        <w:tc>
          <w:tcPr>
            <w:tcW w:type="dxa" w:w="257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Serious harm or loss, or serious risk to people, funds or our reputation. May need outside reporting.</w:t>
            </w:r>
          </w:p>
        </w:tc>
        <w:tc>
          <w:tcPr>
            <w:tcW w:type="dxa" w:w="342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Any safeguarding concern; an allegation of sexual exploitation, abuse or harassment; suspected fraud over </w:t>
            </w:r>
            <w:r>
              <w:rPr>
                <w:rFonts w:ascii="Nunito Sans" w:cs="Nunito Sans" w:eastAsia="Nunito Sans" w:hAnsi="Nunito Sans"/>
                <w:color w:val="102E3B"/>
                <w:sz w:val="18"/>
                <w:szCs w:val="18"/>
                <w:highlight w:val="yellow"/>
              </w:rPr>
              <w:t xml:space="preserve">[amount]</w:t>
            </w:r>
            <w:r>
              <w:rPr>
                <w:rFonts w:ascii="Nunito Sans" w:cs="Nunito Sans" w:eastAsia="Nunito Sans" w:hAnsi="Nunito Sans"/>
                <w:color w:val="102E3B"/>
                <w:sz w:val="18"/>
                <w:szCs w:val="18"/>
              </w:rPr>
              <w:t xml:space="preserve">; a data breach affecting the people we serve; a serious injury; a threat against staff; a serious complaint from a community; negative media coverage.</w:t>
            </w:r>
          </w:p>
        </w:tc>
        <w:tc>
          <w:tcPr>
            <w:tcW w:type="dxa" w:w="228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Incident lead (safeguarding lead for safeguarding) </w:t>
            </w:r>
            <w:r>
              <w:rPr>
                <w:rFonts w:ascii="Nunito Sans" w:cs="Nunito Sans" w:eastAsia="Nunito Sans" w:hAnsi="Nunito Sans"/>
                <w:b/>
                <w:bCs/>
                <w:color w:val="102E3B"/>
                <w:sz w:val="18"/>
                <w:szCs w:val="18"/>
              </w:rPr>
              <w:t xml:space="preserve">immediately</w:t>
            </w:r>
            <w:r>
              <w:rPr>
                <w:rFonts w:ascii="Nunito Sans" w:cs="Nunito Sans" w:eastAsia="Nunito Sans" w:hAnsi="Nunito Sans"/>
                <w:color w:val="102E3B"/>
                <w:sz w:val="18"/>
                <w:szCs w:val="18"/>
              </w:rPr>
              <w:t xml:space="preserve">. Director and board chair the </w:t>
            </w:r>
            <w:r>
              <w:rPr>
                <w:rFonts w:ascii="Nunito Sans" w:cs="Nunito Sans" w:eastAsia="Nunito Sans" w:hAnsi="Nunito Sans"/>
                <w:b/>
                <w:bCs/>
                <w:color w:val="102E3B"/>
                <w:sz w:val="18"/>
                <w:szCs w:val="18"/>
              </w:rPr>
              <w:t xml:space="preserve">same day</w:t>
            </w:r>
            <w:r>
              <w:rPr>
                <w:rFonts w:ascii="Nunito Sans" w:cs="Nunito Sans" w:eastAsia="Nunito Sans" w:hAnsi="Nunito Sans"/>
                <w:color w:val="102E3B"/>
                <w:sz w:val="18"/>
                <w:szCs w:val="18"/>
              </w:rPr>
              <w:t xml:space="preserve">, unless involved.</w:t>
            </w:r>
          </w:p>
        </w:tc>
      </w:tr>
      <w:tr>
        <w:trPr>
          <w:cantSplit/>
          <w:tblHeader w:val="off"/>
        </w:trPr>
        <w:tc>
          <w:tcPr>
            <w:tcW w:type="dxa" w:w="123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Critical</w:t>
            </w:r>
          </w:p>
        </w:tc>
        <w:tc>
          <w:tcPr>
            <w:tcW w:type="dxa" w:w="257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Life-threatening, or a threat to our ability to operate.</w:t>
            </w:r>
          </w:p>
        </w:tc>
        <w:tc>
          <w:tcPr>
            <w:tcW w:type="dxa" w:w="342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 death; kidnapping, arrest or detention of anyone working for us; a sexual assault; large-scale fraud; a serious breach of sensitive data; a ban on our work; a national media crisis.</w:t>
            </w:r>
          </w:p>
        </w:tc>
        <w:tc>
          <w:tcPr>
            <w:tcW w:type="dxa" w:w="228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Incident lead </w:t>
            </w:r>
            <w:r>
              <w:rPr>
                <w:rFonts w:ascii="Nunito Sans" w:cs="Nunito Sans" w:eastAsia="Nunito Sans" w:hAnsi="Nunito Sans"/>
                <w:b/>
                <w:bCs/>
                <w:color w:val="102E3B"/>
                <w:sz w:val="18"/>
                <w:szCs w:val="18"/>
              </w:rPr>
              <w:t xml:space="preserve">immediately</w:t>
            </w:r>
            <w:r>
              <w:rPr>
                <w:rFonts w:ascii="Nunito Sans" w:cs="Nunito Sans" w:eastAsia="Nunito Sans" w:hAnsi="Nunito Sans"/>
                <w:color w:val="102E3B"/>
                <w:sz w:val="18"/>
                <w:szCs w:val="18"/>
              </w:rPr>
              <w:t xml:space="preserve"> by phone. Director and board chair </w:t>
            </w:r>
            <w:r>
              <w:rPr>
                <w:rFonts w:ascii="Nunito Sans" w:cs="Nunito Sans" w:eastAsia="Nunito Sans" w:hAnsi="Nunito Sans"/>
                <w:b/>
                <w:bCs/>
                <w:color w:val="102E3B"/>
                <w:sz w:val="18"/>
                <w:szCs w:val="18"/>
              </w:rPr>
              <w:t xml:space="preserve">within </w:t>
            </w:r>
            <w:r>
              <w:rPr>
                <w:rFonts w:ascii="Nunito Sans" w:cs="Nunito Sans" w:eastAsia="Nunito Sans" w:hAnsi="Nunito Sans"/>
                <w:b/>
                <w:bCs/>
                <w:color w:val="102E3B"/>
                <w:sz w:val="18"/>
                <w:szCs w:val="18"/>
                <w:highlight w:val="yellow"/>
              </w:rPr>
              <w:t xml:space="preserve">[2 hours]</w:t>
            </w:r>
            <w:r>
              <w:rPr>
                <w:rFonts w:ascii="Nunito Sans" w:cs="Nunito Sans" w:eastAsia="Nunito Sans" w:hAnsi="Nunito Sans"/>
                <w:color w:val="102E3B"/>
                <w:sz w:val="18"/>
                <w:szCs w:val="18"/>
              </w:rPr>
              <w:t xml:space="preserve">.</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SEVERITY LEVELS AND THRESHOLDS</w:t>
            </w:r>
          </w:p>
          <w:p>
            <w:pPr>
              <w:spacing w:after="120" w:before="0" w:line="300"/>
            </w:pPr>
            <w:r>
              <w:rPr>
                <w:rFonts w:ascii="Nunito Sans" w:cs="Nunito Sans" w:eastAsia="Nunito Sans" w:hAnsi="Nunito Sans"/>
                <w:color w:val="102E3B"/>
                <w:sz w:val="19"/>
                <w:szCs w:val="19"/>
              </w:rPr>
              <w:t xml:space="preserve">Set a money threshold for "high" that fits your budget, for example any loss over </w:t>
            </w:r>
            <w:r>
              <w:rPr>
                <w:rFonts w:ascii="Nunito Sans" w:cs="Nunito Sans" w:eastAsia="Nunito Sans" w:hAnsi="Nunito Sans"/>
                <w:color w:val="102E3B"/>
                <w:sz w:val="19"/>
                <w:szCs w:val="19"/>
                <w:highlight w:val="yellow"/>
              </w:rPr>
              <w:t xml:space="preserve">[amount and currency]</w:t>
            </w:r>
            <w:r>
              <w:rPr>
                <w:rFonts w:ascii="Nunito Sans" w:cs="Nunito Sans" w:eastAsia="Nunito Sans" w:hAnsi="Nunito Sans"/>
                <w:color w:val="102E3B"/>
                <w:sz w:val="19"/>
                <w:szCs w:val="19"/>
              </w:rPr>
              <w:t xml:space="preserve">. We recommend treating every safeguarding concern as at least high, because of the risk to the person affected and the reporting duties that may follow. Add examples from your own work, such as a child going missing at a club, a vehicle accident in the field or a cyber attack. If your grant agreements define a "serious incident", copy that definition here so nothing is missed.</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Step 1: Make people safe</w:t>
      </w:r>
    </w:p>
    <w:p>
      <w:pPr>
        <w:pStyle w:val="ListParagraph"/>
        <w:numPr>
          <w:ilvl w:val="0"/>
          <w:numId w:val="4"/>
        </w:numPr>
        <w:spacing w:after="80" w:line="290"/>
      </w:pPr>
      <w:r>
        <w:rPr>
          <w:rFonts w:ascii="Nunito Sans" w:cs="Nunito Sans" w:eastAsia="Nunito Sans" w:hAnsi="Nunito Sans"/>
          <w:b/>
          <w:bCs/>
          <w:color w:val="102E3B"/>
          <w:sz w:val="20"/>
          <w:szCs w:val="20"/>
        </w:rPr>
        <w:t xml:space="preserve">If anyone is in immediate danger</w:t>
      </w:r>
      <w:r>
        <w:rPr>
          <w:rFonts w:ascii="Nunito Sans" w:cs="Nunito Sans" w:eastAsia="Nunito Sans" w:hAnsi="Nunito Sans"/>
          <w:color w:val="102E3B"/>
          <w:sz w:val="20"/>
          <w:szCs w:val="20"/>
        </w:rPr>
        <w:t xml:space="preserve">, call emergency services on </w:t>
      </w:r>
      <w:r>
        <w:rPr>
          <w:rFonts w:ascii="Nunito Sans" w:cs="Nunito Sans" w:eastAsia="Nunito Sans" w:hAnsi="Nunito Sans"/>
          <w:color w:val="102E3B"/>
          <w:sz w:val="20"/>
          <w:szCs w:val="20"/>
          <w:highlight w:val="yellow"/>
        </w:rPr>
        <w:t xml:space="preserve">[emergency number]</w:t>
      </w:r>
      <w:r>
        <w:rPr>
          <w:rFonts w:ascii="Nunito Sans" w:cs="Nunito Sans" w:eastAsia="Nunito Sans" w:hAnsi="Nunito Sans"/>
          <w:color w:val="102E3B"/>
          <w:sz w:val="20"/>
          <w:szCs w:val="20"/>
        </w:rPr>
        <w:t xml:space="preserve"> or the police on </w:t>
      </w:r>
      <w:r>
        <w:rPr>
          <w:rFonts w:ascii="Nunito Sans" w:cs="Nunito Sans" w:eastAsia="Nunito Sans" w:hAnsi="Nunito Sans"/>
          <w:color w:val="102E3B"/>
          <w:sz w:val="20"/>
          <w:szCs w:val="20"/>
          <w:highlight w:val="yellow"/>
        </w:rPr>
        <w:t xml:space="preserve">[police number]</w:t>
      </w:r>
      <w:r>
        <w:rPr>
          <w:rFonts w:ascii="Nunito Sans" w:cs="Nunito Sans" w:eastAsia="Nunito Sans" w:hAnsi="Nunito Sans"/>
          <w:color w:val="102E3B"/>
          <w:sz w:val="20"/>
          <w:szCs w:val="20"/>
        </w:rPr>
        <w:t xml:space="preserve">. Get medical help for anyone injured.</w:t>
      </w:r>
    </w:p>
    <w:p>
      <w:pPr>
        <w:pStyle w:val="ListParagraph"/>
        <w:numPr>
          <w:ilvl w:val="0"/>
          <w:numId w:val="4"/>
        </w:numPr>
        <w:spacing w:after="80" w:line="290"/>
      </w:pPr>
      <w:r>
        <w:rPr>
          <w:rFonts w:ascii="Nunito Sans" w:cs="Nunito Sans" w:eastAsia="Nunito Sans" w:hAnsi="Nunito Sans"/>
          <w:b/>
          <w:bCs/>
          <w:color w:val="102E3B"/>
          <w:sz w:val="20"/>
          <w:szCs w:val="20"/>
        </w:rPr>
        <w:t xml:space="preserve">Protect yourself.</w:t>
      </w:r>
      <w:r>
        <w:rPr>
          <w:rFonts w:ascii="Nunito Sans" w:cs="Nunito Sans" w:eastAsia="Nunito Sans" w:hAnsi="Nunito Sans"/>
          <w:color w:val="102E3B"/>
          <w:sz w:val="20"/>
          <w:szCs w:val="20"/>
        </w:rPr>
        <w:t xml:space="preserve"> Do not put yourself at risk to protect property or evidence.</w:t>
      </w:r>
    </w:p>
    <w:p>
      <w:pPr>
        <w:pStyle w:val="ListParagraph"/>
        <w:numPr>
          <w:ilvl w:val="0"/>
          <w:numId w:val="4"/>
        </w:numPr>
        <w:spacing w:after="80" w:line="290"/>
      </w:pPr>
      <w:r>
        <w:rPr>
          <w:rFonts w:ascii="Nunito Sans" w:cs="Nunito Sans" w:eastAsia="Nunito Sans" w:hAnsi="Nunito Sans"/>
          <w:b/>
          <w:bCs/>
          <w:color w:val="102E3B"/>
          <w:sz w:val="20"/>
          <w:szCs w:val="20"/>
        </w:rPr>
        <w:t xml:space="preserve">Stop the harm if you safely can</w:t>
      </w:r>
      <w:r>
        <w:rPr>
          <w:rFonts w:ascii="Nunito Sans" w:cs="Nunito Sans" w:eastAsia="Nunito Sans" w:hAnsi="Nunito Sans"/>
          <w:color w:val="102E3B"/>
          <w:sz w:val="20"/>
          <w:szCs w:val="20"/>
        </w:rPr>
        <w:t xml:space="preserve">, for example by moving people away from a hazard or disconnecting a compromised device from the network.</w:t>
      </w:r>
    </w:p>
    <w:p>
      <w:pPr>
        <w:pStyle w:val="ListParagraph"/>
        <w:numPr>
          <w:ilvl w:val="0"/>
          <w:numId w:val="4"/>
        </w:numPr>
        <w:spacing w:after="80" w:line="290"/>
      </w:pPr>
      <w:r>
        <w:rPr>
          <w:rFonts w:ascii="Nunito Sans" w:cs="Nunito Sans" w:eastAsia="Nunito Sans" w:hAnsi="Nunito Sans"/>
          <w:b/>
          <w:bCs/>
          <w:color w:val="102E3B"/>
          <w:sz w:val="20"/>
          <w:szCs w:val="20"/>
        </w:rPr>
        <w:t xml:space="preserve">Look after the person affected.</w:t>
      </w:r>
      <w:r>
        <w:rPr>
          <w:rFonts w:ascii="Nunito Sans" w:cs="Nunito Sans" w:eastAsia="Nunito Sans" w:hAnsi="Nunito Sans"/>
          <w:color w:val="102E3B"/>
          <w:sz w:val="20"/>
          <w:szCs w:val="20"/>
        </w:rPr>
        <w:t xml:space="preserve"> Listen, stay calm, and tell them they were right to speak up. Do not ask leading questions or promise to keep secrets.</w:t>
      </w:r>
    </w:p>
    <w:p>
      <w:pPr>
        <w:pStyle w:val="ListParagraph"/>
        <w:numPr>
          <w:ilvl w:val="0"/>
          <w:numId w:val="4"/>
        </w:numPr>
        <w:spacing w:after="80" w:line="290"/>
      </w:pPr>
      <w:r>
        <w:rPr>
          <w:rFonts w:ascii="Nunito Sans" w:cs="Nunito Sans" w:eastAsia="Nunito Sans" w:hAnsi="Nunito Sans"/>
          <w:b/>
          <w:bCs/>
          <w:color w:val="102E3B"/>
          <w:sz w:val="20"/>
          <w:szCs w:val="20"/>
        </w:rPr>
        <w:t xml:space="preserve">Preserve evidence.</w:t>
      </w:r>
      <w:r>
        <w:rPr>
          <w:rFonts w:ascii="Nunito Sans" w:cs="Nunito Sans" w:eastAsia="Nunito Sans" w:hAnsi="Nunito Sans"/>
          <w:color w:val="102E3B"/>
          <w:sz w:val="20"/>
          <w:szCs w:val="20"/>
        </w:rPr>
        <w:t xml:space="preserve"> Do not delete messages, clean up or change records. Never photograph a person who has been harmed.</w:t>
      </w:r>
    </w:p>
    <w:p>
      <w:pPr>
        <w:pStyle w:val="ListParagraph"/>
        <w:numPr>
          <w:ilvl w:val="0"/>
          <w:numId w:val="4"/>
        </w:numPr>
        <w:spacing w:after="80" w:line="290"/>
      </w:pPr>
      <w:r>
        <w:rPr>
          <w:rFonts w:ascii="Nunito Sans" w:cs="Nunito Sans" w:eastAsia="Nunito Sans" w:hAnsi="Nunito Sans"/>
          <w:b/>
          <w:bCs/>
          <w:color w:val="102E3B"/>
          <w:sz w:val="20"/>
          <w:szCs w:val="20"/>
        </w:rPr>
        <w:t xml:space="preserve">Do not investigate or confront anyone</w:t>
      </w:r>
      <w:r>
        <w:rPr>
          <w:rFonts w:ascii="Nunito Sans" w:cs="Nunito Sans" w:eastAsia="Nunito Sans" w:hAnsi="Nunito Sans"/>
          <w:color w:val="102E3B"/>
          <w:sz w:val="20"/>
          <w:szCs w:val="20"/>
        </w:rPr>
        <w:t xml:space="preserve"> you think is responsible. It can put people at risk.</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LOCAL EMERGENCY CONTACTS</w:t>
            </w:r>
          </w:p>
          <w:p>
            <w:pPr>
              <w:spacing w:after="120" w:before="0" w:line="300"/>
            </w:pPr>
            <w:r>
              <w:rPr>
                <w:rFonts w:ascii="Nunito Sans" w:cs="Nunito Sans" w:eastAsia="Nunito Sans" w:hAnsi="Nunito Sans"/>
                <w:color w:val="102E3B"/>
                <w:sz w:val="19"/>
                <w:szCs w:val="19"/>
              </w:rPr>
              <w:t xml:space="preserve">List real numbers for each place you work: police, ambulance, fire, the nearest hospital or clinic, and security contacts. Common numbers include 112 (EU and many other countries), 999 (UK, Kenya and others) and 911 (US and several Latin American countries), but coverage and response vary: check locally and test the number. Where calling the police could put survivors or staff at risk, write down who decides and how. Keep the list in everyone's phone.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Step 2: Report it</w:t>
      </w:r>
    </w:p>
    <w:p>
      <w:pPr>
        <w:spacing w:after="120" w:before="0" w:line="300"/>
      </w:pPr>
      <w:r>
        <w:rPr>
          <w:rFonts w:ascii="Nunito Sans" w:cs="Nunito Sans" w:eastAsia="Nunito Sans" w:hAnsi="Nunito Sans"/>
          <w:color w:val="102E3B"/>
          <w:sz w:val="20"/>
          <w:szCs w:val="20"/>
        </w:rPr>
        <w:t xml:space="preserve">Report every incident to the incident lead, even if it seems small or someone else may already have reported it.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74"/>
        <w:gridCol w:w="3174"/>
        <w:gridCol w:w="3176"/>
      </w:tblGrid>
      <w:tr>
        <w:trPr>
          <w:cantSplit/>
          <w:tblHeader/>
        </w:trPr>
        <w:tc>
          <w:tcPr>
            <w:tcW w:type="dxa" w:w="317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HOW SERIOUS</w:t>
            </w:r>
          </w:p>
        </w:tc>
        <w:tc>
          <w:tcPr>
            <w:tcW w:type="dxa" w:w="317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HOW TO REPORT</w:t>
            </w:r>
          </w:p>
        </w:tc>
        <w:tc>
          <w:tcPr>
            <w:tcW w:type="dxa" w:w="317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TIME LIMIT</w:t>
            </w:r>
          </w:p>
        </w:tc>
      </w:tr>
      <w:tr>
        <w:trPr>
          <w:cantSplit/>
          <w:tblHeader w:val="off"/>
        </w:trPr>
        <w:tc>
          <w:tcPr>
            <w:tcW w:type="dxa" w:w="317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Critical</w:t>
            </w:r>
          </w:p>
        </w:tc>
        <w:tc>
          <w:tcPr>
            <w:tcW w:type="dxa" w:w="317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Phone the incident lead on </w:t>
            </w:r>
            <w:r>
              <w:rPr>
                <w:rFonts w:ascii="Nunito Sans" w:cs="Nunito Sans" w:eastAsia="Nunito Sans" w:hAnsi="Nunito Sans"/>
                <w:color w:val="102E3B"/>
                <w:sz w:val="18"/>
                <w:szCs w:val="18"/>
                <w:highlight w:val="yellow"/>
              </w:rPr>
              <w:t xml:space="preserve">[number]</w:t>
            </w:r>
            <w:r>
              <w:rPr>
                <w:rFonts w:ascii="Nunito Sans" w:cs="Nunito Sans" w:eastAsia="Nunito Sans" w:hAnsi="Nunito Sans"/>
                <w:color w:val="102E3B"/>
                <w:sz w:val="18"/>
                <w:szCs w:val="18"/>
              </w:rPr>
              <w:t xml:space="preserve">. No answer within </w:t>
            </w:r>
            <w:r>
              <w:rPr>
                <w:rFonts w:ascii="Nunito Sans" w:cs="Nunito Sans" w:eastAsia="Nunito Sans" w:hAnsi="Nunito Sans"/>
                <w:color w:val="102E3B"/>
                <w:sz w:val="18"/>
                <w:szCs w:val="18"/>
                <w:highlight w:val="yellow"/>
              </w:rPr>
              <w:t xml:space="preserve">[30 minutes]</w:t>
            </w:r>
            <w:r>
              <w:rPr>
                <w:rFonts w:ascii="Nunito Sans" w:cs="Nunito Sans" w:eastAsia="Nunito Sans" w:hAnsi="Nunito Sans"/>
                <w:color w:val="102E3B"/>
                <w:sz w:val="18"/>
                <w:szCs w:val="18"/>
              </w:rPr>
              <w:t xml:space="preserve">: phone the deputy on </w:t>
            </w:r>
            <w:r>
              <w:rPr>
                <w:rFonts w:ascii="Nunito Sans" w:cs="Nunito Sans" w:eastAsia="Nunito Sans" w:hAnsi="Nunito Sans"/>
                <w:color w:val="102E3B"/>
                <w:sz w:val="18"/>
                <w:szCs w:val="18"/>
                <w:highlight w:val="yellow"/>
              </w:rPr>
              <w:t xml:space="preserve">[number]</w:t>
            </w:r>
            <w:r>
              <w:rPr>
                <w:rFonts w:ascii="Nunito Sans" w:cs="Nunito Sans" w:eastAsia="Nunito Sans" w:hAnsi="Nunito Sans"/>
                <w:color w:val="102E3B"/>
                <w:sz w:val="18"/>
                <w:szCs w:val="18"/>
              </w:rPr>
              <w:t xml:space="preserve">. Follow up in writing.</w:t>
            </w:r>
          </w:p>
        </w:tc>
        <w:tc>
          <w:tcPr>
            <w:tcW w:type="dxa" w:w="31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Immediately</w:t>
            </w:r>
          </w:p>
        </w:tc>
      </w:tr>
      <w:tr>
        <w:trPr>
          <w:cantSplit/>
          <w:tblHeader w:val="off"/>
        </w:trPr>
        <w:tc>
          <w:tcPr>
            <w:tcW w:type="dxa" w:w="317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High</w:t>
            </w:r>
          </w:p>
        </w:tc>
        <w:tc>
          <w:tcPr>
            <w:tcW w:type="dxa" w:w="317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Phone or message the incident lead, then send the report form (Annex A).</w:t>
            </w:r>
          </w:p>
        </w:tc>
        <w:tc>
          <w:tcPr>
            <w:tcW w:type="dxa" w:w="31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Immediately; form within </w:t>
            </w:r>
            <w:r>
              <w:rPr>
                <w:rFonts w:ascii="Nunito Sans" w:cs="Nunito Sans" w:eastAsia="Nunito Sans" w:hAnsi="Nunito Sans"/>
                <w:color w:val="102E3B"/>
                <w:sz w:val="18"/>
                <w:szCs w:val="18"/>
                <w:highlight w:val="yellow"/>
              </w:rPr>
              <w:t xml:space="preserve">[24 hours]</w:t>
            </w:r>
          </w:p>
        </w:tc>
      </w:tr>
      <w:tr>
        <w:trPr>
          <w:cantSplit/>
          <w:tblHeader w:val="off"/>
        </w:trPr>
        <w:tc>
          <w:tcPr>
            <w:tcW w:type="dxa" w:w="317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Medium or low</w:t>
            </w:r>
          </w:p>
        </w:tc>
        <w:tc>
          <w:tcPr>
            <w:tcW w:type="dxa" w:w="317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Send the report form to </w:t>
            </w:r>
            <w:r>
              <w:rPr>
                <w:rFonts w:ascii="Nunito Sans" w:cs="Nunito Sans" w:eastAsia="Nunito Sans" w:hAnsi="Nunito Sans"/>
                <w:color w:val="102E3B"/>
                <w:sz w:val="18"/>
                <w:szCs w:val="18"/>
                <w:highlight w:val="yellow"/>
              </w:rPr>
              <w:t xml:space="preserve">[incidents@yourorganisation.org]</w:t>
            </w:r>
            <w:r>
              <w:rPr>
                <w:rFonts w:ascii="Nunito Sans" w:cs="Nunito Sans" w:eastAsia="Nunito Sans" w:hAnsi="Nunito Sans"/>
                <w:color w:val="102E3B"/>
                <w:sz w:val="18"/>
                <w:szCs w:val="18"/>
              </w:rPr>
              <w:t xml:space="preserve">.</w:t>
            </w:r>
          </w:p>
        </w:tc>
        <w:tc>
          <w:tcPr>
            <w:tcW w:type="dxa" w:w="31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Within </w:t>
            </w:r>
            <w:r>
              <w:rPr>
                <w:rFonts w:ascii="Nunito Sans" w:cs="Nunito Sans" w:eastAsia="Nunito Sans" w:hAnsi="Nunito Sans"/>
                <w:color w:val="102E3B"/>
                <w:sz w:val="18"/>
                <w:szCs w:val="18"/>
                <w:highlight w:val="yellow"/>
              </w:rPr>
              <w:t xml:space="preserve">[24 hours]</w:t>
            </w:r>
          </w:p>
        </w:tc>
      </w:tr>
      <w:tr>
        <w:trPr>
          <w:cantSplit/>
          <w:tblHeader w:val="off"/>
        </w:trPr>
        <w:tc>
          <w:tcPr>
            <w:tcW w:type="dxa" w:w="317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Near miss</w:t>
            </w:r>
          </w:p>
        </w:tc>
        <w:tc>
          <w:tcPr>
            <w:tcW w:type="dxa" w:w="317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Send the form, or raise it at the next team meeting.</w:t>
            </w:r>
          </w:p>
        </w:tc>
        <w:tc>
          <w:tcPr>
            <w:tcW w:type="dxa" w:w="31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Within </w:t>
            </w:r>
            <w:r>
              <w:rPr>
                <w:rFonts w:ascii="Nunito Sans" w:cs="Nunito Sans" w:eastAsia="Nunito Sans" w:hAnsi="Nunito Sans"/>
                <w:color w:val="102E3B"/>
                <w:sz w:val="18"/>
                <w:szCs w:val="18"/>
                <w:highlight w:val="yellow"/>
              </w:rPr>
              <w:t xml:space="preserve">[5 working days]</w:t>
            </w:r>
          </w:p>
        </w:tc>
      </w:tr>
    </w:tbl>
    <w:p>
      <w:pPr>
        <w:spacing w:after="120"/>
      </w:pPr>
    </w:p>
    <w:p>
      <w:pPr>
        <w:spacing w:after="120" w:before="0" w:line="300"/>
      </w:pPr>
      <w:r>
        <w:rPr>
          <w:rFonts w:ascii="Nunito Sans" w:cs="Nunito Sans" w:eastAsia="Nunito Sans" w:hAnsi="Nunito Sans"/>
          <w:color w:val="102E3B"/>
          <w:sz w:val="20"/>
          <w:szCs w:val="20"/>
        </w:rPr>
        <w:t xml:space="preserve">You do not need proof. Report what you saw, heard or were told, in plain words. If you cannot use the form, report by phone or in person and the incident lead will complete it with you. Do not put names or sensitive details in group chats.</w:t>
      </w:r>
    </w:p>
    <w:p>
      <w:pPr>
        <w:spacing w:after="120" w:before="0" w:line="300"/>
      </w:pPr>
      <w:r>
        <w:rPr>
          <w:rFonts w:ascii="Nunito Sans" w:cs="Nunito Sans" w:eastAsia="Nunito Sans" w:hAnsi="Nunito Sans"/>
          <w:b/>
          <w:bCs/>
          <w:color w:val="102E3B"/>
          <w:sz w:val="20"/>
          <w:szCs w:val="20"/>
        </w:rPr>
        <w:t xml:space="preserve">If the incident involves the incident lead,</w:t>
      </w:r>
      <w:r>
        <w:rPr>
          <w:rFonts w:ascii="Nunito Sans" w:cs="Nunito Sans" w:eastAsia="Nunito Sans" w:hAnsi="Nunito Sans"/>
          <w:color w:val="102E3B"/>
          <w:sz w:val="20"/>
          <w:szCs w:val="20"/>
        </w:rPr>
        <w:t xml:space="preserve"> report to the deputy, </w:t>
      </w:r>
      <w:r>
        <w:rPr>
          <w:rFonts w:ascii="Nunito Sans" w:cs="Nunito Sans" w:eastAsia="Nunito Sans" w:hAnsi="Nunito Sans"/>
          <w:color w:val="102E3B"/>
          <w:sz w:val="20"/>
          <w:szCs w:val="20"/>
          <w:highlight w:val="yellow"/>
        </w:rPr>
        <w:t xml:space="preserve">[Name, role]</w:t>
      </w:r>
      <w:r>
        <w:rPr>
          <w:rFonts w:ascii="Nunito Sans" w:cs="Nunito Sans" w:eastAsia="Nunito Sans" w:hAnsi="Nunito Sans"/>
          <w:color w:val="102E3B"/>
          <w:sz w:val="20"/>
          <w:szCs w:val="20"/>
        </w:rPr>
        <w:t xml:space="preserve">, at </w:t>
      </w:r>
      <w:r>
        <w:rPr>
          <w:rFonts w:ascii="Nunito Sans" w:cs="Nunito Sans" w:eastAsia="Nunito Sans" w:hAnsi="Nunito Sans"/>
          <w:color w:val="102E3B"/>
          <w:sz w:val="20"/>
          <w:szCs w:val="20"/>
          <w:highlight w:val="yellow"/>
        </w:rPr>
        <w:t xml:space="preserve">[email / phone]</w:t>
      </w:r>
      <w:r>
        <w:rPr>
          <w:rFonts w:ascii="Nunito Sans" w:cs="Nunito Sans" w:eastAsia="Nunito Sans" w:hAnsi="Nunito Sans"/>
          <w:color w:val="102E3B"/>
          <w:sz w:val="20"/>
          <w:szCs w:val="20"/>
        </w:rPr>
        <w:t xml:space="preserve">. If it involves the director, report to the board chair, </w:t>
      </w:r>
      <w:r>
        <w:rPr>
          <w:rFonts w:ascii="Nunito Sans" w:cs="Nunito Sans" w:eastAsia="Nunito Sans" w:hAnsi="Nunito Sans"/>
          <w:color w:val="102E3B"/>
          <w:sz w:val="20"/>
          <w:szCs w:val="20"/>
          <w:highlight w:val="yellow"/>
        </w:rPr>
        <w:t xml:space="preserve">[Name]</w:t>
      </w:r>
      <w:r>
        <w:rPr>
          <w:rFonts w:ascii="Nunito Sans" w:cs="Nunito Sans" w:eastAsia="Nunito Sans" w:hAnsi="Nunito Sans"/>
          <w:color w:val="102E3B"/>
          <w:sz w:val="20"/>
          <w:szCs w:val="20"/>
        </w:rPr>
        <w:t xml:space="preserve">, at </w:t>
      </w:r>
      <w:r>
        <w:rPr>
          <w:rFonts w:ascii="Nunito Sans" w:cs="Nunito Sans" w:eastAsia="Nunito Sans" w:hAnsi="Nunito Sans"/>
          <w:color w:val="102E3B"/>
          <w:sz w:val="20"/>
          <w:szCs w:val="20"/>
          <w:highlight w:val="yellow"/>
        </w:rPr>
        <w:t xml:space="preserve">[email / phone]</w:t>
      </w:r>
      <w:r>
        <w:rPr>
          <w:rFonts w:ascii="Nunito Sans" w:cs="Nunito Sans" w:eastAsia="Nunito Sans" w:hAnsi="Nunito Sans"/>
          <w:color w:val="102E3B"/>
          <w:sz w:val="20"/>
          <w:szCs w:val="20"/>
        </w:rPr>
        <w:t xml:space="preserve">. </w:t>
      </w:r>
      <w:r>
        <w:rPr>
          <w:rFonts w:ascii="Nunito Sans" w:cs="Nunito Sans" w:eastAsia="Nunito Sans" w:hAnsi="Nunito Sans"/>
          <w:b/>
          <w:bCs/>
          <w:color w:val="102E3B"/>
          <w:sz w:val="20"/>
          <w:szCs w:val="20"/>
        </w:rPr>
        <w:t xml:space="preserve">Safeguarding concerns</w:t>
      </w:r>
      <w:r>
        <w:rPr>
          <w:rFonts w:ascii="Nunito Sans" w:cs="Nunito Sans" w:eastAsia="Nunito Sans" w:hAnsi="Nunito Sans"/>
          <w:color w:val="102E3B"/>
          <w:sz w:val="20"/>
          <w:szCs w:val="20"/>
        </w:rPr>
        <w:t xml:space="preserve"> go to the safeguarding lead, not the incident lead, within the time limits of the Safeguarding Policy and Procedure: </w:t>
      </w:r>
      <w:r>
        <w:rPr>
          <w:rFonts w:ascii="Nunito Sans" w:cs="Nunito Sans" w:eastAsia="Nunito Sans" w:hAnsi="Nunito Sans"/>
          <w:color w:val="102E3B"/>
          <w:sz w:val="20"/>
          <w:szCs w:val="20"/>
          <w:highlight w:val="yellow"/>
        </w:rPr>
        <w:t xml:space="preserve">[2 hours]</w:t>
      </w:r>
      <w:r>
        <w:rPr>
          <w:rFonts w:ascii="Nunito Sans" w:cs="Nunito Sans" w:eastAsia="Nunito Sans" w:hAnsi="Nunito Sans"/>
          <w:color w:val="102E3B"/>
          <w:sz w:val="20"/>
          <w:szCs w:val="20"/>
        </w:rPr>
        <w:t xml:space="preserve"> if someone is in danger or it is serious, otherwise </w:t>
      </w:r>
      <w:r>
        <w:rPr>
          <w:rFonts w:ascii="Nunito Sans" w:cs="Nunito Sans" w:eastAsia="Nunito Sans" w:hAnsi="Nunito Sans"/>
          <w:color w:val="102E3B"/>
          <w:sz w:val="20"/>
          <w:szCs w:val="20"/>
          <w:highlight w:val="yellow"/>
        </w:rPr>
        <w:t xml:space="preserve">[24 hours]</w:t>
      </w:r>
      <w:r>
        <w:rPr>
          <w:rFonts w:ascii="Nunito Sans" w:cs="Nunito Sans" w:eastAsia="Nunito Sans" w:hAnsi="Nunito Sans"/>
          <w:color w:val="102E3B"/>
          <w:sz w:val="20"/>
          <w:szCs w:val="20"/>
        </w:rPr>
        <w:t xml:space="preserve">. The safeguarding lead logs only a reference number and level here, and tells the director and board chair only what they need, without names. </w:t>
      </w:r>
      <w:r>
        <w:rPr>
          <w:rFonts w:ascii="Nunito Sans" w:cs="Nunito Sans" w:eastAsia="Nunito Sans" w:hAnsi="Nunito Sans"/>
          <w:b/>
          <w:bCs/>
          <w:color w:val="102E3B"/>
          <w:sz w:val="20"/>
          <w:szCs w:val="20"/>
        </w:rPr>
        <w:t xml:space="preserve">Partners and contractors</w:t>
      </w:r>
      <w:r>
        <w:rPr>
          <w:rFonts w:ascii="Nunito Sans" w:cs="Nunito Sans" w:eastAsia="Nunito Sans" w:hAnsi="Nunito Sans"/>
          <w:color w:val="102E3B"/>
          <w:sz w:val="20"/>
          <w:szCs w:val="20"/>
        </w:rPr>
        <w:t xml:space="preserve"> report incidents connected to our work to our incident lead within </w:t>
      </w:r>
      <w:r>
        <w:rPr>
          <w:rFonts w:ascii="Nunito Sans" w:cs="Nunito Sans" w:eastAsia="Nunito Sans" w:hAnsi="Nunito Sans"/>
          <w:color w:val="102E3B"/>
          <w:sz w:val="20"/>
          <w:szCs w:val="20"/>
          <w:highlight w:val="yellow"/>
        </w:rPr>
        <w:t xml:space="preserve">[24 hours]</w:t>
      </w:r>
      <w:r>
        <w:rPr>
          <w:rFonts w:ascii="Nunito Sans" w:cs="Nunito Sans" w:eastAsia="Nunito Sans" w:hAnsi="Nunito Sans"/>
          <w:color w:val="102E3B"/>
          <w:sz w:val="20"/>
          <w:szCs w:val="20"/>
        </w:rPr>
        <w:t xml:space="preserve">, as their agreement with us requires.</w:t>
      </w:r>
    </w:p>
    <w:p>
      <w:pPr>
        <w:pStyle w:val="Heading1"/>
        <w:keepNext/>
        <w:spacing w:after="160" w:before="360"/>
      </w:pPr>
      <w:r>
        <w:rPr>
          <w:rFonts w:ascii="DM Serif Display" w:cs="DM Serif Display" w:eastAsia="DM Serif Display" w:hAnsi="DM Serif Display"/>
          <w:color w:val="123C48"/>
          <w:sz w:val="40"/>
          <w:szCs w:val="40"/>
        </w:rPr>
        <w:t xml:space="preserve">Step 3: Assess and escalate</w:t>
      </w:r>
    </w:p>
    <w:p>
      <w:pPr>
        <w:spacing w:after="120" w:before="0" w:line="300"/>
      </w:pPr>
      <w:r>
        <w:rPr>
          <w:rFonts w:ascii="Nunito Sans" w:cs="Nunito Sans" w:eastAsia="Nunito Sans" w:hAnsi="Nunito Sans"/>
          <w:color w:val="102E3B"/>
          <w:sz w:val="20"/>
          <w:szCs w:val="20"/>
        </w:rPr>
        <w:t xml:space="preserve">When the incident lead receives a report, they:</w:t>
      </w:r>
    </w:p>
    <w:p>
      <w:pPr>
        <w:pStyle w:val="ListParagraph"/>
        <w:numPr>
          <w:ilvl w:val="0"/>
          <w:numId w:val="5"/>
        </w:numPr>
        <w:spacing w:after="80" w:line="290"/>
      </w:pPr>
      <w:r>
        <w:rPr>
          <w:rFonts w:ascii="Nunito Sans" w:cs="Nunito Sans" w:eastAsia="Nunito Sans" w:hAnsi="Nunito Sans"/>
          <w:b/>
          <w:bCs/>
          <w:color w:val="102E3B"/>
          <w:sz w:val="20"/>
          <w:szCs w:val="20"/>
        </w:rPr>
        <w:t xml:space="preserve">Acknowledge it</w:t>
      </w:r>
      <w:r>
        <w:rPr>
          <w:rFonts w:ascii="Nunito Sans" w:cs="Nunito Sans" w:eastAsia="Nunito Sans" w:hAnsi="Nunito Sans"/>
          <w:color w:val="102E3B"/>
          <w:sz w:val="20"/>
          <w:szCs w:val="20"/>
        </w:rPr>
        <w:t xml:space="preserve">: the same day for high and critical incidents, within </w:t>
      </w:r>
      <w:r>
        <w:rPr>
          <w:rFonts w:ascii="Nunito Sans" w:cs="Nunito Sans" w:eastAsia="Nunito Sans" w:hAnsi="Nunito Sans"/>
          <w:color w:val="102E3B"/>
          <w:sz w:val="20"/>
          <w:szCs w:val="20"/>
          <w:highlight w:val="yellow"/>
        </w:rPr>
        <w:t xml:space="preserve">[2 working days]</w:t>
      </w:r>
      <w:r>
        <w:rPr>
          <w:rFonts w:ascii="Nunito Sans" w:cs="Nunito Sans" w:eastAsia="Nunito Sans" w:hAnsi="Nunito Sans"/>
          <w:color w:val="102E3B"/>
          <w:sz w:val="20"/>
          <w:szCs w:val="20"/>
        </w:rPr>
        <w:t xml:space="preserve"> for others.</w:t>
      </w:r>
    </w:p>
    <w:p>
      <w:pPr>
        <w:pStyle w:val="ListParagraph"/>
        <w:numPr>
          <w:ilvl w:val="0"/>
          <w:numId w:val="5"/>
        </w:numPr>
        <w:spacing w:after="80" w:line="290"/>
      </w:pPr>
      <w:r>
        <w:rPr>
          <w:rFonts w:ascii="Nunito Sans" w:cs="Nunito Sans" w:eastAsia="Nunito Sans" w:hAnsi="Nunito Sans"/>
          <w:b/>
          <w:bCs/>
          <w:color w:val="102E3B"/>
          <w:sz w:val="20"/>
          <w:szCs w:val="20"/>
        </w:rPr>
        <w:t xml:space="preserve">Set the severity level</w:t>
      </w:r>
      <w:r>
        <w:rPr>
          <w:rFonts w:ascii="Nunito Sans" w:cs="Nunito Sans" w:eastAsia="Nunito Sans" w:hAnsi="Nunito Sans"/>
          <w:color w:val="102E3B"/>
          <w:sz w:val="20"/>
          <w:szCs w:val="20"/>
        </w:rPr>
        <w:t xml:space="preserve"> and open an entry in the incident log (Annex B) with a reference number.</w:t>
      </w:r>
    </w:p>
    <w:p>
      <w:pPr>
        <w:pStyle w:val="ListParagraph"/>
        <w:numPr>
          <w:ilvl w:val="0"/>
          <w:numId w:val="5"/>
        </w:numPr>
        <w:spacing w:after="80" w:line="290"/>
      </w:pPr>
      <w:r>
        <w:rPr>
          <w:rFonts w:ascii="Nunito Sans" w:cs="Nunito Sans" w:eastAsia="Nunito Sans" w:hAnsi="Nunito Sans"/>
          <w:b/>
          <w:bCs/>
          <w:color w:val="102E3B"/>
          <w:sz w:val="20"/>
          <w:szCs w:val="20"/>
        </w:rPr>
        <w:t xml:space="preserve">Agree immediate protective action</w:t>
      </w:r>
      <w:r>
        <w:rPr>
          <w:rFonts w:ascii="Nunito Sans" w:cs="Nunito Sans" w:eastAsia="Nunito Sans" w:hAnsi="Nunito Sans"/>
          <w:color w:val="102E3B"/>
          <w:sz w:val="20"/>
          <w:szCs w:val="20"/>
        </w:rPr>
        <w:t xml:space="preserve">, for example medical care, moving staff to safety, blocking access to systems or bank accounts, or suspending a person from their role. A suspension is a precaution, not a finding of wrongdoing.</w:t>
      </w:r>
    </w:p>
    <w:p>
      <w:pPr>
        <w:pStyle w:val="ListParagraph"/>
        <w:numPr>
          <w:ilvl w:val="0"/>
          <w:numId w:val="5"/>
        </w:numPr>
        <w:spacing w:after="80" w:line="290"/>
      </w:pPr>
      <w:r>
        <w:rPr>
          <w:rFonts w:ascii="Nunito Sans" w:cs="Nunito Sans" w:eastAsia="Nunito Sans" w:hAnsi="Nunito Sans"/>
          <w:b/>
          <w:bCs/>
          <w:color w:val="102E3B"/>
          <w:sz w:val="20"/>
          <w:szCs w:val="20"/>
        </w:rPr>
        <w:t xml:space="preserve">Escalate</w:t>
      </w:r>
      <w:r>
        <w:rPr>
          <w:rFonts w:ascii="Nunito Sans" w:cs="Nunito Sans" w:eastAsia="Nunito Sans" w:hAnsi="Nunito Sans"/>
          <w:color w:val="102E3B"/>
          <w:sz w:val="20"/>
          <w:szCs w:val="20"/>
        </w:rPr>
        <w:t xml:space="preserve">: medium incidents to the director within </w:t>
      </w:r>
      <w:r>
        <w:rPr>
          <w:rFonts w:ascii="Nunito Sans" w:cs="Nunito Sans" w:eastAsia="Nunito Sans" w:hAnsi="Nunito Sans"/>
          <w:color w:val="102E3B"/>
          <w:sz w:val="20"/>
          <w:szCs w:val="20"/>
          <w:highlight w:val="yellow"/>
        </w:rPr>
        <w:t xml:space="preserve">[2 working days]</w:t>
      </w:r>
      <w:r>
        <w:rPr>
          <w:rFonts w:ascii="Nunito Sans" w:cs="Nunito Sans" w:eastAsia="Nunito Sans" w:hAnsi="Nunito Sans"/>
          <w:color w:val="102E3B"/>
          <w:sz w:val="20"/>
          <w:szCs w:val="20"/>
        </w:rPr>
        <w:t xml:space="preserve">; high incidents to the director and board chair the same day; critical incidents to both within </w:t>
      </w:r>
      <w:r>
        <w:rPr>
          <w:rFonts w:ascii="Nunito Sans" w:cs="Nunito Sans" w:eastAsia="Nunito Sans" w:hAnsi="Nunito Sans"/>
          <w:color w:val="102E3B"/>
          <w:sz w:val="20"/>
          <w:szCs w:val="20"/>
          <w:highlight w:val="yellow"/>
        </w:rPr>
        <w:t xml:space="preserve">[2 hours]</w:t>
      </w:r>
      <w:r>
        <w:rPr>
          <w:rFonts w:ascii="Nunito Sans" w:cs="Nunito Sans" w:eastAsia="Nunito Sans" w:hAnsi="Nunito Sans"/>
          <w:color w:val="102E3B"/>
          <w:sz w:val="20"/>
          <w:szCs w:val="20"/>
        </w:rPr>
        <w:t xml:space="preserve">.</w:t>
      </w:r>
    </w:p>
    <w:p>
      <w:pPr>
        <w:pStyle w:val="ListParagraph"/>
        <w:numPr>
          <w:ilvl w:val="0"/>
          <w:numId w:val="5"/>
        </w:numPr>
        <w:spacing w:after="80" w:line="290"/>
      </w:pPr>
      <w:r>
        <w:rPr>
          <w:rFonts w:ascii="Nunito Sans" w:cs="Nunito Sans" w:eastAsia="Nunito Sans" w:hAnsi="Nunito Sans"/>
          <w:b/>
          <w:bCs/>
          <w:color w:val="102E3B"/>
          <w:sz w:val="20"/>
          <w:szCs w:val="20"/>
        </w:rPr>
        <w:t xml:space="preserve">Pass the case</w:t>
      </w:r>
      <w:r>
        <w:rPr>
          <w:rFonts w:ascii="Nunito Sans" w:cs="Nunito Sans" w:eastAsia="Nunito Sans" w:hAnsi="Nunito Sans"/>
          <w:color w:val="102E3B"/>
          <w:sz w:val="20"/>
          <w:szCs w:val="20"/>
        </w:rPr>
        <w:t xml:space="preserve"> to the lead under the policy that applies (safeguarding, fraud, data breach or complaints), if that is someone else.</w:t>
      </w:r>
    </w:p>
    <w:p>
      <w:pPr>
        <w:pStyle w:val="ListParagraph"/>
        <w:numPr>
          <w:ilvl w:val="0"/>
          <w:numId w:val="5"/>
        </w:numPr>
        <w:spacing w:after="80" w:line="290"/>
      </w:pPr>
      <w:r>
        <w:rPr>
          <w:rFonts w:ascii="Nunito Sans" w:cs="Nunito Sans" w:eastAsia="Nunito Sans" w:hAnsi="Nunito Sans"/>
          <w:b/>
          <w:bCs/>
          <w:color w:val="102E3B"/>
          <w:sz w:val="20"/>
          <w:szCs w:val="20"/>
        </w:rPr>
        <w:t xml:space="preserve">Check external reporting duties</w:t>
      </w:r>
      <w:r>
        <w:rPr>
          <w:rFonts w:ascii="Nunito Sans" w:cs="Nunito Sans" w:eastAsia="Nunito Sans" w:hAnsi="Nunito Sans"/>
          <w:color w:val="102E3B"/>
          <w:sz w:val="20"/>
          <w:szCs w:val="20"/>
        </w:rPr>
        <w:t xml:space="preserve"> (Step 4), and record each decision, including any decision not to report and why.</w:t>
      </w:r>
    </w:p>
    <w:p>
      <w:pPr>
        <w:spacing w:after="120" w:before="0" w:line="300"/>
      </w:pPr>
      <w:r>
        <w:rPr>
          <w:rFonts w:ascii="Nunito Sans" w:cs="Nunito Sans" w:eastAsia="Nunito Sans" w:hAnsi="Nunito Sans"/>
          <w:color w:val="102E3B"/>
          <w:sz w:val="20"/>
          <w:szCs w:val="20"/>
        </w:rPr>
        <w:t xml:space="preserve">For a critical incident, the director, incident lead and one board member form a response team that talks at least daily until the situation is stable. The board chair decides when the full board is told; for critical incidents, within </w:t>
      </w:r>
      <w:r>
        <w:rPr>
          <w:rFonts w:ascii="Nunito Sans" w:cs="Nunito Sans" w:eastAsia="Nunito Sans" w:hAnsi="Nunito Sans"/>
          <w:color w:val="102E3B"/>
          <w:sz w:val="20"/>
          <w:szCs w:val="20"/>
          <w:highlight w:val="yellow"/>
        </w:rPr>
        <w:t xml:space="preserve">[48 hours]</w:t>
      </w:r>
      <w:r>
        <w:rPr>
          <w:rFonts w:ascii="Nunito Sans" w:cs="Nunito Sans" w:eastAsia="Nunito Sans" w:hAnsi="Nunito Sans"/>
          <w:color w:val="102E3B"/>
          <w:sz w:val="20"/>
          <w:szCs w:val="20"/>
        </w:rPr>
        <w:t xml:space="preserve">.</w:t>
      </w:r>
    </w:p>
    <w:p>
      <w:pPr>
        <w:pStyle w:val="Heading1"/>
        <w:keepNext/>
        <w:spacing w:after="160" w:before="360"/>
      </w:pPr>
      <w:r>
        <w:rPr>
          <w:rFonts w:ascii="DM Serif Display" w:cs="DM Serif Display" w:eastAsia="DM Serif Display" w:hAnsi="DM Serif Display"/>
          <w:color w:val="123C48"/>
          <w:sz w:val="40"/>
          <w:szCs w:val="40"/>
        </w:rPr>
        <w:t xml:space="preserve">Step 4: External notifications</w:t>
      </w:r>
    </w:p>
    <w:p>
      <w:pPr>
        <w:spacing w:after="120" w:before="0" w:line="300"/>
      </w:pPr>
      <w:r>
        <w:rPr>
          <w:rFonts w:ascii="Nunito Sans" w:cs="Nunito Sans" w:eastAsia="Nunito Sans" w:hAnsi="Nunito Sans"/>
          <w:color w:val="102E3B"/>
          <w:sz w:val="20"/>
          <w:szCs w:val="20"/>
        </w:rPr>
        <w:t xml:space="preserve">The incident lead makes these reports, or agrees who will, and records the date, time, person contacted and any reference. Reporting early and updating later is better than reporting late.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4"/>
        <w:gridCol w:w="3047"/>
        <w:gridCol w:w="1904"/>
        <w:gridCol w:w="2669"/>
      </w:tblGrid>
      <w:tr>
        <w:trPr>
          <w:cantSplit/>
          <w:tblHeader/>
        </w:trPr>
        <w:tc>
          <w:tcPr>
            <w:tcW w:type="dxa" w:w="190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WHO</w:t>
            </w:r>
          </w:p>
        </w:tc>
        <w:tc>
          <w:tcPr>
            <w:tcW w:type="dxa" w:w="304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WHEN TO TELL THEM</w:t>
            </w:r>
          </w:p>
        </w:tc>
        <w:tc>
          <w:tcPr>
            <w:tcW w:type="dxa" w:w="190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TYPICAL TIMESCALE</w:t>
            </w:r>
          </w:p>
        </w:tc>
        <w:tc>
          <w:tcPr>
            <w:tcW w:type="dxa" w:w="266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NOTES</w:t>
            </w:r>
          </w:p>
        </w:tc>
      </w:tr>
      <w:tr>
        <w:trPr>
          <w:cantSplit/>
          <w:tblHeader w:val="off"/>
        </w:trPr>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Police or emergency services</w:t>
            </w:r>
          </w:p>
        </w:tc>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 crime, a death, a threat to life, or where the law requires it (for example some child abuse cases).</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Immediately</w:t>
            </w:r>
          </w:p>
        </w:tc>
        <w:tc>
          <w:tcPr>
            <w:tcW w:type="dxa" w:w="266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 safeguarding cases, think first about the safety and wishes of the person affected.</w:t>
            </w:r>
          </w:p>
        </w:tc>
      </w:tr>
      <w:tr>
        <w:trPr>
          <w:cantSplit/>
          <w:tblHeader w:val="off"/>
        </w:trPr>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Charity or NGO regulator</w:t>
            </w:r>
          </w:p>
        </w:tc>
        <w:tc>
          <w:tcPr>
            <w:tcW w:type="dxa" w:w="3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Serious incidents such as significant fraud or loss, safeguarding incidents or a criminal investigation, where the regulator has a reporting duty.</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[Promptly / within X days]</w:t>
            </w:r>
          </w:p>
        </w:tc>
        <w:tc>
          <w:tcPr>
            <w:tcW w:type="dxa" w:w="266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Usually the board's duty; the incident lead prepares the report.</w:t>
            </w:r>
          </w:p>
        </w:tc>
      </w:tr>
      <w:tr>
        <w:trPr>
          <w:cantSplit/>
          <w:tblHeader w:val="off"/>
        </w:trPr>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Data protection authority</w:t>
            </w:r>
          </w:p>
        </w:tc>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 personal data breach likely to put people's rights and freedoms at risk.</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Often within 72 hours of becoming aware</w:t>
            </w:r>
          </w:p>
        </w:tc>
        <w:tc>
          <w:tcPr>
            <w:tcW w:type="dxa" w:w="266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Follow the Data Breach Response Procedure. Tell the people affected without undue delay if the risk is high.</w:t>
            </w:r>
          </w:p>
        </w:tc>
      </w:tr>
      <w:tr>
        <w:trPr>
          <w:cantSplit/>
          <w:tblHeader w:val="off"/>
        </w:trPr>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Funders</w:t>
            </w:r>
          </w:p>
        </w:tc>
        <w:tc>
          <w:tcPr>
            <w:tcW w:type="dxa" w:w="3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What each grant agreement lists: usually safeguarding concerns, fraud or suspected fraud, misuse of funds, sanctions or terrorism-financing concerns, and serious delays.</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Often 24 to 72 hours; check each grant</w:t>
            </w:r>
          </w:p>
        </w:tc>
        <w:tc>
          <w:tcPr>
            <w:tcW w:type="dxa" w:w="266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Share only the personal data the funder needs.</w:t>
            </w:r>
          </w:p>
        </w:tc>
      </w:tr>
      <w:tr>
        <w:trPr>
          <w:cantSplit/>
          <w:tblHeader w:val="off"/>
        </w:trPr>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Insurers</w:t>
            </w:r>
          </w:p>
        </w:tc>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Any event that may lead to a claim: injury, theft, damage, legal action, cyber incident.</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As the policy says, usually as soon as reasonably possible</w:t>
            </w:r>
          </w:p>
        </w:tc>
        <w:tc>
          <w:tcPr>
            <w:tcW w:type="dxa" w:w="266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Late notice can invalidate a claim. Do not admit liability first.</w:t>
            </w:r>
          </w:p>
        </w:tc>
      </w:tr>
      <w:tr>
        <w:trPr>
          <w:cantSplit/>
          <w:tblHeader w:val="off"/>
        </w:trPr>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Others the law requires</w:t>
            </w:r>
          </w:p>
        </w:tc>
        <w:tc>
          <w:tcPr>
            <w:tcW w:type="dxa" w:w="3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For example a labour authority for serious workplace injuries, or a financial intelligence unit for suspected terrorism financing or sanctions matches.</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As the law requires</w:t>
            </w:r>
          </w:p>
        </w:tc>
        <w:tc>
          <w:tcPr>
            <w:tcW w:type="dxa" w:w="266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See the Partner Due Diligence and Sanctions Screening Policy. Never warn the person concerned.</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CHARITY OR NGO REGULATOR REPORTING</w:t>
            </w:r>
          </w:p>
          <w:p>
            <w:pPr>
              <w:spacing w:after="120" w:before="0" w:line="300"/>
            </w:pPr>
            <w:r>
              <w:rPr>
                <w:rFonts w:ascii="Nunito Sans" w:cs="Nunito Sans" w:eastAsia="Nunito Sans" w:hAnsi="Nunito Sans"/>
                <w:color w:val="102E3B"/>
                <w:sz w:val="19"/>
                <w:szCs w:val="19"/>
              </w:rPr>
              <w:t xml:space="preserve">Check whether your regulator has a formal "serious incident" or "notifiable event" duty, what counts and the deadline. For example, the Charity Commission for England and Wales expects trustees to report serious incidents promptly, and the Scottish Charity Regulator (OSCR) asks charities to report notifiable events. Many regulators elsewhere have no formal incident route. If you are registered as an NGO, trust, society, non-profit company or public benefit organisation, check your local law on reporting duties to the registering body. Rules change: check current guidance.</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DATA PROTECTION DEADLINES</w:t>
            </w:r>
          </w:p>
          <w:p>
            <w:pPr>
              <w:spacing w:after="120" w:before="0" w:line="300"/>
            </w:pPr>
            <w:r>
              <w:rPr>
                <w:rFonts w:ascii="Nunito Sans" w:cs="Nunito Sans" w:eastAsia="Nunito Sans" w:hAnsi="Nunito Sans"/>
                <w:color w:val="102E3B"/>
                <w:sz w:val="19"/>
                <w:szCs w:val="19"/>
              </w:rPr>
              <w:t xml:space="preserve">Under the EU and UK GDPR, a personal data breach must be reported to the supervisory authority within 72 hours of becoming aware of it, unless it is unlikely to result in a risk to people. The Kenya Data Protection Act 2019 and the Nigeria Data Protection Act 2023 also use 72 hours. South Africa's POPIA requires notice to the Information Regulator and the people affected as soon as reasonably possible. Brazil's LGPD, India's DPDP Act 2023 and Indonesia's Law 27 of 2022 set timescales through their rules and regulations: check your local law on breach notification, including what the notice must contain.</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FUNDER CONDITIONS AND WORKPLACE INJURIES</w:t>
            </w:r>
          </w:p>
          <w:p>
            <w:pPr>
              <w:spacing w:after="120" w:before="0" w:line="300"/>
            </w:pPr>
            <w:r>
              <w:rPr>
                <w:rFonts w:ascii="Nunito Sans" w:cs="Nunito Sans" w:eastAsia="Nunito Sans" w:hAnsi="Nunito Sans"/>
                <w:color w:val="102E3B"/>
                <w:sz w:val="19"/>
                <w:szCs w:val="19"/>
              </w:rPr>
              <w:t xml:space="preserve">Keep a table of each active grant: what must be reported, deadline and contact. Many institutional funders require safeguarding allegations and suspected fraud to be reported within 24 to 72 hours, even when unproven. Add each new agreement's reporting clause to the table the day you sign it. For workplace injuries, many countries require employers to report serious accidents to a labour authority or a work-injury insurer (in the UK, under the RIDDOR Regulations 2013): check your local law on workplace accident reporting.</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Step 5: Respond and investigate</w:t>
      </w:r>
    </w:p>
    <w:p>
      <w:pPr>
        <w:spacing w:after="120" w:before="0" w:line="300"/>
      </w:pPr>
      <w:r>
        <w:rPr>
          <w:rFonts w:ascii="Nunito Sans" w:cs="Nunito Sans" w:eastAsia="Nunito Sans" w:hAnsi="Nunito Sans"/>
          <w:color w:val="102E3B"/>
          <w:sz w:val="20"/>
          <w:szCs w:val="20"/>
        </w:rPr>
        <w:t xml:space="preserve">For most low and medium incidents, the response means fixing the cause, supporting anyone affected and recording what was done. For high and critical incidents, the incident lead and the director decide:</w:t>
      </w:r>
    </w:p>
    <w:p>
      <w:pPr>
        <w:pStyle w:val="ListParagraph"/>
        <w:numPr>
          <w:ilvl w:val="0"/>
          <w:numId w:val="3"/>
        </w:numPr>
        <w:spacing w:after="80" w:line="290"/>
      </w:pPr>
      <w:r>
        <w:rPr>
          <w:rFonts w:ascii="Nunito Sans" w:cs="Nunito Sans" w:eastAsia="Nunito Sans" w:hAnsi="Nunito Sans"/>
          <w:b/>
          <w:bCs/>
          <w:color w:val="102E3B"/>
          <w:sz w:val="20"/>
          <w:szCs w:val="20"/>
        </w:rPr>
        <w:t xml:space="preserve">who investigates</w:t>
      </w:r>
      <w:r>
        <w:rPr>
          <w:rFonts w:ascii="Nunito Sans" w:cs="Nunito Sans" w:eastAsia="Nunito Sans" w:hAnsi="Nunito Sans"/>
          <w:color w:val="102E3B"/>
          <w:sz w:val="20"/>
          <w:szCs w:val="20"/>
        </w:rPr>
        <w:t xml:space="preserve">, under the policy that applies. Nobody involved, or who manages someone involved, investigates. For serious cases we may use an external investigator;</w:t>
      </w:r>
    </w:p>
    <w:p>
      <w:pPr>
        <w:pStyle w:val="ListParagraph"/>
        <w:numPr>
          <w:ilvl w:val="0"/>
          <w:numId w:val="3"/>
        </w:numPr>
        <w:spacing w:after="80" w:line="290"/>
      </w:pPr>
      <w:r>
        <w:rPr>
          <w:rFonts w:ascii="Nunito Sans" w:cs="Nunito Sans" w:eastAsia="Nunito Sans" w:hAnsi="Nunito Sans"/>
          <w:b/>
          <w:bCs/>
          <w:color w:val="102E3B"/>
          <w:sz w:val="20"/>
          <w:szCs w:val="20"/>
        </w:rPr>
        <w:t xml:space="preserve">what support people need</w:t>
      </w:r>
      <w:r>
        <w:rPr>
          <w:rFonts w:ascii="Nunito Sans" w:cs="Nunito Sans" w:eastAsia="Nunito Sans" w:hAnsi="Nunito Sans"/>
          <w:color w:val="102E3B"/>
          <w:sz w:val="20"/>
          <w:szCs w:val="20"/>
        </w:rPr>
        <w:t xml:space="preserve">, such as medical or psychological support or time off. Staff exposed to distressing events are offered </w:t>
      </w:r>
      <w:r>
        <w:rPr>
          <w:rFonts w:ascii="Nunito Sans" w:cs="Nunito Sans" w:eastAsia="Nunito Sans" w:hAnsi="Nunito Sans"/>
          <w:color w:val="102E3B"/>
          <w:sz w:val="20"/>
          <w:szCs w:val="20"/>
          <w:highlight w:val="yellow"/>
        </w:rPr>
        <w:t xml:space="preserve">[support, e.g. counselling sessions]</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b/>
          <w:bCs/>
          <w:color w:val="102E3B"/>
          <w:sz w:val="20"/>
          <w:szCs w:val="20"/>
        </w:rPr>
        <w:t xml:space="preserve">how we communicate.</w:t>
      </w:r>
      <w:r>
        <w:rPr>
          <w:rFonts w:ascii="Nunito Sans" w:cs="Nunito Sans" w:eastAsia="Nunito Sans" w:hAnsi="Nunito Sans"/>
          <w:color w:val="102E3B"/>
          <w:sz w:val="20"/>
          <w:szCs w:val="20"/>
        </w:rPr>
        <w:t xml:space="preserve"> Only </w:t>
      </w:r>
      <w:r>
        <w:rPr>
          <w:rFonts w:ascii="Nunito Sans" w:cs="Nunito Sans" w:eastAsia="Nunito Sans" w:hAnsi="Nunito Sans"/>
          <w:color w:val="102E3B"/>
          <w:sz w:val="20"/>
          <w:szCs w:val="20"/>
          <w:highlight w:val="yellow"/>
        </w:rPr>
        <w:t xml:space="preserve">[Name, role]</w:t>
      </w:r>
      <w:r>
        <w:rPr>
          <w:rFonts w:ascii="Nunito Sans" w:cs="Nunito Sans" w:eastAsia="Nunito Sans" w:hAnsi="Nunito Sans"/>
          <w:color w:val="102E3B"/>
          <w:sz w:val="20"/>
          <w:szCs w:val="20"/>
        </w:rPr>
        <w:t xml:space="preserve"> speaks to the media, as set out in the Social Media and Communications Policy.</w:t>
      </w:r>
    </w:p>
    <w:p>
      <w:pPr>
        <w:spacing w:after="120" w:before="0" w:line="300"/>
      </w:pPr>
      <w:r>
        <w:rPr>
          <w:rFonts w:ascii="Nunito Sans" w:cs="Nunito Sans" w:eastAsia="Nunito Sans" w:hAnsi="Nunito Sans"/>
          <w:color w:val="102E3B"/>
          <w:sz w:val="20"/>
          <w:szCs w:val="20"/>
        </w:rPr>
        <w:t xml:space="preserve">People named in a report are treated fairly and can respond. Retaliation against anyone who reports a genuine concern is a serious breach of our Code of Conduct. If the authorities investigate, we cooperate and may pause our own work if asked.</w:t>
      </w:r>
    </w:p>
    <w:p>
      <w:pPr>
        <w:pStyle w:val="Heading1"/>
        <w:keepNext/>
        <w:spacing w:after="160" w:before="360"/>
      </w:pPr>
      <w:r>
        <w:rPr>
          <w:rFonts w:ascii="DM Serif Display" w:cs="DM Serif Display" w:eastAsia="DM Serif Display" w:hAnsi="DM Serif Display"/>
          <w:color w:val="123C48"/>
          <w:sz w:val="40"/>
          <w:szCs w:val="40"/>
        </w:rPr>
        <w:t xml:space="preserve">Step 6: Close and learn</w:t>
      </w:r>
    </w:p>
    <w:p>
      <w:pPr>
        <w:spacing w:after="120" w:before="0" w:line="300"/>
      </w:pPr>
      <w:r>
        <w:rPr>
          <w:rFonts w:ascii="Nunito Sans" w:cs="Nunito Sans" w:eastAsia="Nunito Sans" w:hAnsi="Nunito Sans"/>
          <w:color w:val="102E3B"/>
          <w:sz w:val="20"/>
          <w:szCs w:val="20"/>
        </w:rPr>
        <w:t xml:space="preserve">The incident lead closes an incident when people are safe, causes are dealt with, external reports are complete and any investigation has ended. For high and critical incidents, and repeated smaller ones, they lead a short </w:t>
      </w:r>
      <w:r>
        <w:rPr>
          <w:rFonts w:ascii="Nunito Sans" w:cs="Nunito Sans" w:eastAsia="Nunito Sans" w:hAnsi="Nunito Sans"/>
          <w:b/>
          <w:bCs/>
          <w:color w:val="102E3B"/>
          <w:sz w:val="20"/>
          <w:szCs w:val="20"/>
        </w:rPr>
        <w:t xml:space="preserve">learning review</w:t>
      </w:r>
      <w:r>
        <w:rPr>
          <w:rFonts w:ascii="Nunito Sans" w:cs="Nunito Sans" w:eastAsia="Nunito Sans" w:hAnsi="Nunito Sans"/>
          <w:color w:val="102E3B"/>
          <w:sz w:val="20"/>
          <w:szCs w:val="20"/>
        </w:rPr>
        <w:t xml:space="preserve"> within </w:t>
      </w:r>
      <w:r>
        <w:rPr>
          <w:rFonts w:ascii="Nunito Sans" w:cs="Nunito Sans" w:eastAsia="Nunito Sans" w:hAnsi="Nunito Sans"/>
          <w:color w:val="102E3B"/>
          <w:sz w:val="20"/>
          <w:szCs w:val="20"/>
          <w:highlight w:val="yellow"/>
        </w:rPr>
        <w:t xml:space="preserve">[30 days]</w:t>
      </w:r>
      <w:r>
        <w:rPr>
          <w:rFonts w:ascii="Nunito Sans" w:cs="Nunito Sans" w:eastAsia="Nunito Sans" w:hAnsi="Nunito Sans"/>
          <w:color w:val="102E3B"/>
          <w:sz w:val="20"/>
          <w:szCs w:val="20"/>
        </w:rPr>
        <w:t xml:space="preserve">. It asks:</w:t>
      </w:r>
    </w:p>
    <w:p>
      <w:pPr>
        <w:pStyle w:val="ListParagraph"/>
        <w:numPr>
          <w:ilvl w:val="0"/>
          <w:numId w:val="6"/>
        </w:numPr>
        <w:spacing w:after="80" w:line="290"/>
      </w:pPr>
      <w:r>
        <w:rPr>
          <w:rFonts w:ascii="Nunito Sans" w:cs="Nunito Sans" w:eastAsia="Nunito Sans" w:hAnsi="Nunito Sans"/>
          <w:color w:val="102E3B"/>
          <w:sz w:val="20"/>
          <w:szCs w:val="20"/>
        </w:rPr>
        <w:t xml:space="preserve">What happened, and what were the causes, beyond the people involved?</w:t>
      </w:r>
    </w:p>
    <w:p>
      <w:pPr>
        <w:pStyle w:val="ListParagraph"/>
        <w:numPr>
          <w:ilvl w:val="0"/>
          <w:numId w:val="6"/>
        </w:numPr>
        <w:spacing w:after="80" w:line="290"/>
      </w:pPr>
      <w:r>
        <w:rPr>
          <w:rFonts w:ascii="Nunito Sans" w:cs="Nunito Sans" w:eastAsia="Nunito Sans" w:hAnsi="Nunito Sans"/>
          <w:color w:val="102E3B"/>
          <w:sz w:val="20"/>
          <w:szCs w:val="20"/>
        </w:rPr>
        <w:t xml:space="preserve">What went well in our response?</w:t>
      </w:r>
    </w:p>
    <w:p>
      <w:pPr>
        <w:pStyle w:val="ListParagraph"/>
        <w:numPr>
          <w:ilvl w:val="0"/>
          <w:numId w:val="6"/>
        </w:numPr>
        <w:spacing w:after="80" w:line="290"/>
      </w:pPr>
      <w:r>
        <w:rPr>
          <w:rFonts w:ascii="Nunito Sans" w:cs="Nunito Sans" w:eastAsia="Nunito Sans" w:hAnsi="Nunito Sans"/>
          <w:color w:val="102E3B"/>
          <w:sz w:val="20"/>
          <w:szCs w:val="20"/>
        </w:rPr>
        <w:t xml:space="preserve">What would we do differently, including how quickly we reported?</w:t>
      </w:r>
    </w:p>
    <w:p>
      <w:pPr>
        <w:pStyle w:val="ListParagraph"/>
        <w:numPr>
          <w:ilvl w:val="0"/>
          <w:numId w:val="6"/>
        </w:numPr>
        <w:spacing w:after="80" w:line="290"/>
      </w:pPr>
      <w:r>
        <w:rPr>
          <w:rFonts w:ascii="Nunito Sans" w:cs="Nunito Sans" w:eastAsia="Nunito Sans" w:hAnsi="Nunito Sans"/>
          <w:color w:val="102E3B"/>
          <w:sz w:val="20"/>
          <w:szCs w:val="20"/>
        </w:rPr>
        <w:t xml:space="preserve">What will we change, who will do it, and by when?</w:t>
      </w:r>
    </w:p>
    <w:p>
      <w:pPr>
        <w:spacing w:after="120" w:before="0" w:line="300"/>
      </w:pPr>
      <w:r>
        <w:rPr>
          <w:rFonts w:ascii="Nunito Sans" w:cs="Nunito Sans" w:eastAsia="Nunito Sans" w:hAnsi="Nunito Sans"/>
          <w:color w:val="102E3B"/>
          <w:sz w:val="20"/>
          <w:szCs w:val="20"/>
        </w:rPr>
        <w:t xml:space="preserve">The incident lead updates the Risk Register and any policy that needs to change. The review is about learning, not blame; any disciplinary matter follows its own process.</w:t>
      </w:r>
    </w:p>
    <w:p>
      <w:pPr>
        <w:pStyle w:val="Heading1"/>
        <w:keepNext/>
        <w:spacing w:after="160" w:before="360"/>
      </w:pPr>
      <w:r>
        <w:rPr>
          <w:rFonts w:ascii="DM Serif Display" w:cs="DM Serif Display" w:eastAsia="DM Serif Display" w:hAnsi="DM Serif Display"/>
          <w:color w:val="123C48"/>
          <w:sz w:val="40"/>
          <w:szCs w:val="40"/>
        </w:rPr>
        <w:t xml:space="preserve">Roles and responsibilities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95"/>
        <w:gridCol w:w="2095"/>
        <w:gridCol w:w="5334"/>
      </w:tblGrid>
      <w:tr>
        <w:trPr>
          <w:cantSplit/>
          <w:tblHeader/>
        </w:trPr>
        <w:tc>
          <w:tcPr>
            <w:tcW w:type="dxa" w:w="209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ROLE</w:t>
            </w:r>
          </w:p>
        </w:tc>
        <w:tc>
          <w:tcPr>
            <w:tcW w:type="dxa" w:w="209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WHO</w:t>
            </w:r>
          </w:p>
        </w:tc>
        <w:tc>
          <w:tcPr>
            <w:tcW w:type="dxa" w:w="533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RESPONSIBILITIES</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Everyone</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All staff, volunteers, board members and contractors</w:t>
            </w:r>
          </w:p>
        </w:tc>
        <w:tc>
          <w:tcPr>
            <w:tcW w:type="dxa" w:w="533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Make people safe, report on time, preserve evidence, keep information confidential.</w:t>
            </w:r>
          </w:p>
        </w:tc>
      </w:tr>
      <w:tr>
        <w:trPr>
          <w:cantSplit/>
          <w:tblHeader w:val="off"/>
        </w:trPr>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Incident lead</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 role]</w:t>
            </w:r>
          </w:p>
        </w:tc>
        <w:tc>
          <w:tcPr>
            <w:tcW w:type="dxa" w:w="533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Receives reports, sets severity, coordinates the response, makes external notifications, keeps the log, leads learning reviews.</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Deputy</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 role]</w:t>
            </w:r>
          </w:p>
        </w:tc>
        <w:tc>
          <w:tcPr>
            <w:tcW w:type="dxa" w:w="533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Acts when the incident lead is unavailable or involved.</w:t>
            </w:r>
          </w:p>
        </w:tc>
      </w:tr>
      <w:tr>
        <w:trPr>
          <w:cantSplit/>
          <w:tblHeader w:val="off"/>
        </w:trPr>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Safeguarding lead</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 role]</w:t>
            </w:r>
          </w:p>
        </w:tc>
        <w:tc>
          <w:tcPr>
            <w:tcW w:type="dxa" w:w="533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Leads any safeguarding incident under the Safeguarding Policy and Procedure.</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Director</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w:t>
            </w:r>
          </w:p>
        </w:tc>
        <w:tc>
          <w:tcPr>
            <w:tcW w:type="dxa" w:w="533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Decides major actions, resources and public communication for high and critical incidents.</w:t>
            </w:r>
          </w:p>
        </w:tc>
      </w:tr>
      <w:tr>
        <w:trPr>
          <w:cantSplit/>
          <w:tblHeader w:val="off"/>
        </w:trPr>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Board chair</w:t>
            </w:r>
          </w:p>
        </w:tc>
        <w:tc>
          <w:tcPr>
            <w:tcW w:type="dxa" w:w="209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w:t>
            </w:r>
          </w:p>
        </w:tc>
        <w:tc>
          <w:tcPr>
            <w:tcW w:type="dxa" w:w="533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Receives high and critical incidents and any involving the director; makes sure regulator reports are made.</w:t>
            </w:r>
          </w:p>
        </w:tc>
      </w:tr>
      <w:tr>
        <w:trPr>
          <w:cantSplit/>
          <w:tblHeader w:val="off"/>
        </w:trPr>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Board</w:t>
            </w:r>
          </w:p>
        </w:tc>
        <w:tc>
          <w:tcPr>
            <w:tcW w:type="dxa" w:w="209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[Board name]</w:t>
            </w:r>
          </w:p>
        </w:tc>
        <w:tc>
          <w:tcPr>
            <w:tcW w:type="dxa" w:w="533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Reviews an anonymised summary </w:t>
            </w:r>
            <w:r>
              <w:rPr>
                <w:rFonts w:ascii="Nunito Sans" w:cs="Nunito Sans" w:eastAsia="Nunito Sans" w:hAnsi="Nunito Sans"/>
                <w:color w:val="102E3B"/>
                <w:sz w:val="18"/>
                <w:szCs w:val="18"/>
                <w:highlight w:val="yellow"/>
              </w:rPr>
              <w:t xml:space="preserve">[every quarter]</w:t>
            </w:r>
            <w:r>
              <w:rPr>
                <w:rFonts w:ascii="Nunito Sans" w:cs="Nunito Sans" w:eastAsia="Nunito Sans" w:hAnsi="Nunito Sans"/>
                <w:color w:val="102E3B"/>
                <w:sz w:val="18"/>
                <w:szCs w:val="18"/>
              </w:rPr>
              <w:t xml:space="preserve"> and checks that lessons are acted on.</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Records and confidentiality</w:t>
      </w:r>
    </w:p>
    <w:p>
      <w:pPr>
        <w:spacing w:after="120" w:before="0" w:line="300"/>
      </w:pPr>
      <w:r>
        <w:rPr>
          <w:rFonts w:ascii="Nunito Sans" w:cs="Nunito Sans" w:eastAsia="Nunito Sans" w:hAnsi="Nunito Sans"/>
          <w:color w:val="102E3B"/>
          <w:sz w:val="20"/>
          <w:szCs w:val="20"/>
        </w:rPr>
        <w:t xml:space="preserve">The incident lead keeps the log and all reports in </w:t>
      </w:r>
      <w:r>
        <w:rPr>
          <w:rFonts w:ascii="Nunito Sans" w:cs="Nunito Sans" w:eastAsia="Nunito Sans" w:hAnsi="Nunito Sans"/>
          <w:color w:val="102E3B"/>
          <w:sz w:val="20"/>
          <w:szCs w:val="20"/>
          <w:highlight w:val="yellow"/>
        </w:rPr>
        <w:t xml:space="preserve">[secure location, e.g. a restricted folder only the incident lead and director can open]</w:t>
      </w:r>
      <w:r>
        <w:rPr>
          <w:rFonts w:ascii="Nunito Sans" w:cs="Nunito Sans" w:eastAsia="Nunito Sans" w:hAnsi="Nunito Sans"/>
          <w:color w:val="102E3B"/>
          <w:sz w:val="20"/>
          <w:szCs w:val="20"/>
        </w:rPr>
        <w:t xml:space="preserve">. Paper forms are scanned and then locked away or securely destroyed.</w:t>
      </w:r>
    </w:p>
    <w:p>
      <w:pPr>
        <w:pStyle w:val="ListParagraph"/>
        <w:numPr>
          <w:ilvl w:val="0"/>
          <w:numId w:val="3"/>
        </w:numPr>
        <w:spacing w:after="80" w:line="290"/>
      </w:pPr>
      <w:r>
        <w:rPr>
          <w:rFonts w:ascii="Nunito Sans" w:cs="Nunito Sans" w:eastAsia="Nunito Sans" w:hAnsi="Nunito Sans"/>
          <w:color w:val="102E3B"/>
          <w:sz w:val="20"/>
          <w:szCs w:val="20"/>
        </w:rPr>
        <w:t xml:space="preserve">Information is shared only with people who need it to respond, investigate or meet a legal or funder duty.</w:t>
      </w:r>
    </w:p>
    <w:p>
      <w:pPr>
        <w:pStyle w:val="ListParagraph"/>
        <w:numPr>
          <w:ilvl w:val="0"/>
          <w:numId w:val="3"/>
        </w:numPr>
        <w:spacing w:after="80" w:line="290"/>
      </w:pPr>
      <w:r>
        <w:rPr>
          <w:rFonts w:ascii="Nunito Sans" w:cs="Nunito Sans" w:eastAsia="Nunito Sans" w:hAnsi="Nunito Sans"/>
          <w:color w:val="102E3B"/>
          <w:sz w:val="20"/>
          <w:szCs w:val="20"/>
        </w:rPr>
        <w:t xml:space="preserve">Safeguarding case records are kept separately by the safeguarding lead. The incident log shows only a reference number and the level.</w:t>
      </w:r>
    </w:p>
    <w:p>
      <w:pPr>
        <w:pStyle w:val="ListParagraph"/>
        <w:numPr>
          <w:ilvl w:val="0"/>
          <w:numId w:val="3"/>
        </w:numPr>
        <w:spacing w:after="80" w:line="290"/>
      </w:pPr>
      <w:r>
        <w:rPr>
          <w:rFonts w:ascii="Nunito Sans" w:cs="Nunito Sans" w:eastAsia="Nunito Sans" w:hAnsi="Nunito Sans"/>
          <w:color w:val="102E3B"/>
          <w:sz w:val="20"/>
          <w:szCs w:val="20"/>
        </w:rPr>
        <w:t xml:space="preserve">Board reports use reference numbers, not names, unless the board needs names to decide.</w:t>
      </w:r>
    </w:p>
    <w:p>
      <w:pPr>
        <w:pStyle w:val="ListParagraph"/>
        <w:numPr>
          <w:ilvl w:val="0"/>
          <w:numId w:val="3"/>
        </w:numPr>
        <w:spacing w:after="80" w:line="290"/>
      </w:pPr>
      <w:r>
        <w:rPr>
          <w:rFonts w:ascii="Nunito Sans" w:cs="Nunito Sans" w:eastAsia="Nunito Sans" w:hAnsi="Nunito Sans"/>
          <w:color w:val="102E3B"/>
          <w:sz w:val="20"/>
          <w:szCs w:val="20"/>
        </w:rPr>
        <w:t xml:space="preserve">Personal data is handled under our Data Protection Policy.</w:t>
      </w:r>
    </w:p>
    <w:p>
      <w:pPr>
        <w:pStyle w:val="ListParagraph"/>
        <w:numPr>
          <w:ilvl w:val="0"/>
          <w:numId w:val="3"/>
        </w:numPr>
        <w:spacing w:after="80" w:line="290"/>
      </w:pPr>
      <w:r>
        <w:rPr>
          <w:rFonts w:ascii="Nunito Sans" w:cs="Nunito Sans" w:eastAsia="Nunito Sans" w:hAnsi="Nunito Sans"/>
          <w:color w:val="102E3B"/>
          <w:sz w:val="20"/>
          <w:szCs w:val="20"/>
        </w:rPr>
        <w:t xml:space="preserve">We keep records for </w:t>
      </w:r>
      <w:r>
        <w:rPr>
          <w:rFonts w:ascii="Nunito Sans" w:cs="Nunito Sans" w:eastAsia="Nunito Sans" w:hAnsi="Nunito Sans"/>
          <w:color w:val="102E3B"/>
          <w:sz w:val="20"/>
          <w:szCs w:val="20"/>
          <w:highlight w:val="yellow"/>
        </w:rPr>
        <w:t xml:space="preserve">[6 years]</w:t>
      </w:r>
      <w:r>
        <w:rPr>
          <w:rFonts w:ascii="Nunito Sans" w:cs="Nunito Sans" w:eastAsia="Nunito Sans" w:hAnsi="Nunito Sans"/>
          <w:color w:val="102E3B"/>
          <w:sz w:val="20"/>
          <w:szCs w:val="20"/>
        </w:rPr>
        <w:t xml:space="preserve"> after closure, or longer if legal proceedings or an insurance claim are open or expected. Records involving a child are kept until the child turns </w:t>
      </w:r>
      <w:r>
        <w:rPr>
          <w:rFonts w:ascii="Nunito Sans" w:cs="Nunito Sans" w:eastAsia="Nunito Sans" w:hAnsi="Nunito Sans"/>
          <w:color w:val="102E3B"/>
          <w:sz w:val="20"/>
          <w:szCs w:val="20"/>
          <w:highlight w:val="yellow"/>
        </w:rPr>
        <w:t xml:space="preserve">[25]</w:t>
      </w:r>
      <w:r>
        <w:rPr>
          <w:rFonts w:ascii="Nunito Sans" w:cs="Nunito Sans" w:eastAsia="Nunito Sans" w:hAnsi="Nunito Sans"/>
          <w:color w:val="102E3B"/>
          <w:sz w:val="20"/>
          <w:szCs w:val="20"/>
        </w:rPr>
        <w:t xml:space="preserve">, or </w:t>
      </w:r>
      <w:r>
        <w:rPr>
          <w:rFonts w:ascii="Nunito Sans" w:cs="Nunito Sans" w:eastAsia="Nunito Sans" w:hAnsi="Nunito Sans"/>
          <w:color w:val="102E3B"/>
          <w:sz w:val="20"/>
          <w:szCs w:val="20"/>
          <w:highlight w:val="yellow"/>
        </w:rPr>
        <w:t xml:space="preserve">[6 years]</w:t>
      </w:r>
      <w:r>
        <w:rPr>
          <w:rFonts w:ascii="Nunito Sans" w:cs="Nunito Sans" w:eastAsia="Nunito Sans" w:hAnsi="Nunito Sans"/>
          <w:color w:val="102E3B"/>
          <w:sz w:val="20"/>
          <w:szCs w:val="20"/>
        </w:rPr>
        <w:t xml:space="preserve"> after closure if later. Then they are deleted securely, following our Records Retention Schedule.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RETENTION PERIODS</w:t>
            </w:r>
          </w:p>
          <w:p>
            <w:pPr>
              <w:spacing w:after="120" w:before="0" w:line="300"/>
            </w:pPr>
            <w:r>
              <w:rPr>
                <w:rFonts w:ascii="Nunito Sans" w:cs="Nunito Sans" w:eastAsia="Nunito Sans" w:hAnsi="Nunito Sans"/>
                <w:color w:val="102E3B"/>
                <w:sz w:val="19"/>
                <w:szCs w:val="19"/>
              </w:rPr>
              <w:t xml:space="preserve">Retention depends on local limitation periods for legal claims, insurance and funder conditions, and data protection law. Six years is common in many common-law countries; others differ. Check your local law and align these periods with your Records Retention Schedule.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Monitoring and review</w:t>
      </w:r>
    </w:p>
    <w:p>
      <w:pPr>
        <w:spacing w:after="120" w:before="0" w:line="300"/>
      </w:pPr>
      <w:r>
        <w:rPr>
          <w:rFonts w:ascii="Nunito Sans" w:cs="Nunito Sans" w:eastAsia="Nunito Sans" w:hAnsi="Nunito Sans"/>
          <w:color w:val="102E3B"/>
          <w:sz w:val="20"/>
          <w:szCs w:val="20"/>
        </w:rPr>
        <w:t xml:space="preserve">The incident lead reviews open incidents </w:t>
      </w:r>
      <w:r>
        <w:rPr>
          <w:rFonts w:ascii="Nunito Sans" w:cs="Nunito Sans" w:eastAsia="Nunito Sans" w:hAnsi="Nunito Sans"/>
          <w:color w:val="102E3B"/>
          <w:sz w:val="20"/>
          <w:szCs w:val="20"/>
          <w:highlight w:val="yellow"/>
        </w:rPr>
        <w:t xml:space="preserve">[every week]</w:t>
      </w:r>
      <w:r>
        <w:rPr>
          <w:rFonts w:ascii="Nunito Sans" w:cs="Nunito Sans" w:eastAsia="Nunito Sans" w:hAnsi="Nunito Sans"/>
          <w:color w:val="102E3B"/>
          <w:sz w:val="20"/>
          <w:szCs w:val="20"/>
        </w:rPr>
        <w:t xml:space="preserve"> and gives the board an anonymised summary </w:t>
      </w:r>
      <w:r>
        <w:rPr>
          <w:rFonts w:ascii="Nunito Sans" w:cs="Nunito Sans" w:eastAsia="Nunito Sans" w:hAnsi="Nunito Sans"/>
          <w:color w:val="102E3B"/>
          <w:sz w:val="20"/>
          <w:szCs w:val="20"/>
          <w:highlight w:val="yellow"/>
        </w:rPr>
        <w:t xml:space="preserve">[every quarter]</w:t>
      </w:r>
      <w:r>
        <w:rPr>
          <w:rFonts w:ascii="Nunito Sans" w:cs="Nunito Sans" w:eastAsia="Nunito Sans" w:hAnsi="Nunito Sans"/>
          <w:color w:val="102E3B"/>
          <w:sz w:val="20"/>
          <w:szCs w:val="20"/>
        </w:rPr>
        <w:t xml:space="preserve">: number, type and level of incidents, time to report and close, and lessons. Once a year we test this procedure with a practice scenario, such as a lost laptop.</w:t>
      </w:r>
    </w:p>
    <w:p>
      <w:r>
        <w:br w:type="page"/>
      </w:r>
    </w:p>
    <w:p>
      <w:pPr>
        <w:pStyle w:val="Heading1"/>
        <w:keepNext/>
        <w:spacing w:after="160" w:before="360"/>
      </w:pPr>
      <w:r>
        <w:rPr>
          <w:rFonts w:ascii="DM Serif Display" w:cs="DM Serif Display" w:eastAsia="DM Serif Display" w:hAnsi="DM Serif Display"/>
          <w:color w:val="123C48"/>
          <w:sz w:val="40"/>
          <w:szCs w:val="40"/>
        </w:rPr>
        <w:t xml:space="preserve">Annex A: Incident report form</w:t>
      </w:r>
    </w:p>
    <w:p>
      <w:pPr>
        <w:spacing w:after="120" w:before="0" w:line="300"/>
      </w:pPr>
      <w:r>
        <w:rPr>
          <w:rFonts w:ascii="Nunito Sans" w:cs="Nunito Sans" w:eastAsia="Nunito Sans" w:hAnsi="Nunito Sans"/>
          <w:color w:val="102E3B"/>
          <w:sz w:val="20"/>
          <w:szCs w:val="20"/>
        </w:rPr>
        <w:t xml:space="preserve">Complete this form as soon as you can. Write "not known" if you do not know an answer: do not delay the report to find out more. Send it to </w:t>
      </w:r>
      <w:r>
        <w:rPr>
          <w:rFonts w:ascii="Nunito Sans" w:cs="Nunito Sans" w:eastAsia="Nunito Sans" w:hAnsi="Nunito Sans"/>
          <w:color w:val="102E3B"/>
          <w:sz w:val="20"/>
          <w:szCs w:val="20"/>
          <w:highlight w:val="yellow"/>
        </w:rPr>
        <w:t xml:space="preserve">[incidents@yourorganisation.org]</w:t>
      </w:r>
      <w:r>
        <w:rPr>
          <w:rFonts w:ascii="Nunito Sans" w:cs="Nunito Sans" w:eastAsia="Nunito Sans" w:hAnsi="Nunito Sans"/>
          <w:color w:val="102E3B"/>
          <w:sz w:val="20"/>
          <w:szCs w:val="20"/>
        </w:rPr>
        <w:t xml:space="preserve"> or give it to the incident lead. For safeguarding concerns, use only initials for the person affected.</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19"/>
        <w:gridCol w:w="5905"/>
      </w:tblGrid>
      <w:tr>
        <w:trPr>
          <w:cantSplit/>
          <w:tblHeader/>
        </w:trPr>
        <w:tc>
          <w:tcPr>
            <w:tcW w:type="dxa" w:w="361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FIELD</w:t>
            </w:r>
          </w:p>
        </w:tc>
        <w:tc>
          <w:tcPr>
            <w:tcW w:type="dxa" w:w="590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DETAILS</w:t>
            </w:r>
          </w:p>
        </w:tc>
      </w:tr>
      <w:tr>
        <w:trPr>
          <w:cantSplit/>
          <w:tblHeader w:val="off"/>
        </w:trPr>
        <w:tc>
          <w:tcPr>
            <w:tcW w:type="dxa" w:w="3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Reference (incident lead completes)</w:t>
            </w:r>
          </w:p>
        </w:tc>
        <w:tc>
          <w:tcPr>
            <w:tcW w:type="dxa" w:w="590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[IR-YYYY-001]</w:t>
            </w:r>
          </w:p>
        </w:tc>
      </w:tr>
      <w:tr>
        <w:trPr>
          <w:cantSplit/>
          <w:tblHeader w:val="off"/>
        </w:trPr>
        <w:tc>
          <w:tcPr>
            <w:tcW w:type="dxa" w:w="3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Your name, role and contact details</w:t>
            </w:r>
          </w:p>
        </w:tc>
        <w:tc>
          <w:tcPr>
            <w:tcW w:type="dxa" w:w="590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Date and time of the incident</w:t>
            </w:r>
          </w:p>
        </w:tc>
        <w:tc>
          <w:tcPr>
            <w:tcW w:type="dxa" w:w="590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Date and time you became aware of it</w:t>
            </w:r>
          </w:p>
        </w:tc>
        <w:tc>
          <w:tcPr>
            <w:tcW w:type="dxa" w:w="590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Where it happened (place, activity, online platform)</w:t>
            </w:r>
          </w:p>
        </w:tc>
        <w:tc>
          <w:tcPr>
            <w:tcW w:type="dxa" w:w="590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Type of incident</w:t>
            </w:r>
          </w:p>
        </w:tc>
        <w:tc>
          <w:tcPr>
            <w:tcW w:type="dxa" w:w="590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Safeguarding / injury or illness / security / fraud or theft / data breach / complaint / reputational / property / other:</w:t>
            </w:r>
          </w:p>
        </w:tc>
      </w:tr>
      <w:tr>
        <w:trPr>
          <w:cantSplit/>
          <w:tblHeader w:val="off"/>
        </w:trPr>
        <w:tc>
          <w:tcPr>
            <w:tcW w:type="dxa" w:w="3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What happened? The facts, in your own words, with the exact words of anyone who told you about harm.</w:t>
            </w:r>
          </w:p>
        </w:tc>
        <w:tc>
          <w:tcPr>
            <w:tcW w:type="dxa" w:w="590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Who was involved or affected? (initials, role, age group if a child)</w:t>
            </w:r>
          </w:p>
        </w:tc>
        <w:tc>
          <w:tcPr>
            <w:tcW w:type="dxa" w:w="590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Was anyone hurt? What help was given?</w:t>
            </w:r>
          </w:p>
        </w:tc>
        <w:tc>
          <w:tcPr>
            <w:tcW w:type="dxa" w:w="590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What immediate action was taken, and by whom?</w:t>
            </w:r>
          </w:p>
        </w:tc>
        <w:tc>
          <w:tcPr>
            <w:tcW w:type="dxa" w:w="590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Were emergency services or police contacted? Time and any reference.</w:t>
            </w:r>
          </w:p>
        </w:tc>
        <w:tc>
          <w:tcPr>
            <w:tcW w:type="dxa" w:w="590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Witnesses and evidence kept (and where)</w:t>
            </w:r>
          </w:p>
        </w:tc>
        <w:tc>
          <w:tcPr>
            <w:tcW w:type="dxa" w:w="590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Is anyone still at risk?</w:t>
            </w:r>
          </w:p>
        </w:tc>
        <w:tc>
          <w:tcPr>
            <w:tcW w:type="dxa" w:w="590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Yes / No / Not sure. If yes, explain:</w:t>
            </w:r>
          </w:p>
        </w:tc>
      </w:tr>
      <w:tr>
        <w:trPr>
          <w:cantSplit/>
          <w:tblHeader w:val="off"/>
        </w:trPr>
        <w:tc>
          <w:tcPr>
            <w:tcW w:type="dxa" w:w="3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Who else have you told?</w:t>
            </w:r>
          </w:p>
        </w:tc>
        <w:tc>
          <w:tcPr>
            <w:tcW w:type="dxa" w:w="590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Signature and date</w:t>
            </w:r>
          </w:p>
        </w:tc>
        <w:tc>
          <w:tcPr>
            <w:tcW w:type="dxa" w:w="590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bl>
    <w:p>
      <w:pPr>
        <w:spacing w:after="120"/>
      </w:pPr>
    </w:p>
    <w:p>
      <w:pPr>
        <w:keepNext/>
        <w:spacing w:after="80" w:before="120"/>
      </w:pPr>
      <w:r>
        <w:rPr>
          <w:rFonts w:ascii="Nunito Sans" w:cs="Nunito Sans" w:eastAsia="Nunito Sans" w:hAnsi="Nunito Sans"/>
          <w:b/>
          <w:bCs/>
          <w:color w:val="16746E"/>
          <w:spacing w:val="30"/>
          <w:sz w:val="15"/>
          <w:szCs w:val="15"/>
        </w:rPr>
        <w:t xml:space="preserve">FOR THE INCIDENT LEAD</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19"/>
        <w:gridCol w:w="5905"/>
      </w:tblGrid>
      <w:tr>
        <w:trPr>
          <w:cantSplit/>
          <w:tblHeader/>
        </w:trPr>
        <w:tc>
          <w:tcPr>
            <w:tcW w:type="dxa" w:w="361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FIELD</w:t>
            </w:r>
          </w:p>
        </w:tc>
        <w:tc>
          <w:tcPr>
            <w:tcW w:type="dxa" w:w="590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DETAILS</w:t>
            </w:r>
          </w:p>
        </w:tc>
      </w:tr>
      <w:tr>
        <w:trPr>
          <w:cantSplit/>
          <w:tblHeader w:val="off"/>
        </w:trPr>
        <w:tc>
          <w:tcPr>
            <w:tcW w:type="dxa" w:w="3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Received (date, time) and severity level</w:t>
            </w:r>
          </w:p>
        </w:tc>
        <w:tc>
          <w:tcPr>
            <w:tcW w:type="dxa" w:w="590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Policy that applies; director and chair told (when)</w:t>
            </w:r>
          </w:p>
        </w:tc>
        <w:tc>
          <w:tcPr>
            <w:tcW w:type="dxa" w:w="590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61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External notifications (who, when, reference) or reason not to</w:t>
            </w:r>
          </w:p>
        </w:tc>
        <w:tc>
          <w:tcPr>
            <w:tcW w:type="dxa" w:w="590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61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Date closed, outcome and learning actions</w:t>
            </w:r>
          </w:p>
        </w:tc>
        <w:tc>
          <w:tcPr>
            <w:tcW w:type="dxa" w:w="590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Annex B: Incident log</w:t>
      </w:r>
    </w:p>
    <w:p>
      <w:pPr>
        <w:spacing w:after="120" w:before="0" w:line="300"/>
      </w:pPr>
      <w:r>
        <w:rPr>
          <w:rFonts w:ascii="Nunito Sans" w:cs="Nunito Sans" w:eastAsia="Nunito Sans" w:hAnsi="Nunito Sans"/>
          <w:color w:val="102E3B"/>
          <w:sz w:val="20"/>
          <w:szCs w:val="20"/>
        </w:rPr>
        <w:t xml:space="preserve">One log for all incidents. Safeguarding incidents show only the reference and level; details stay in the safeguarding case record. The rows below are examples: delete them before use.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23"/>
        <w:gridCol w:w="1333"/>
        <w:gridCol w:w="2857"/>
        <w:gridCol w:w="1904"/>
        <w:gridCol w:w="1907"/>
      </w:tblGrid>
      <w:tr>
        <w:trPr>
          <w:cantSplit/>
          <w:tblHeader/>
        </w:trPr>
        <w:tc>
          <w:tcPr>
            <w:tcW w:type="dxa" w:w="152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REFERENCE AND DATE</w:t>
            </w:r>
          </w:p>
        </w:tc>
        <w:tc>
          <w:tcPr>
            <w:tcW w:type="dxa" w:w="133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TYPE AND LEVEL</w:t>
            </w:r>
          </w:p>
        </w:tc>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SUMMARY (NO NAMES)</w:t>
            </w:r>
          </w:p>
        </w:tc>
        <w:tc>
          <w:tcPr>
            <w:tcW w:type="dxa" w:w="190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EXTERNAL REPORTS</w:t>
            </w:r>
          </w:p>
        </w:tc>
        <w:tc>
          <w:tcPr>
            <w:tcW w:type="dxa" w:w="190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STATUS AND LEARNING</w:t>
            </w:r>
          </w:p>
        </w:tc>
      </w:tr>
      <w:tr>
        <w:trPr>
          <w:cantSplit/>
          <w:tblHeader w:val="off"/>
        </w:trPr>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[IR-2026-001]</w:t>
            </w:r>
          </w:p>
          <w:p>
            <w:pPr>
              <w:spacing w:after="40" w:line="260"/>
            </w:pPr>
            <w:r>
              <w:rPr>
                <w:rFonts w:ascii="Nunito Sans" w:cs="Nunito Sans" w:eastAsia="Nunito Sans" w:hAnsi="Nunito Sans"/>
                <w:color w:val="102E3B"/>
                <w:sz w:val="18"/>
                <w:szCs w:val="18"/>
                <w:highlight w:val="yellow"/>
              </w:rPr>
              <w:t xml:space="preserve">[12 March 2026]</w:t>
            </w:r>
          </w:p>
        </w:tc>
        <w:tc>
          <w:tcPr>
            <w:tcW w:type="dxa" w:w="1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Injury</w:t>
            </w:r>
          </w:p>
          <w:p>
            <w:pPr>
              <w:spacing w:after="40" w:line="260"/>
            </w:pPr>
            <w:r>
              <w:rPr>
                <w:rFonts w:ascii="Nunito Sans" w:cs="Nunito Sans" w:eastAsia="Nunito Sans" w:hAnsi="Nunito Sans"/>
                <w:color w:val="102E3B"/>
                <w:sz w:val="18"/>
                <w:szCs w:val="18"/>
              </w:rPr>
              <w:t xml:space="preserve">Medium</w:t>
            </w:r>
          </w:p>
        </w:tc>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volunteer slipped on a wet floor at a training session; treated at clinic.</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Insurer told </w:t>
            </w:r>
            <w:r>
              <w:rPr>
                <w:rFonts w:ascii="Nunito Sans" w:cs="Nunito Sans" w:eastAsia="Nunito Sans" w:hAnsi="Nunito Sans"/>
                <w:color w:val="102E3B"/>
                <w:sz w:val="18"/>
                <w:szCs w:val="18"/>
                <w:highlight w:val="yellow"/>
              </w:rPr>
              <w:t xml:space="preserve">[13 March]</w:t>
            </w:r>
          </w:p>
        </w:tc>
        <w:tc>
          <w:tcPr>
            <w:tcW w:type="dxa" w:w="190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Closed. Warning signs and cleaning rota added.</w:t>
            </w:r>
          </w:p>
        </w:tc>
      </w:tr>
      <w:tr>
        <w:trPr>
          <w:cantSplit/>
          <w:tblHeader w:val="off"/>
        </w:trPr>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[IR-2026-002]</w:t>
            </w:r>
          </w:p>
          <w:p>
            <w:pPr>
              <w:spacing w:after="40" w:line="260"/>
            </w:pPr>
            <w:r>
              <w:rPr>
                <w:rFonts w:ascii="Nunito Sans" w:cs="Nunito Sans" w:eastAsia="Nunito Sans" w:hAnsi="Nunito Sans"/>
                <w:color w:val="102E3B"/>
                <w:sz w:val="18"/>
                <w:szCs w:val="18"/>
                <w:highlight w:val="yellow"/>
              </w:rPr>
              <w:t xml:space="preserve">[2 April 2026]</w:t>
            </w:r>
          </w:p>
        </w:tc>
        <w:tc>
          <w:tcPr>
            <w:tcW w:type="dxa" w:w="1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Data breach</w:t>
            </w:r>
          </w:p>
          <w:p>
            <w:pPr>
              <w:spacing w:after="40" w:line="260"/>
            </w:pPr>
            <w:r>
              <w:rPr>
                <w:rFonts w:ascii="Nunito Sans" w:cs="Nunito Sans" w:eastAsia="Nunito Sans" w:hAnsi="Nunito Sans"/>
                <w:color w:val="102E3B"/>
                <w:sz w:val="18"/>
                <w:szCs w:val="18"/>
              </w:rPr>
              <w:t xml:space="preserve">High</w:t>
            </w:r>
          </w:p>
        </w:tc>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Example: spreadsheet of participant phone numbers emailed to the wrong partner; deleted by recipient.</w:t>
            </w: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Authority: not notified, low risk, reason recorded. Funder told </w:t>
            </w:r>
            <w:r>
              <w:rPr>
                <w:rFonts w:ascii="Nunito Sans" w:cs="Nunito Sans" w:eastAsia="Nunito Sans" w:hAnsi="Nunito Sans"/>
                <w:color w:val="102E3B"/>
                <w:sz w:val="18"/>
                <w:szCs w:val="18"/>
                <w:highlight w:val="yellow"/>
              </w:rPr>
              <w:t xml:space="preserve">[3 April]</w:t>
            </w:r>
            <w:r>
              <w:rPr>
                <w:rFonts w:ascii="Nunito Sans" w:cs="Nunito Sans" w:eastAsia="Nunito Sans" w:hAnsi="Nunito Sans"/>
                <w:color w:val="102E3B"/>
                <w:sz w:val="18"/>
                <w:szCs w:val="18"/>
              </w:rPr>
              <w:t xml:space="preserve">.</w:t>
            </w:r>
          </w:p>
        </w:tc>
        <w:tc>
          <w:tcPr>
            <w:tcW w:type="dxa" w:w="190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Closed. Files now password-protected.</w:t>
            </w:r>
          </w:p>
        </w:tc>
      </w:tr>
      <w:tr>
        <w:trPr>
          <w:cantSplit/>
          <w:tblHeader w:val="off"/>
        </w:trPr>
        <w:tc>
          <w:tcPr>
            <w:tcW w:type="dxa" w:w="1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[IR-2026-003]</w:t>
            </w:r>
          </w:p>
          <w:p>
            <w:pPr>
              <w:spacing w:after="40" w:line="260"/>
            </w:pPr>
            <w:r>
              <w:rPr>
                <w:rFonts w:ascii="Nunito Sans" w:cs="Nunito Sans" w:eastAsia="Nunito Sans" w:hAnsi="Nunito Sans"/>
                <w:color w:val="102E3B"/>
                <w:sz w:val="18"/>
                <w:szCs w:val="18"/>
                <w:highlight w:val="yellow"/>
              </w:rPr>
              <w:t xml:space="preserve">[20 May 2026]</w:t>
            </w:r>
          </w:p>
        </w:tc>
        <w:tc>
          <w:tcPr>
            <w:tcW w:type="dxa" w:w="133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Safeguarding</w:t>
            </w:r>
          </w:p>
          <w:p>
            <w:pPr>
              <w:spacing w:after="40" w:line="260"/>
            </w:pPr>
            <w:r>
              <w:rPr>
                <w:rFonts w:ascii="Nunito Sans" w:cs="Nunito Sans" w:eastAsia="Nunito Sans" w:hAnsi="Nunito Sans"/>
                <w:color w:val="102E3B"/>
                <w:sz w:val="18"/>
                <w:szCs w:val="18"/>
              </w:rPr>
              <w:t xml:space="preserve">High</w:t>
            </w:r>
          </w:p>
        </w:tc>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See safeguarding case record </w:t>
            </w:r>
            <w:r>
              <w:rPr>
                <w:rFonts w:ascii="Nunito Sans" w:cs="Nunito Sans" w:eastAsia="Nunito Sans" w:hAnsi="Nunito Sans"/>
                <w:color w:val="102E3B"/>
                <w:sz w:val="18"/>
                <w:szCs w:val="18"/>
                <w:highlight w:val="yellow"/>
              </w:rPr>
              <w:t xml:space="preserve">[SG-2026-004]</w:t>
            </w:r>
            <w:r>
              <w:rPr>
                <w:rFonts w:ascii="Nunito Sans" w:cs="Nunito Sans" w:eastAsia="Nunito Sans" w:hAnsi="Nunito Sans"/>
                <w:color w:val="102E3B"/>
                <w:sz w:val="18"/>
                <w:szCs w:val="18"/>
              </w:rPr>
              <w:t xml:space="preserve">.</w:t>
            </w: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As recorded in case file</w:t>
            </w:r>
          </w:p>
        </w:tc>
        <w:tc>
          <w:tcPr>
            <w:tcW w:type="dxa" w:w="190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Open</w:t>
            </w:r>
          </w:p>
        </w:tc>
      </w:tr>
      <w:tr>
        <w:trPr>
          <w:cantSplit/>
          <w:tblHeader w:val="off"/>
        </w:trPr>
        <w:tc>
          <w:tcPr>
            <w:tcW w:type="dxa" w:w="1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33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90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Document history</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42"/>
        <w:gridCol w:w="1714"/>
        <w:gridCol w:w="4285"/>
        <w:gridCol w:w="2383"/>
      </w:tblGrid>
      <w:tr>
        <w:trPr>
          <w:cantSplit/>
          <w:tblHeader/>
        </w:trPr>
        <w:tc>
          <w:tcPr>
            <w:tcW w:type="dxa" w:w="114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VERSION</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DATE</w:t>
            </w:r>
          </w:p>
        </w:tc>
        <w:tc>
          <w:tcPr>
            <w:tcW w:type="dxa" w:w="4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WHAT CHANGED</w:t>
            </w:r>
          </w:p>
        </w:tc>
        <w:tc>
          <w:tcPr>
            <w:tcW w:type="dxa" w:w="238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APPROVED BY</w:t>
            </w:r>
          </w:p>
        </w:tc>
      </w:tr>
      <w:tr>
        <w:trPr>
          <w:cantSplit/>
          <w:tblHeader w:val="off"/>
        </w:trPr>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[1.0]</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[DD Month YYYY]</w:t>
            </w:r>
          </w:p>
        </w:tc>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First version, adapted from the Method into Impact Incident Reporting Procedure template (v1.0)</w:t>
            </w:r>
          </w:p>
        </w:tc>
        <w:tc>
          <w:tcPr>
            <w:tcW w:type="dxa" w:w="238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 role]</w:t>
            </w:r>
          </w:p>
        </w:tc>
      </w:tr>
      <w:tr>
        <w:trPr>
          <w:cantSplit/>
          <w:tblHeader w:val="off"/>
        </w:trPr>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38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before="480"/>
        <w:jc w:val="center"/>
      </w:pPr>
      <w:r>
        <w:rPr>
          <w:rFonts w:ascii="Nunito Sans" w:cs="Nunito Sans" w:eastAsia="Nunito Sans" w:hAnsi="Nunito Sans"/>
          <w:color w:val="5B6F78"/>
          <w:sz w:val="15"/>
          <w:szCs w:val="15"/>
        </w:rPr>
        <w:t xml:space="preserve">Adapted from a Method into Impact template · Better foundations. Stronger organisations.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11B5AC6B-2173-5B07-5407-FB9491A4992F}"/>
  </w:font>
  <w:font w:name="DM Serif Display">
    <w:family w:val="auto"/>
    <w:pitch w:val="variable"/>
    <w:sig w:usb0="E0002AFF" w:usb1="C000247B" w:usb2="00000009" w:usb3="00000000" w:csb0="000001FF" w:csb1="00000000"/>
    <w:embedRegular r:id="rId2" w:fontKey="{C209C9D1-2EB4-B234-5A47-8290B392CA4D}"/>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[Organisation name]</w:t>
    </w:r>
    <w:r>
      <w:rPr>
        <w:rFonts w:ascii="Nunito Sans" w:cs="Nunito Sans" w:eastAsia="Nunito Sans" w:hAnsi="Nunito Sans"/>
        <w:color w:val="5B6F78"/>
        <w:sz w:val="14"/>
        <w:szCs w:val="14"/>
      </w:rPr>
      <w:t xml:space="preserve">  |  Incident Reporting Procedure  |  Version [1.0]  |  From a Method into Impact template</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INCIDENT REPORTING PROCEDURE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e2912a9826b8bfa61ff77f181f30906e653c6c77.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Incident Reporting Procedure</dc:title>
  <dc:creator>Method into Impact</dc:creator>
  <dc:description>What everyone at [[Organisation name]] does when something goes wrong: keep people safe, report it quickly to the right person, tell the authorities and funders on time, and learn from it.</dc:description>
  <cp:lastModifiedBy>Un-named</cp:lastModifiedBy>
  <cp:revision>1</cp:revision>
  <dcterms:created xsi:type="dcterms:W3CDTF">2026-10-29T04:56:20.053Z</dcterms:created>
  <dcterms:modified xsi:type="dcterms:W3CDTF">2026-10-29T04:56:20.053Z</dcterms:modified>
</cp:coreProperties>
</file>

<file path=docProps/custom.xml><?xml version="1.0" encoding="utf-8"?>
<Properties xmlns="http://schemas.openxmlformats.org/officeDocument/2006/custom-properties" xmlns:vt="http://schemas.openxmlformats.org/officeDocument/2006/docPropsVTypes"/>
</file>