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GOVERNANCE TEMPLATE · ROLE NOTE</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Independent Contact Role Note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Sets out the role of the trusted, independent person who receives concerns about the founder or safeguarding lead of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and covers urgent cases when the lead cannot be reached.</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Your safeguarding, anti-harassment, fraud and whistleblowing policies all promise that a concern about the person in charge goes to someone else. In a small organisation, that someone is the independent contact. This note explains the role, so that you can ask the right person, agree what they will and will not do, and show funders that your reporting routes really work.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Funders and partners checking your safeguarding and whistleblowing arrangements; the person you invite to take the role;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 hour to adapt; allow time to find and brief the right person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lesson 10.5 (safeguarding); Course 2 · Organise, Module 3 (structure and governance)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Safeguarding Policy and Procedure · Whistleblowing Policy and Procedure · Anti-Harassment, Intimidation and Bullying Policy and Procedure · Fraud, Bribery and Corruption Policy and Procedure · Code of Conduct · Governing Body Terms of Reference · Data Protection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Independent Contact Role Note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Role note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The independent contact, the founder or director, the safeguarding lead and the board of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[independent.contact@yourorganisation.org]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Why this role exists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Getting outside advice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use this note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Conflicts of interest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can be the independent contact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Time commitment and support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the independent contact does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Contact routing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the independent contact does not do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Appointment letter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Covering when the lead is unavailable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Confidentiality and personal information</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The independent contact makes sure nobody has to report a concern about the founder or safeguarding lead to that same person.</w:t>
            </w:r>
          </w:p>
          <w:p>
            <w:pPr>
              <w:pStyle w:val="ListParagraph"/>
              <w:numPr>
                <w:ilvl w:val="0"/>
                <w:numId w:val="3"/>
              </w:numPr>
              <w:spacing w:after="80" w:line="290"/>
            </w:pPr>
            <w:r>
              <w:rPr>
                <w:rFonts w:ascii="Nunito Sans" w:cs="Nunito Sans" w:eastAsia="Nunito Sans" w:hAnsi="Nunito Sans"/>
                <w:color w:val="102E3B"/>
                <w:sz w:val="19"/>
                <w:szCs w:val="19"/>
              </w:rPr>
              <w:t xml:space="preserve">They also cover urgent safeguarding cases when the lead cannot be reached for more than </w:t>
            </w:r>
            <w:r>
              <w:rPr>
                <w:rFonts w:ascii="Nunito Sans" w:cs="Nunito Sans" w:eastAsia="Nunito Sans" w:hAnsi="Nunito Sans"/>
                <w:color w:val="102E3B"/>
                <w:sz w:val="19"/>
                <w:szCs w:val="19"/>
                <w:highlight w:val="yellow"/>
              </w:rPr>
              <w:t xml:space="preserve">[48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The role is small: receive a concern, acknowledge it, make sure it is handled fairly, and get outside advice when needed.</w:t>
            </w:r>
          </w:p>
          <w:p>
            <w:pPr>
              <w:pStyle w:val="ListParagraph"/>
              <w:numPr>
                <w:ilvl w:val="0"/>
                <w:numId w:val="3"/>
              </w:numPr>
              <w:spacing w:after="80" w:line="290"/>
            </w:pPr>
            <w:r>
              <w:rPr>
                <w:rFonts w:ascii="Nunito Sans" w:cs="Nunito Sans" w:eastAsia="Nunito Sans" w:hAnsi="Nunito Sans"/>
                <w:color w:val="102E3B"/>
                <w:sz w:val="19"/>
                <w:szCs w:val="19"/>
              </w:rPr>
              <w:t xml:space="preserve">They do not run the organisation, investigate alone or take on its legal duties.</w:t>
            </w:r>
          </w:p>
          <w:p>
            <w:pPr>
              <w:pStyle w:val="ListParagraph"/>
              <w:numPr>
                <w:ilvl w:val="0"/>
                <w:numId w:val="3"/>
              </w:numPr>
              <w:spacing w:after="80" w:line="290"/>
            </w:pPr>
            <w:r>
              <w:rPr>
                <w:rFonts w:ascii="Nunito Sans" w:cs="Nunito Sans" w:eastAsia="Nunito Sans" w:hAnsi="Nunito Sans"/>
                <w:color w:val="102E3B"/>
                <w:sz w:val="19"/>
                <w:szCs w:val="19"/>
              </w:rPr>
              <w:t xml:space="preserve">It may be used rarely, perhaps never. We expect </w:t>
            </w:r>
            <w:r>
              <w:rPr>
                <w:rFonts w:ascii="Nunito Sans" w:cs="Nunito Sans" w:eastAsia="Nunito Sans" w:hAnsi="Nunito Sans"/>
                <w:color w:val="102E3B"/>
                <w:sz w:val="19"/>
                <w:szCs w:val="19"/>
                <w:highlight w:val="yellow"/>
              </w:rPr>
              <w:t xml:space="preserve">[a few hours a year]</w:t>
            </w:r>
            <w:r>
              <w:rPr>
                <w:rFonts w:ascii="Nunito Sans" w:cs="Nunito Sans" w:eastAsia="Nunito Sans" w:hAnsi="Nunito Sans"/>
                <w:color w:val="102E3B"/>
                <w:sz w:val="19"/>
                <w:szCs w:val="19"/>
              </w:rPr>
              <w:t xml:space="preserve">, more only if a case arises.</w:t>
            </w:r>
          </w:p>
          <w:p>
            <w:pPr>
              <w:pStyle w:val="ListParagraph"/>
              <w:numPr>
                <w:ilvl w:val="0"/>
                <w:numId w:val="3"/>
              </w:numPr>
              <w:spacing w:after="80" w:line="290"/>
            </w:pPr>
            <w:r>
              <w:rPr>
                <w:rFonts w:ascii="Nunito Sans" w:cs="Nunito Sans" w:eastAsia="Nunito Sans" w:hAnsi="Nunito Sans"/>
                <w:color w:val="102E3B"/>
                <w:sz w:val="19"/>
                <w:szCs w:val="19"/>
              </w:rPr>
              <w:t xml:space="preserve">Everything they learn is confidential.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pays for any outside advice they need.</w:t>
            </w:r>
          </w:p>
          <w:p>
            <w:pPr>
              <w:pStyle w:val="ListParagraph"/>
              <w:numPr>
                <w:ilvl w:val="0"/>
                <w:numId w:val="3"/>
              </w:numPr>
              <w:spacing w:after="80" w:line="290"/>
            </w:pPr>
            <w:r>
              <w:rPr>
                <w:rFonts w:ascii="Nunito Sans" w:cs="Nunito Sans" w:eastAsia="Nunito Sans" w:hAnsi="Nunito Sans"/>
                <w:color w:val="102E3B"/>
                <w:sz w:val="19"/>
                <w:szCs w:val="19"/>
              </w:rPr>
              <w:t xml:space="preserve">Either side can end the arrangement with </w:t>
            </w:r>
            <w:r>
              <w:rPr>
                <w:rFonts w:ascii="Nunito Sans" w:cs="Nunito Sans" w:eastAsia="Nunito Sans" w:hAnsi="Nunito Sans"/>
                <w:color w:val="102E3B"/>
                <w:sz w:val="19"/>
                <w:szCs w:val="19"/>
                <w:highlight w:val="yellow"/>
              </w:rPr>
              <w:t xml:space="preserve">[one month's]</w:t>
            </w:r>
            <w:r>
              <w:rPr>
                <w:rFonts w:ascii="Nunito Sans" w:cs="Nunito Sans" w:eastAsia="Nunito Sans" w:hAnsi="Nunito Sans"/>
                <w:color w:val="102E3B"/>
                <w:sz w:val="19"/>
                <w:szCs w:val="19"/>
              </w:rPr>
              <w:t xml:space="preserve"> written notice.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Why this role exists</w:t>
      </w:r>
    </w:p>
    <w:p>
      <w:pPr>
        <w:spacing w:after="120" w:before="0" w:line="300"/>
      </w:pPr>
      <w:r>
        <w:rPr>
          <w:rFonts w:ascii="Nunito Sans" w:cs="Nunito Sans" w:eastAsia="Nunito Sans" w:hAnsi="Nunito Sans"/>
          <w:color w:val="102E3B"/>
          <w:sz w:val="20"/>
          <w:szCs w:val="20"/>
        </w:rPr>
        <w:t xml:space="preserve">In a small organisation, one person often leads the work, holds the money, manages the team and receives every safeguarding or whistleblowing concern. That creates a gap: if the concern is about that person, or they are involved, the reporter has nowhere safe to go.</w:t>
      </w:r>
    </w:p>
    <w:p>
      <w:pPr>
        <w:spacing w:after="120" w:before="0" w:line="300"/>
      </w:pPr>
      <w:r>
        <w:rPr>
          <w:rFonts w:ascii="Nunito Sans" w:cs="Nunito Sans" w:eastAsia="Nunito Sans" w:hAnsi="Nunito Sans"/>
          <w:color w:val="102E3B"/>
          <w:sz w:val="20"/>
          <w:szCs w:val="20"/>
        </w:rPr>
        <w:t xml:space="preserve">The independent contact fills that gap. Our policies say that concerns about </w:t>
      </w:r>
      <w:r>
        <w:rPr>
          <w:rFonts w:ascii="Nunito Sans" w:cs="Nunito Sans" w:eastAsia="Nunito Sans" w:hAnsi="Nunito Sans"/>
          <w:color w:val="102E3B"/>
          <w:sz w:val="20"/>
          <w:szCs w:val="20"/>
          <w:highlight w:val="yellow"/>
        </w:rPr>
        <w:t xml:space="preserve">[the founder / the director / the safeguarding lead]</w:t>
      </w:r>
      <w:r>
        <w:rPr>
          <w:rFonts w:ascii="Nunito Sans" w:cs="Nunito Sans" w:eastAsia="Nunito Sans" w:hAnsi="Nunito Sans"/>
          <w:color w:val="102E3B"/>
          <w:sz w:val="20"/>
          <w:szCs w:val="20"/>
        </w:rPr>
        <w:t xml:space="preserve"> ("the lead"), or cases the lead is involved in or conflicted about, go to the independent contact instead. The independent contact also covers urgent safeguarding cases when the lead cannot be reached for more than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How to use this note</w:t>
      </w:r>
    </w:p>
    <w:p>
      <w:pPr>
        <w:pStyle w:val="ListParagraph"/>
        <w:numPr>
          <w:ilvl w:val="0"/>
          <w:numId w:val="4"/>
        </w:numPr>
        <w:spacing w:after="80" w:line="290"/>
      </w:pPr>
      <w:r>
        <w:rPr>
          <w:rFonts w:ascii="Nunito Sans" w:cs="Nunito Sans" w:eastAsia="Nunito Sans" w:hAnsi="Nunito Sans"/>
          <w:color w:val="102E3B"/>
          <w:sz w:val="20"/>
          <w:szCs w:val="20"/>
        </w:rPr>
        <w:t xml:space="preserve">Adapt this note, then share it with the person you would like to invite.</w:t>
      </w:r>
    </w:p>
    <w:p>
      <w:pPr>
        <w:pStyle w:val="ListParagraph"/>
        <w:numPr>
          <w:ilvl w:val="0"/>
          <w:numId w:val="4"/>
        </w:numPr>
        <w:spacing w:after="80" w:line="290"/>
      </w:pPr>
      <w:r>
        <w:rPr>
          <w:rFonts w:ascii="Nunito Sans" w:cs="Nunito Sans" w:eastAsia="Nunito Sans" w:hAnsi="Nunito Sans"/>
          <w:color w:val="102E3B"/>
          <w:sz w:val="20"/>
          <w:szCs w:val="20"/>
        </w:rPr>
        <w:t xml:space="preserve">Meet them, explain the organisation and the policies, and answer their questions.</w:t>
      </w:r>
    </w:p>
    <w:p>
      <w:pPr>
        <w:pStyle w:val="ListParagraph"/>
        <w:numPr>
          <w:ilvl w:val="0"/>
          <w:numId w:val="4"/>
        </w:numPr>
        <w:spacing w:after="80" w:line="290"/>
      </w:pPr>
      <w:r>
        <w:rPr>
          <w:rFonts w:ascii="Nunito Sans" w:cs="Nunito Sans" w:eastAsia="Nunito Sans" w:hAnsi="Nunito Sans"/>
          <w:color w:val="102E3B"/>
          <w:sz w:val="20"/>
          <w:szCs w:val="20"/>
        </w:rPr>
        <w:t xml:space="preserve">If they agree, both sign the appointment letter at the end, and the board records the appointment.</w:t>
      </w:r>
    </w:p>
    <w:p>
      <w:pPr>
        <w:pStyle w:val="ListParagraph"/>
        <w:numPr>
          <w:ilvl w:val="0"/>
          <w:numId w:val="4"/>
        </w:numPr>
        <w:spacing w:after="80" w:line="290"/>
      </w:pPr>
      <w:r>
        <w:rPr>
          <w:rFonts w:ascii="Nunito Sans" w:cs="Nunito Sans" w:eastAsia="Nunito Sans" w:hAnsi="Nunito Sans"/>
          <w:color w:val="102E3B"/>
          <w:sz w:val="20"/>
          <w:szCs w:val="20"/>
        </w:rPr>
        <w:t xml:space="preserve">Publish the contact details in every policy that refers to the role, and tell your team, partners and funders.</w:t>
      </w:r>
    </w:p>
    <w:p>
      <w:pPr>
        <w:pStyle w:val="ListParagraph"/>
        <w:numPr>
          <w:ilvl w:val="0"/>
          <w:numId w:val="4"/>
        </w:numPr>
        <w:spacing w:after="80" w:line="290"/>
      </w:pPr>
      <w:r>
        <w:rPr>
          <w:rFonts w:ascii="Nunito Sans" w:cs="Nunito Sans" w:eastAsia="Nunito Sans" w:hAnsi="Nunito Sans"/>
          <w:color w:val="102E3B"/>
          <w:sz w:val="20"/>
          <w:szCs w:val="20"/>
        </w:rPr>
        <w:t xml:space="preserve">Review the arrangement every year.</w:t>
      </w:r>
    </w:p>
    <w:p>
      <w:pPr>
        <w:pStyle w:val="Heading1"/>
        <w:keepNext/>
        <w:spacing w:after="160" w:before="360"/>
      </w:pPr>
      <w:r>
        <w:rPr>
          <w:rFonts w:ascii="DM Serif Display" w:cs="DM Serif Display" w:eastAsia="DM Serif Display" w:hAnsi="DM Serif Display"/>
          <w:color w:val="123C48"/>
          <w:sz w:val="40"/>
          <w:szCs w:val="40"/>
        </w:rPr>
        <w:t xml:space="preserve">Who can be the independent contact</w:t>
      </w:r>
    </w:p>
    <w:p>
      <w:pPr>
        <w:spacing w:after="120" w:before="0" w:line="300"/>
      </w:pPr>
      <w:r>
        <w:rPr>
          <w:rFonts w:ascii="Nunito Sans" w:cs="Nunito Sans" w:eastAsia="Nunito Sans" w:hAnsi="Nunito Sans"/>
          <w:color w:val="102E3B"/>
          <w:sz w:val="20"/>
          <w:szCs w:val="20"/>
        </w:rPr>
        <w:t xml:space="preserve">The independent contact should be:</w:t>
      </w:r>
    </w:p>
    <w:p>
      <w:pPr>
        <w:pStyle w:val="ListParagraph"/>
        <w:numPr>
          <w:ilvl w:val="0"/>
          <w:numId w:val="3"/>
        </w:numPr>
        <w:spacing w:after="80" w:line="290"/>
      </w:pPr>
      <w:r>
        <w:rPr>
          <w:rFonts w:ascii="Nunito Sans" w:cs="Nunito Sans" w:eastAsia="Nunito Sans" w:hAnsi="Nunito Sans"/>
          <w:b/>
          <w:bCs/>
          <w:color w:val="102E3B"/>
          <w:sz w:val="20"/>
          <w:szCs w:val="20"/>
        </w:rPr>
        <w:t xml:space="preserve">independent of the lead:</w:t>
      </w:r>
      <w:r>
        <w:rPr>
          <w:rFonts w:ascii="Nunito Sans" w:cs="Nunito Sans" w:eastAsia="Nunito Sans" w:hAnsi="Nunito Sans"/>
          <w:color w:val="102E3B"/>
          <w:sz w:val="20"/>
          <w:szCs w:val="20"/>
        </w:rPr>
        <w:t xml:space="preserve"> not managed or paid by them, with no business, family or close personal link to them;</w:t>
      </w:r>
    </w:p>
    <w:p>
      <w:pPr>
        <w:pStyle w:val="ListParagraph"/>
        <w:numPr>
          <w:ilvl w:val="0"/>
          <w:numId w:val="3"/>
        </w:numPr>
        <w:spacing w:after="80" w:line="290"/>
      </w:pPr>
      <w:r>
        <w:rPr>
          <w:rFonts w:ascii="Nunito Sans" w:cs="Nunito Sans" w:eastAsia="Nunito Sans" w:hAnsi="Nunito Sans"/>
          <w:b/>
          <w:bCs/>
          <w:color w:val="102E3B"/>
          <w:sz w:val="20"/>
          <w:szCs w:val="20"/>
        </w:rPr>
        <w:t xml:space="preserve">trusted:</w:t>
      </w:r>
      <w:r>
        <w:rPr>
          <w:rFonts w:ascii="Nunito Sans" w:cs="Nunito Sans" w:eastAsia="Nunito Sans" w:hAnsi="Nunito Sans"/>
          <w:color w:val="102E3B"/>
          <w:sz w:val="20"/>
          <w:szCs w:val="20"/>
        </w:rPr>
        <w:t xml:space="preserve"> someone people would feel safe telling about a sensitive concern;</w:t>
      </w:r>
    </w:p>
    <w:p>
      <w:pPr>
        <w:pStyle w:val="ListParagraph"/>
        <w:numPr>
          <w:ilvl w:val="0"/>
          <w:numId w:val="3"/>
        </w:numPr>
        <w:spacing w:after="80" w:line="290"/>
      </w:pPr>
      <w:r>
        <w:rPr>
          <w:rFonts w:ascii="Nunito Sans" w:cs="Nunito Sans" w:eastAsia="Nunito Sans" w:hAnsi="Nunito Sans"/>
          <w:b/>
          <w:bCs/>
          <w:color w:val="102E3B"/>
          <w:sz w:val="20"/>
          <w:szCs w:val="20"/>
        </w:rPr>
        <w:t xml:space="preserve">experienced:</w:t>
      </w:r>
      <w:r>
        <w:rPr>
          <w:rFonts w:ascii="Nunito Sans" w:cs="Nunito Sans" w:eastAsia="Nunito Sans" w:hAnsi="Nunito Sans"/>
          <w:color w:val="102E3B"/>
          <w:sz w:val="20"/>
          <w:szCs w:val="20"/>
        </w:rPr>
        <w:t xml:space="preserve"> with sound judgement and, ideally, experience of safeguarding, human resources, law, audit or non-profit governance;</w:t>
      </w:r>
    </w:p>
    <w:p>
      <w:pPr>
        <w:pStyle w:val="ListParagraph"/>
        <w:numPr>
          <w:ilvl w:val="0"/>
          <w:numId w:val="3"/>
        </w:numPr>
        <w:spacing w:after="80" w:line="290"/>
      </w:pPr>
      <w:r>
        <w:rPr>
          <w:rFonts w:ascii="Nunito Sans" w:cs="Nunito Sans" w:eastAsia="Nunito Sans" w:hAnsi="Nunito Sans"/>
          <w:b/>
          <w:bCs/>
          <w:color w:val="102E3B"/>
          <w:sz w:val="20"/>
          <w:szCs w:val="20"/>
        </w:rPr>
        <w:t xml:space="preserve">reachable:</w:t>
      </w:r>
      <w:r>
        <w:rPr>
          <w:rFonts w:ascii="Nunito Sans" w:cs="Nunito Sans" w:eastAsia="Nunito Sans" w:hAnsi="Nunito Sans"/>
          <w:color w:val="102E3B"/>
          <w:sz w:val="20"/>
          <w:szCs w:val="20"/>
        </w:rPr>
        <w:t xml:space="preserve"> able to reply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and the same day for anything urgent;</w:t>
      </w:r>
    </w:p>
    <w:p>
      <w:pPr>
        <w:pStyle w:val="ListParagraph"/>
        <w:numPr>
          <w:ilvl w:val="0"/>
          <w:numId w:val="3"/>
        </w:numPr>
        <w:spacing w:after="80" w:line="290"/>
      </w:pPr>
      <w:r>
        <w:rPr>
          <w:rFonts w:ascii="Nunito Sans" w:cs="Nunito Sans" w:eastAsia="Nunito Sans" w:hAnsi="Nunito Sans"/>
          <w:b/>
          <w:bCs/>
          <w:color w:val="102E3B"/>
          <w:sz w:val="20"/>
          <w:szCs w:val="20"/>
        </w:rPr>
        <w:t xml:space="preserve">willing to keep things confidential</w:t>
      </w:r>
      <w:r>
        <w:rPr>
          <w:rFonts w:ascii="Nunito Sans" w:cs="Nunito Sans" w:eastAsia="Nunito Sans" w:hAnsi="Nunito Sans"/>
          <w:color w:val="102E3B"/>
          <w:sz w:val="20"/>
          <w:szCs w:val="20"/>
        </w:rPr>
        <w:t xml:space="preserve"> and to handle personal information carefully.</w:t>
      </w:r>
    </w:p>
    <w:p>
      <w:pPr>
        <w:spacing w:after="120" w:before="0" w:line="300"/>
      </w:pPr>
      <w:r>
        <w:rPr>
          <w:rFonts w:ascii="Nunito Sans" w:cs="Nunito Sans" w:eastAsia="Nunito Sans" w:hAnsi="Nunito Sans"/>
          <w:color w:val="102E3B"/>
          <w:sz w:val="20"/>
          <w:szCs w:val="20"/>
        </w:rPr>
        <w:t xml:space="preserve">They should not be: a relative, partner or close friend of the lead; an employee of the organisation, or a contractor or consultant doing other work for it; a major donor, or a funder's officer managing our grant; or someone with a commercial relationship with the organisation.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CHOOSING THE PERSON</w:t>
            </w:r>
          </w:p>
          <w:p>
            <w:pPr>
              <w:spacing w:after="120" w:before="0" w:line="300"/>
            </w:pPr>
            <w:r>
              <w:rPr>
                <w:rFonts w:ascii="Nunito Sans" w:cs="Nunito Sans" w:eastAsia="Nunito Sans" w:hAnsi="Nunito Sans"/>
                <w:color w:val="102E3B"/>
                <w:sz w:val="19"/>
                <w:szCs w:val="19"/>
              </w:rPr>
              <w:t xml:space="preserve">Good options for a small organisation:</w:t>
            </w:r>
          </w:p>
          <w:p>
            <w:pPr>
              <w:pStyle w:val="ListParagraph"/>
              <w:numPr>
                <w:ilvl w:val="0"/>
                <w:numId w:val="3"/>
              </w:numPr>
              <w:spacing w:after="80" w:line="290"/>
            </w:pPr>
            <w:r>
              <w:rPr>
                <w:rFonts w:ascii="Nunito Sans" w:cs="Nunito Sans" w:eastAsia="Nunito Sans" w:hAnsi="Nunito Sans"/>
                <w:color w:val="102E3B"/>
                <w:sz w:val="19"/>
                <w:szCs w:val="19"/>
              </w:rPr>
              <w:t xml:space="preserve">a board member who is not an employee and is not close to the founder (common, and easy for funders to understand);</w:t>
            </w:r>
          </w:p>
          <w:p>
            <w:pPr>
              <w:pStyle w:val="ListParagraph"/>
              <w:numPr>
                <w:ilvl w:val="0"/>
                <w:numId w:val="3"/>
              </w:numPr>
              <w:spacing w:after="80" w:line="290"/>
            </w:pPr>
            <w:r>
              <w:rPr>
                <w:rFonts w:ascii="Nunito Sans" w:cs="Nunito Sans" w:eastAsia="Nunito Sans" w:hAnsi="Nunito Sans"/>
                <w:color w:val="102E3B"/>
                <w:sz w:val="19"/>
                <w:szCs w:val="19"/>
              </w:rPr>
              <w:t xml:space="preserve">a trusted professional outside the organisation, such as a retired lawyer, HR manager, auditor or safeguarding adviser;</w:t>
            </w:r>
          </w:p>
          <w:p>
            <w:pPr>
              <w:pStyle w:val="ListParagraph"/>
              <w:numPr>
                <w:ilvl w:val="0"/>
                <w:numId w:val="3"/>
              </w:numPr>
              <w:spacing w:after="80" w:line="290"/>
            </w:pPr>
            <w:r>
              <w:rPr>
                <w:rFonts w:ascii="Nunito Sans" w:cs="Nunito Sans" w:eastAsia="Nunito Sans" w:hAnsi="Nunito Sans"/>
                <w:color w:val="102E3B"/>
                <w:sz w:val="19"/>
                <w:szCs w:val="19"/>
              </w:rPr>
              <w:t xml:space="preserve">the leader or safeguarding lead of a peer organisation, under a reciprocal arrangement (you act for each other);</w:t>
            </w:r>
          </w:p>
          <w:p>
            <w:pPr>
              <w:pStyle w:val="ListParagraph"/>
              <w:numPr>
                <w:ilvl w:val="0"/>
                <w:numId w:val="3"/>
              </w:numPr>
              <w:spacing w:after="80" w:line="290"/>
            </w:pPr>
            <w:r>
              <w:rPr>
                <w:rFonts w:ascii="Nunito Sans" w:cs="Nunito Sans" w:eastAsia="Nunito Sans" w:hAnsi="Nunito Sans"/>
                <w:color w:val="102E3B"/>
                <w:sz w:val="19"/>
                <w:szCs w:val="19"/>
              </w:rPr>
              <w:t xml:space="preserve">a paid safeguarding or whistleblowing service, if your budget allows.</w:t>
            </w:r>
          </w:p>
          <w:p>
            <w:pPr>
              <w:spacing w:after="120" w:before="0" w:line="300"/>
            </w:pPr>
            <w:r>
              <w:rPr>
                <w:rFonts w:ascii="Nunito Sans" w:cs="Nunito Sans" w:eastAsia="Nunito Sans" w:hAnsi="Nunito Sans"/>
                <w:color w:val="102E3B"/>
                <w:sz w:val="19"/>
                <w:szCs w:val="19"/>
              </w:rPr>
              <w:t xml:space="preserve">Think about language, time zone and gender: a reporter of sexual harassment may prefer to speak to a woman, for example. If you can, name a second person as back-up. If the founder is the only board member, or the board is made up of family members, this role is even more important, and a funder may ask about it.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the independent contact does</w:t>
      </w:r>
    </w:p>
    <w:p>
      <w:pPr>
        <w:pStyle w:val="ListParagraph"/>
        <w:numPr>
          <w:ilvl w:val="0"/>
          <w:numId w:val="5"/>
        </w:numPr>
        <w:spacing w:after="80" w:line="290"/>
      </w:pPr>
      <w:r>
        <w:rPr>
          <w:rFonts w:ascii="Nunito Sans" w:cs="Nunito Sans" w:eastAsia="Nunito Sans" w:hAnsi="Nunito Sans"/>
          <w:b/>
          <w:bCs/>
          <w:color w:val="102E3B"/>
          <w:sz w:val="20"/>
          <w:szCs w:val="20"/>
        </w:rPr>
        <w:t xml:space="preserve">Receives</w:t>
      </w:r>
      <w:r>
        <w:rPr>
          <w:rFonts w:ascii="Nunito Sans" w:cs="Nunito Sans" w:eastAsia="Nunito Sans" w:hAnsi="Nunito Sans"/>
          <w:color w:val="102E3B"/>
          <w:sz w:val="20"/>
          <w:szCs w:val="20"/>
        </w:rPr>
        <w:t xml:space="preserve"> concerns sent to </w:t>
      </w:r>
      <w:r>
        <w:rPr>
          <w:rFonts w:ascii="Nunito Sans" w:cs="Nunito Sans" w:eastAsia="Nunito Sans" w:hAnsi="Nunito Sans"/>
          <w:color w:val="102E3B"/>
          <w:sz w:val="20"/>
          <w:szCs w:val="20"/>
          <w:highlight w:val="yellow"/>
        </w:rPr>
        <w:t xml:space="preserve">[independent.contact@yourorganisation.org]</w:t>
      </w:r>
      <w:r>
        <w:rPr>
          <w:rFonts w:ascii="Nunito Sans" w:cs="Nunito Sans" w:eastAsia="Nunito Sans" w:hAnsi="Nunito Sans"/>
          <w:color w:val="102E3B"/>
          <w:sz w:val="20"/>
          <w:szCs w:val="20"/>
        </w:rPr>
        <w:t xml:space="preserve">, an address only the independent contact can read, or by </w:t>
      </w:r>
      <w:r>
        <w:rPr>
          <w:rFonts w:ascii="Nunito Sans" w:cs="Nunito Sans" w:eastAsia="Nunito Sans" w:hAnsi="Nunito Sans"/>
          <w:color w:val="102E3B"/>
          <w:sz w:val="20"/>
          <w:szCs w:val="20"/>
          <w:highlight w:val="yellow"/>
        </w:rPr>
        <w:t xml:space="preserve">[phone]</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b/>
          <w:bCs/>
          <w:color w:val="102E3B"/>
          <w:sz w:val="20"/>
          <w:szCs w:val="20"/>
        </w:rPr>
        <w:t xml:space="preserve">Acknowledges</w:t>
      </w:r>
      <w:r>
        <w:rPr>
          <w:rFonts w:ascii="Nunito Sans" w:cs="Nunito Sans" w:eastAsia="Nunito Sans" w:hAnsi="Nunito Sans"/>
          <w:color w:val="102E3B"/>
          <w:sz w:val="20"/>
          <w:szCs w:val="20"/>
        </w:rPr>
        <w:t xml:space="preserve"> each concern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and the same day if someone may be at risk. They give a reference number and explain what happens next.</w:t>
      </w:r>
    </w:p>
    <w:p>
      <w:pPr>
        <w:pStyle w:val="ListParagraph"/>
        <w:numPr>
          <w:ilvl w:val="0"/>
          <w:numId w:val="5"/>
        </w:numPr>
        <w:spacing w:after="80" w:line="290"/>
      </w:pPr>
      <w:r>
        <w:rPr>
          <w:rFonts w:ascii="Nunito Sans" w:cs="Nunito Sans" w:eastAsia="Nunito Sans" w:hAnsi="Nunito Sans"/>
          <w:b/>
          <w:bCs/>
          <w:color w:val="102E3B"/>
          <w:sz w:val="20"/>
          <w:szCs w:val="20"/>
        </w:rPr>
        <w:t xml:space="preserve">Assesses</w:t>
      </w:r>
      <w:r>
        <w:rPr>
          <w:rFonts w:ascii="Nunito Sans" w:cs="Nunito Sans" w:eastAsia="Nunito Sans" w:hAnsi="Nunito Sans"/>
          <w:color w:val="102E3B"/>
          <w:sz w:val="20"/>
          <w:szCs w:val="20"/>
        </w:rPr>
        <w:t xml:space="preserve"> the concern: is anyone at risk now; which policy applies; does the law require a report to the authorities?</w:t>
      </w:r>
    </w:p>
    <w:p>
      <w:pPr>
        <w:pStyle w:val="ListParagraph"/>
        <w:numPr>
          <w:ilvl w:val="0"/>
          <w:numId w:val="5"/>
        </w:numPr>
        <w:spacing w:after="80" w:line="290"/>
      </w:pPr>
      <w:r>
        <w:rPr>
          <w:rFonts w:ascii="Nunito Sans" w:cs="Nunito Sans" w:eastAsia="Nunito Sans" w:hAnsi="Nunito Sans"/>
          <w:b/>
          <w:bCs/>
          <w:color w:val="102E3B"/>
          <w:sz w:val="20"/>
          <w:szCs w:val="20"/>
        </w:rPr>
        <w:t xml:space="preserve">Asks for protective steps</w:t>
      </w:r>
      <w:r>
        <w:rPr>
          <w:rFonts w:ascii="Nunito Sans" w:cs="Nunito Sans" w:eastAsia="Nunito Sans" w:hAnsi="Nunito Sans"/>
          <w:color w:val="102E3B"/>
          <w:sz w:val="20"/>
          <w:szCs w:val="20"/>
        </w:rPr>
        <w:t xml:space="preserve"> where needed: for example suspending the lead's access to a system, pausing an activity, or asking the lead to step aside from a decision. The organisation must act on these requests, and the lead cannot see the case while they are its subject.</w:t>
      </w:r>
    </w:p>
    <w:p>
      <w:pPr>
        <w:pStyle w:val="ListParagraph"/>
        <w:numPr>
          <w:ilvl w:val="0"/>
          <w:numId w:val="5"/>
        </w:numPr>
        <w:spacing w:after="80" w:line="290"/>
      </w:pPr>
      <w:r>
        <w:rPr>
          <w:rFonts w:ascii="Nunito Sans" w:cs="Nunito Sans" w:eastAsia="Nunito Sans" w:hAnsi="Nunito Sans"/>
          <w:b/>
          <w:bCs/>
          <w:color w:val="102E3B"/>
          <w:sz w:val="20"/>
          <w:szCs w:val="20"/>
        </w:rPr>
        <w:t xml:space="preserve">Makes sure the concern is handled fairly.</w:t>
      </w:r>
      <w:r>
        <w:rPr>
          <w:rFonts w:ascii="Nunito Sans" w:cs="Nunito Sans" w:eastAsia="Nunito Sans" w:hAnsi="Nunito Sans"/>
          <w:color w:val="102E3B"/>
          <w:sz w:val="20"/>
          <w:szCs w:val="20"/>
        </w:rPr>
        <w:t xml:space="preserve"> For anything serious, they appoint an experienced external adviser or investigator. They agree its terms of reference and receive its report.</w:t>
      </w:r>
    </w:p>
    <w:p>
      <w:pPr>
        <w:pStyle w:val="ListParagraph"/>
        <w:numPr>
          <w:ilvl w:val="0"/>
          <w:numId w:val="5"/>
        </w:numPr>
        <w:spacing w:after="80" w:line="290"/>
      </w:pPr>
      <w:r>
        <w:rPr>
          <w:rFonts w:ascii="Nunito Sans" w:cs="Nunito Sans" w:eastAsia="Nunito Sans" w:hAnsi="Nunito Sans"/>
          <w:b/>
          <w:bCs/>
          <w:color w:val="102E3B"/>
          <w:sz w:val="20"/>
          <w:szCs w:val="20"/>
        </w:rPr>
        <w:t xml:space="preserve">Refers</w:t>
      </w:r>
      <w:r>
        <w:rPr>
          <w:rFonts w:ascii="Nunito Sans" w:cs="Nunito Sans" w:eastAsia="Nunito Sans" w:hAnsi="Nunito Sans"/>
          <w:color w:val="102E3B"/>
          <w:sz w:val="20"/>
          <w:szCs w:val="20"/>
        </w:rPr>
        <w:t xml:space="preserve"> the matter to the police or other authorities where someone is at risk or the law requires it, taking care not to put a survivor at greater risk.</w:t>
      </w:r>
    </w:p>
    <w:p>
      <w:pPr>
        <w:pStyle w:val="ListParagraph"/>
        <w:numPr>
          <w:ilvl w:val="0"/>
          <w:numId w:val="5"/>
        </w:numPr>
        <w:spacing w:after="80" w:line="290"/>
      </w:pPr>
      <w:r>
        <w:rPr>
          <w:rFonts w:ascii="Nunito Sans" w:cs="Nunito Sans" w:eastAsia="Nunito Sans" w:hAnsi="Nunito Sans"/>
          <w:b/>
          <w:bCs/>
          <w:color w:val="102E3B"/>
          <w:sz w:val="20"/>
          <w:szCs w:val="20"/>
        </w:rPr>
        <w:t xml:space="preserve">Gives feedback</w:t>
      </w:r>
      <w:r>
        <w:rPr>
          <w:rFonts w:ascii="Nunito Sans" w:cs="Nunito Sans" w:eastAsia="Nunito Sans" w:hAnsi="Nunito Sans"/>
          <w:color w:val="102E3B"/>
          <w:sz w:val="20"/>
          <w:szCs w:val="20"/>
        </w:rPr>
        <w:t xml:space="preserve"> to the reporter, as far as confidentiality allows, and tells the board the outcome without identifying the reporter.</w:t>
      </w:r>
    </w:p>
    <w:p>
      <w:pPr>
        <w:pStyle w:val="ListParagraph"/>
        <w:numPr>
          <w:ilvl w:val="0"/>
          <w:numId w:val="5"/>
        </w:numPr>
        <w:spacing w:after="80" w:line="290"/>
      </w:pPr>
      <w:r>
        <w:rPr>
          <w:rFonts w:ascii="Nunito Sans" w:cs="Nunito Sans" w:eastAsia="Nunito Sans" w:hAnsi="Nunito Sans"/>
          <w:b/>
          <w:bCs/>
          <w:color w:val="102E3B"/>
          <w:sz w:val="20"/>
          <w:szCs w:val="20"/>
        </w:rPr>
        <w:t xml:space="preserve">Keeps a short record:</w:t>
      </w:r>
      <w:r>
        <w:rPr>
          <w:rFonts w:ascii="Nunito Sans" w:cs="Nunito Sans" w:eastAsia="Nunito Sans" w:hAnsi="Nunito Sans"/>
          <w:color w:val="102E3B"/>
          <w:sz w:val="20"/>
          <w:szCs w:val="20"/>
        </w:rPr>
        <w:t xml:space="preserve"> date, reference, what was raised, what they did, decisions and outcome. They keep it separately from the organisation's systems.</w:t>
      </w:r>
    </w:p>
    <w:p>
      <w:pPr>
        <w:spacing w:after="120" w:before="0" w:line="300"/>
      </w:pPr>
      <w:r>
        <w:rPr>
          <w:rFonts w:ascii="Nunito Sans" w:cs="Nunito Sans" w:eastAsia="Nunito Sans" w:hAnsi="Nunito Sans"/>
          <w:color w:val="102E3B"/>
          <w:sz w:val="20"/>
          <w:szCs w:val="20"/>
        </w:rPr>
        <w:t xml:space="preserve">The independent contact also hears requests to review decisions made under our policies, where the original decision was the lead's.</w:t>
      </w:r>
    </w:p>
    <w:p>
      <w:pPr>
        <w:pStyle w:val="Heading1"/>
        <w:keepNext/>
        <w:spacing w:after="160" w:before="360"/>
      </w:pPr>
      <w:r>
        <w:rPr>
          <w:rFonts w:ascii="DM Serif Display" w:cs="DM Serif Display" w:eastAsia="DM Serif Display" w:hAnsi="DM Serif Display"/>
          <w:color w:val="123C48"/>
          <w:sz w:val="40"/>
          <w:szCs w:val="40"/>
        </w:rPr>
        <w:t xml:space="preserve">What the independent contact does not do</w:t>
      </w:r>
    </w:p>
    <w:p>
      <w:pPr>
        <w:pStyle w:val="ListParagraph"/>
        <w:numPr>
          <w:ilvl w:val="0"/>
          <w:numId w:val="3"/>
        </w:numPr>
        <w:spacing w:after="80" w:line="290"/>
      </w:pPr>
      <w:r>
        <w:rPr>
          <w:rFonts w:ascii="Nunito Sans" w:cs="Nunito Sans" w:eastAsia="Nunito Sans" w:hAnsi="Nunito Sans"/>
          <w:color w:val="102E3B"/>
          <w:sz w:val="20"/>
          <w:szCs w:val="20"/>
        </w:rPr>
        <w:t xml:space="preserve">They do not investigate alone or act as a judge. For anything serious, they bring in an experienced investigator.</w:t>
      </w:r>
    </w:p>
    <w:p>
      <w:pPr>
        <w:pStyle w:val="ListParagraph"/>
        <w:numPr>
          <w:ilvl w:val="0"/>
          <w:numId w:val="3"/>
        </w:numPr>
        <w:spacing w:after="80" w:line="290"/>
      </w:pPr>
      <w:r>
        <w:rPr>
          <w:rFonts w:ascii="Nunito Sans" w:cs="Nunito Sans" w:eastAsia="Nunito Sans" w:hAnsi="Nunito Sans"/>
          <w:color w:val="102E3B"/>
          <w:sz w:val="20"/>
          <w:szCs w:val="20"/>
        </w:rPr>
        <w:t xml:space="preserve">They do not run the organisation, manage staff, approve spending beyond the agreed limit, or speak for the organisation publicly.</w:t>
      </w:r>
    </w:p>
    <w:p>
      <w:pPr>
        <w:pStyle w:val="ListParagraph"/>
        <w:numPr>
          <w:ilvl w:val="0"/>
          <w:numId w:val="3"/>
        </w:numPr>
        <w:spacing w:after="80" w:line="290"/>
      </w:pPr>
      <w:r>
        <w:rPr>
          <w:rFonts w:ascii="Nunito Sans" w:cs="Nunito Sans" w:eastAsia="Nunito Sans" w:hAnsi="Nunito Sans"/>
          <w:color w:val="102E3B"/>
          <w:sz w:val="20"/>
          <w:szCs w:val="20"/>
        </w:rPr>
        <w:t xml:space="preserve">They do not take on the organisation's legal duties. Responsibility for safeguarding, employment and compliance stays with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and its board.</w:t>
      </w:r>
    </w:p>
    <w:p>
      <w:pPr>
        <w:pStyle w:val="ListParagraph"/>
        <w:numPr>
          <w:ilvl w:val="0"/>
          <w:numId w:val="3"/>
        </w:numPr>
        <w:spacing w:after="80" w:line="290"/>
      </w:pPr>
      <w:r>
        <w:rPr>
          <w:rFonts w:ascii="Nunito Sans" w:cs="Nunito Sans" w:eastAsia="Nunito Sans" w:hAnsi="Nunito Sans"/>
          <w:color w:val="102E3B"/>
          <w:sz w:val="20"/>
          <w:szCs w:val="20"/>
        </w:rPr>
        <w:t xml:space="preserve">They do not provide counselling or legal advice to anyone involved.</w:t>
      </w:r>
    </w:p>
    <w:p>
      <w:pPr>
        <w:pStyle w:val="ListParagraph"/>
        <w:numPr>
          <w:ilvl w:val="0"/>
          <w:numId w:val="3"/>
        </w:numPr>
        <w:spacing w:after="80" w:line="290"/>
      </w:pPr>
      <w:r>
        <w:rPr>
          <w:rFonts w:ascii="Nunito Sans" w:cs="Nunito Sans" w:eastAsia="Nunito Sans" w:hAnsi="Nunito Sans"/>
          <w:color w:val="102E3B"/>
          <w:sz w:val="20"/>
          <w:szCs w:val="20"/>
        </w:rPr>
        <w:t xml:space="preserve">They do not handle routine complaints or disputes that do not involve the lead.</w:t>
      </w:r>
    </w:p>
    <w:p>
      <w:pPr>
        <w:pStyle w:val="Heading1"/>
        <w:keepNext/>
        <w:spacing w:after="160" w:before="360"/>
      </w:pPr>
      <w:r>
        <w:rPr>
          <w:rFonts w:ascii="DM Serif Display" w:cs="DM Serif Display" w:eastAsia="DM Serif Display" w:hAnsi="DM Serif Display"/>
          <w:color w:val="123C48"/>
          <w:sz w:val="40"/>
          <w:szCs w:val="40"/>
        </w:rPr>
        <w:t xml:space="preserve">Covering when the lead is unavailable</w:t>
      </w:r>
    </w:p>
    <w:p>
      <w:pPr>
        <w:spacing w:after="120" w:before="0" w:line="300"/>
      </w:pPr>
      <w:r>
        <w:rPr>
          <w:rFonts w:ascii="Nunito Sans" w:cs="Nunito Sans" w:eastAsia="Nunito Sans" w:hAnsi="Nunito Sans"/>
          <w:color w:val="102E3B"/>
          <w:sz w:val="20"/>
          <w:szCs w:val="20"/>
        </w:rPr>
        <w:t xml:space="preserve">If the safeguarding lead cannot be reached for more than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 for example because of illness, travel or leave, the independent contact covers urgent safeguarding cases. The lead tells the independent contact before any planned absence of more than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During cover, the independent contact follows the steps above and hands the case back when the lead returns, unless the lead is involved.</w:t>
      </w:r>
    </w:p>
    <w:p>
      <w:pPr>
        <w:pStyle w:val="Heading1"/>
        <w:keepNext/>
        <w:spacing w:after="160" w:before="360"/>
      </w:pPr>
      <w:r>
        <w:rPr>
          <w:rFonts w:ascii="DM Serif Display" w:cs="DM Serif Display" w:eastAsia="DM Serif Display" w:hAnsi="DM Serif Display"/>
          <w:color w:val="123C48"/>
          <w:sz w:val="40"/>
          <w:szCs w:val="40"/>
        </w:rPr>
        <w:t xml:space="preserve">Confidentiality and personal information</w:t>
      </w:r>
    </w:p>
    <w:p>
      <w:pPr>
        <w:spacing w:after="120" w:before="0" w:line="300"/>
      </w:pPr>
      <w:r>
        <w:rPr>
          <w:rFonts w:ascii="Nunito Sans" w:cs="Nunito Sans" w:eastAsia="Nunito Sans" w:hAnsi="Nunito Sans"/>
          <w:color w:val="102E3B"/>
          <w:sz w:val="20"/>
          <w:szCs w:val="20"/>
        </w:rPr>
        <w:t xml:space="preserve">The independent contact shares what they learn only with those who need to know to keep someone safe or to handle the concern fairly. They:</w:t>
      </w:r>
    </w:p>
    <w:p>
      <w:pPr>
        <w:pStyle w:val="ListParagraph"/>
        <w:numPr>
          <w:ilvl w:val="0"/>
          <w:numId w:val="3"/>
        </w:numPr>
        <w:spacing w:after="80" w:line="290"/>
      </w:pPr>
      <w:r>
        <w:rPr>
          <w:rFonts w:ascii="Nunito Sans" w:cs="Nunito Sans" w:eastAsia="Nunito Sans" w:hAnsi="Nunito Sans"/>
          <w:color w:val="102E3B"/>
          <w:sz w:val="20"/>
          <w:szCs w:val="20"/>
        </w:rPr>
        <w:t xml:space="preserve">use a password-protected email account and devices not shared with others;</w:t>
      </w:r>
    </w:p>
    <w:p>
      <w:pPr>
        <w:pStyle w:val="ListParagraph"/>
        <w:numPr>
          <w:ilvl w:val="0"/>
          <w:numId w:val="3"/>
        </w:numPr>
        <w:spacing w:after="80" w:line="290"/>
      </w:pPr>
      <w:r>
        <w:rPr>
          <w:rFonts w:ascii="Nunito Sans" w:cs="Nunito Sans" w:eastAsia="Nunito Sans" w:hAnsi="Nunito Sans"/>
          <w:color w:val="102E3B"/>
          <w:sz w:val="20"/>
          <w:szCs w:val="20"/>
        </w:rPr>
        <w:t xml:space="preserve">do not use the information for any other purpose;</w:t>
      </w:r>
    </w:p>
    <w:p>
      <w:pPr>
        <w:pStyle w:val="ListParagraph"/>
        <w:numPr>
          <w:ilvl w:val="0"/>
          <w:numId w:val="3"/>
        </w:numPr>
        <w:spacing w:after="80" w:line="290"/>
      </w:pPr>
      <w:r>
        <w:rPr>
          <w:rFonts w:ascii="Nunito Sans" w:cs="Nunito Sans" w:eastAsia="Nunito Sans" w:hAnsi="Nunito Sans"/>
          <w:color w:val="102E3B"/>
          <w:sz w:val="20"/>
          <w:szCs w:val="20"/>
        </w:rPr>
        <w:t xml:space="preserve">keep records only as long as our Records Retention Schedule allows, then delete them securely, or hand them to the next independent contact;</w:t>
      </w:r>
    </w:p>
    <w:p>
      <w:pPr>
        <w:pStyle w:val="ListParagraph"/>
        <w:numPr>
          <w:ilvl w:val="0"/>
          <w:numId w:val="3"/>
        </w:numPr>
        <w:spacing w:after="80" w:line="290"/>
      </w:pPr>
      <w:r>
        <w:rPr>
          <w:rFonts w:ascii="Nunito Sans" w:cs="Nunito Sans" w:eastAsia="Nunito Sans" w:hAnsi="Nunito Sans"/>
          <w:color w:val="102E3B"/>
          <w:sz w:val="20"/>
          <w:szCs w:val="20"/>
        </w:rPr>
        <w:t xml:space="preserve">act on behalf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for this purpose only, under our Data Protection Policy.</w:t>
      </w:r>
    </w:p>
    <w:p>
      <w:pPr>
        <w:spacing w:after="120" w:before="0" w:line="300"/>
      </w:pPr>
      <w:r>
        <w:rPr>
          <w:rFonts w:ascii="Nunito Sans" w:cs="Nunito Sans" w:eastAsia="Nunito Sans" w:hAnsi="Nunito Sans"/>
          <w:color w:val="102E3B"/>
          <w:sz w:val="20"/>
          <w:szCs w:val="20"/>
        </w:rPr>
        <w:t xml:space="preserve">They may disclose information where the law requires it or where someone is at serious risk.</w:t>
      </w:r>
    </w:p>
    <w:p>
      <w:pPr>
        <w:pStyle w:val="Heading1"/>
        <w:keepNext/>
        <w:spacing w:after="160" w:before="360"/>
      </w:pPr>
      <w:r>
        <w:rPr>
          <w:rFonts w:ascii="DM Serif Display" w:cs="DM Serif Display" w:eastAsia="DM Serif Display" w:hAnsi="DM Serif Display"/>
          <w:color w:val="123C48"/>
          <w:sz w:val="40"/>
          <w:szCs w:val="40"/>
        </w:rPr>
        <w:t xml:space="preserve">Getting outside advice</w:t>
      </w:r>
    </w:p>
    <w:p>
      <w:pPr>
        <w:spacing w:after="120" w:before="0" w:line="300"/>
      </w:pPr>
      <w:r>
        <w:rPr>
          <w:rFonts w:ascii="Nunito Sans" w:cs="Nunito Sans" w:eastAsia="Nunito Sans" w:hAnsi="Nunito Sans"/>
          <w:color w:val="102E3B"/>
          <w:sz w:val="20"/>
          <w:szCs w:val="20"/>
        </w:rPr>
        <w:t xml:space="preserve">The independent contact can get outside advice whenever they need it: from a lawyer, an HR or safeguarding specialist, or an external investigator.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pays for it. The independent contact can commit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per case without asking the lead. Above that, they agree costs with </w:t>
      </w:r>
      <w:r>
        <w:rPr>
          <w:rFonts w:ascii="Nunito Sans" w:cs="Nunito Sans" w:eastAsia="Nunito Sans" w:hAnsi="Nunito Sans"/>
          <w:color w:val="102E3B"/>
          <w:sz w:val="20"/>
          <w:szCs w:val="20"/>
          <w:highlight w:val="yellow"/>
        </w:rPr>
        <w:t xml:space="preserve">[the board chair / another board member]</w:t>
      </w:r>
      <w:r>
        <w:rPr>
          <w:rFonts w:ascii="Nunito Sans" w:cs="Nunito Sans" w:eastAsia="Nunito Sans" w:hAnsi="Nunito Sans"/>
          <w:color w:val="102E3B"/>
          <w:sz w:val="20"/>
          <w:szCs w:val="20"/>
        </w:rPr>
        <w:t xml:space="preserve">, never with the lead if the lead is the subject of the case.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BUDGET AND ADVISERS</w:t>
            </w:r>
          </w:p>
          <w:p>
            <w:pPr>
              <w:spacing w:after="120" w:before="0" w:line="300"/>
            </w:pPr>
            <w:r>
              <w:rPr>
                <w:rFonts w:ascii="Nunito Sans" w:cs="Nunito Sans" w:eastAsia="Nunito Sans" w:hAnsi="Nunito Sans"/>
                <w:color w:val="102E3B"/>
                <w:sz w:val="19"/>
                <w:szCs w:val="19"/>
              </w:rPr>
              <w:t xml:space="preserve">Set a spending limit that is realistic for your context: enough for an initial legal consultation or a few days of an external investigator. Name in advance one or two advisers the independent contact can call, for example a local employment lawyer or a safeguarding consultancy, and check their rates. Some funders will cover investigation costs on projects they fund, or require you to use an investigator they approve: check your grant agreements.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Conflicts of interest</w:t>
      </w:r>
    </w:p>
    <w:p>
      <w:pPr>
        <w:spacing w:after="120" w:before="0" w:line="300"/>
      </w:pPr>
      <w:r>
        <w:rPr>
          <w:rFonts w:ascii="Nunito Sans" w:cs="Nunito Sans" w:eastAsia="Nunito Sans" w:hAnsi="Nunito Sans"/>
          <w:color w:val="102E3B"/>
          <w:sz w:val="20"/>
          <w:szCs w:val="20"/>
        </w:rPr>
        <w:t xml:space="preserve">If the independent contact has a conflict in a particular case (for example, they know the reporter or the person concerned well), they tell the reporter, step aside and pass the concern to </w:t>
      </w:r>
      <w:r>
        <w:rPr>
          <w:rFonts w:ascii="Nunito Sans" w:cs="Nunito Sans" w:eastAsia="Nunito Sans" w:hAnsi="Nunito Sans"/>
          <w:color w:val="102E3B"/>
          <w:sz w:val="20"/>
          <w:szCs w:val="20"/>
          <w:highlight w:val="yellow"/>
        </w:rPr>
        <w:t xml:space="preserve">[back-up independent contact / the board chair / an external adviser]</w:t>
      </w:r>
      <w:r>
        <w:rPr>
          <w:rFonts w:ascii="Nunito Sans" w:cs="Nunito Sans" w:eastAsia="Nunito Sans" w:hAnsi="Nunito Sans"/>
          <w:color w:val="102E3B"/>
          <w:sz w:val="20"/>
          <w:szCs w:val="20"/>
        </w:rPr>
        <w:t xml:space="preserve">. They declare any interest that could affect the role when they are appointed, and each year, using the Board Interest Declaration if they are a board member.</w:t>
      </w:r>
    </w:p>
    <w:p>
      <w:pPr>
        <w:pStyle w:val="Heading1"/>
        <w:keepNext/>
        <w:spacing w:after="160" w:before="360"/>
      </w:pPr>
      <w:r>
        <w:rPr>
          <w:rFonts w:ascii="DM Serif Display" w:cs="DM Serif Display" w:eastAsia="DM Serif Display" w:hAnsi="DM Serif Display"/>
          <w:color w:val="123C48"/>
          <w:sz w:val="40"/>
          <w:szCs w:val="40"/>
        </w:rPr>
        <w:t xml:space="preserve">Time commitment and support</w:t>
      </w:r>
    </w:p>
    <w:p>
      <w:pPr>
        <w:spacing w:after="120" w:before="0" w:line="300"/>
      </w:pPr>
      <w:r>
        <w:rPr>
          <w:rFonts w:ascii="Nunito Sans" w:cs="Nunito Sans" w:eastAsia="Nunito Sans" w:hAnsi="Nunito Sans"/>
          <w:color w:val="102E3B"/>
          <w:sz w:val="20"/>
          <w:szCs w:val="20"/>
        </w:rPr>
        <w:t xml:space="preserve">We expect </w:t>
      </w:r>
      <w:r>
        <w:rPr>
          <w:rFonts w:ascii="Nunito Sans" w:cs="Nunito Sans" w:eastAsia="Nunito Sans" w:hAnsi="Nunito Sans"/>
          <w:color w:val="102E3B"/>
          <w:sz w:val="20"/>
          <w:szCs w:val="20"/>
          <w:highlight w:val="yellow"/>
        </w:rPr>
        <w:t xml:space="preserve">[a few hours a year]</w:t>
      </w:r>
      <w:r>
        <w:rPr>
          <w:rFonts w:ascii="Nunito Sans" w:cs="Nunito Sans" w:eastAsia="Nunito Sans" w:hAnsi="Nunito Sans"/>
          <w:color w:val="102E3B"/>
          <w:sz w:val="20"/>
          <w:szCs w:val="20"/>
        </w:rPr>
        <w:t xml:space="preserve">: a briefing when appointed, an annual check-in and any cases that arise. A serious case may take several hours over a few weeks, mostly coordinating outside advisers.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will give the independent contact:</w:t>
      </w:r>
    </w:p>
    <w:p>
      <w:pPr>
        <w:pStyle w:val="ListParagraph"/>
        <w:numPr>
          <w:ilvl w:val="0"/>
          <w:numId w:val="3"/>
        </w:numPr>
        <w:spacing w:after="80" w:line="290"/>
      </w:pPr>
      <w:r>
        <w:rPr>
          <w:rFonts w:ascii="Nunito Sans" w:cs="Nunito Sans" w:eastAsia="Nunito Sans" w:hAnsi="Nunito Sans"/>
          <w:color w:val="102E3B"/>
          <w:sz w:val="20"/>
          <w:szCs w:val="20"/>
        </w:rPr>
        <w:t xml:space="preserve">a briefing on the organisation and its policies, and our safeguarding training </w:t>
      </w:r>
      <w:r>
        <w:rPr>
          <w:rFonts w:ascii="Nunito Sans" w:cs="Nunito Sans" w:eastAsia="Nunito Sans" w:hAnsi="Nunito Sans"/>
          <w:color w:val="102E3B"/>
          <w:sz w:val="20"/>
          <w:szCs w:val="20"/>
          <w:highlight w:val="yellow"/>
        </w:rPr>
        <w:t xml:space="preserve">[or the offer of recognised external training]</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payment of any outside advice or investigator they need;</w:t>
      </w:r>
    </w:p>
    <w:p>
      <w:pPr>
        <w:pStyle w:val="ListParagraph"/>
        <w:numPr>
          <w:ilvl w:val="0"/>
          <w:numId w:val="3"/>
        </w:numPr>
        <w:spacing w:after="80" w:line="290"/>
      </w:pPr>
      <w:r>
        <w:rPr>
          <w:rFonts w:ascii="Nunito Sans" w:cs="Nunito Sans" w:eastAsia="Nunito Sans" w:hAnsi="Nunito Sans"/>
          <w:color w:val="102E3B"/>
          <w:sz w:val="20"/>
          <w:szCs w:val="20"/>
        </w:rPr>
        <w:t xml:space="preserve">reimbursement of reasonable expenses under our 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an annual anonymised summary of concerns handled by the lead, so that they can spot patterns.</w:t>
      </w:r>
    </w:p>
    <w:p>
      <w:pPr>
        <w:pStyle w:val="Heading1"/>
        <w:keepNext/>
        <w:spacing w:after="160" w:before="360"/>
      </w:pPr>
      <w:r>
        <w:rPr>
          <w:rFonts w:ascii="DM Serif Display" w:cs="DM Serif Display" w:eastAsia="DM Serif Display" w:hAnsi="DM Serif Display"/>
          <w:color w:val="123C48"/>
          <w:sz w:val="40"/>
          <w:szCs w:val="40"/>
        </w:rPr>
        <w:t xml:space="preserve">Contact routing</w:t>
      </w:r>
    </w:p>
    <w:p>
      <w:pPr>
        <w:spacing w:after="120" w:before="0" w:line="300"/>
      </w:pPr>
      <w:r>
        <w:rPr>
          <w:rFonts w:ascii="Nunito Sans" w:cs="Nunito Sans" w:eastAsia="Nunito Sans" w:hAnsi="Nunito Sans"/>
          <w:color w:val="102E3B"/>
          <w:sz w:val="20"/>
          <w:szCs w:val="20"/>
        </w:rPr>
        <w:t xml:space="preserve">Publish this table, or a simpler version, wherever people are told how to raise a concern.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8"/>
        <w:gridCol w:w="3142"/>
        <w:gridCol w:w="3144"/>
      </w:tblGrid>
      <w:tr>
        <w:trPr>
          <w:cantSplit/>
          <w:tblHeader/>
        </w:trPr>
        <w:tc>
          <w:tcPr>
            <w:tcW w:type="dxa" w:w="3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OF CONCERN</w:t>
            </w:r>
          </w:p>
        </w:tc>
        <w:tc>
          <w:tcPr>
            <w:tcW w:type="dxa" w:w="3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NORMAL ROUTE</w:t>
            </w:r>
          </w:p>
        </w:tc>
        <w:tc>
          <w:tcPr>
            <w:tcW w:type="dxa" w:w="314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IF IT IS ABOUT THE LEAD, OR THE LEAD IS INVOLVED</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including sexual exploitation, abuse or harassment</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 </w:t>
            </w:r>
            <w:r>
              <w:rPr>
                <w:rFonts w:ascii="Nunito Sans" w:cs="Nunito Sans" w:eastAsia="Nunito Sans" w:hAnsi="Nunito Sans"/>
                <w:color w:val="102E3B"/>
                <w:sz w:val="18"/>
                <w:szCs w:val="18"/>
                <w:highlight w:val="yellow"/>
              </w:rPr>
              <w:t xml:space="preserve">[email]</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 </w:t>
            </w:r>
            <w:r>
              <w:rPr>
                <w:rFonts w:ascii="Nunito Sans" w:cs="Nunito Sans" w:eastAsia="Nunito Sans" w:hAnsi="Nunito Sans"/>
                <w:color w:val="102E3B"/>
                <w:sz w:val="18"/>
                <w:szCs w:val="18"/>
                <w:highlight w:val="yellow"/>
              </w:rPr>
              <w:t xml:space="preserve">[email]</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Harassment, intimidation or bullying</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[Responsible person]</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 bribery or corruption</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[Finance lead or director]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Whistleblowing</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[Whistleblowing officer]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r>
      <w:tr>
        <w:trPr>
          <w:cantSplit/>
          <w:tblHeader w:val="off"/>
        </w:trPr>
        <w:tc>
          <w:tcPr>
            <w:tcW w:type="dxa" w:w="3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Urgent safeguarding case, lead unreachable for more than </w:t>
            </w:r>
            <w:r>
              <w:rPr>
                <w:rFonts w:ascii="Nunito Sans" w:cs="Nunito Sans" w:eastAsia="Nunito Sans" w:hAnsi="Nunito Sans"/>
                <w:color w:val="102E3B"/>
                <w:sz w:val="18"/>
                <w:szCs w:val="18"/>
                <w:highlight w:val="yellow"/>
              </w:rPr>
              <w:t xml:space="preserve">[48 hours]</w:t>
            </w:r>
          </w:p>
        </w:tc>
        <w:tc>
          <w:tcPr>
            <w:tcW w:type="dxa" w:w="3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c>
          <w:tcPr>
            <w:tcW w:type="dxa" w:w="314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Independent contact</w:t>
            </w:r>
          </w:p>
        </w:tc>
      </w:tr>
      <w:tr>
        <w:trPr>
          <w:cantSplit/>
          <w:tblHeader w:val="off"/>
        </w:trPr>
        <w:tc>
          <w:tcPr>
            <w:tcW w:type="dxa" w:w="3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Concern about the independent contact</w:t>
            </w:r>
          </w:p>
        </w:tc>
        <w:tc>
          <w:tcPr>
            <w:tcW w:type="dxa" w:w="3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chair]</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p>
        </w:tc>
        <w:tc>
          <w:tcPr>
            <w:tcW w:type="dxa" w:w="314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chair]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PUBLISHING CONTACT DETAILS</w:t>
            </w:r>
          </w:p>
          <w:p>
            <w:pPr>
              <w:spacing w:after="120" w:before="0" w:line="300"/>
            </w:pPr>
            <w:r>
              <w:rPr>
                <w:rFonts w:ascii="Nunito Sans" w:cs="Nunito Sans" w:eastAsia="Nunito Sans" w:hAnsi="Nunito Sans"/>
                <w:color w:val="102E3B"/>
                <w:sz w:val="19"/>
                <w:szCs w:val="19"/>
              </w:rPr>
              <w:t xml:space="preserve">Use a dedicated email address that only the independent contact can read. Do not use an address on the organisation's domain unless the lead has no administrator access to it; a separate account on a reputable email service may be safer. If the independent contact is outside your country, add a phone or messaging option that works locally. Update every policy and your website when the person changes.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Appointment letter</w:t>
      </w:r>
    </w:p>
    <w:p>
      <w:pPr>
        <w:spacing w:after="120" w:before="0" w:line="300"/>
      </w:pPr>
      <w:r>
        <w:rPr>
          <w:rFonts w:ascii="Nunito Sans" w:cs="Nunito Sans" w:eastAsia="Nunito Sans" w:hAnsi="Nunito Sans"/>
          <w:color w:val="102E3B"/>
          <w:sz w:val="20"/>
          <w:szCs w:val="20"/>
        </w:rPr>
        <w:t xml:space="preserve">Dear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Thank you for agreeing to act as the independent contact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from </w:t>
      </w:r>
      <w:r>
        <w:rPr>
          <w:rFonts w:ascii="Nunito Sans" w:cs="Nunito Sans" w:eastAsia="Nunito Sans" w:hAnsi="Nunito Sans"/>
          <w:color w:val="102E3B"/>
          <w:sz w:val="20"/>
          <w:szCs w:val="20"/>
          <w:highlight w:val="yellow"/>
        </w:rPr>
        <w:t xml:space="preserve">[start date]</w:t>
      </w:r>
      <w:r>
        <w:rPr>
          <w:rFonts w:ascii="Nunito Sans" w:cs="Nunito Sans" w:eastAsia="Nunito Sans" w:hAnsi="Nunito Sans"/>
          <w:color w:val="102E3B"/>
          <w:sz w:val="20"/>
          <w:szCs w:val="20"/>
        </w:rPr>
        <w:t xml:space="preserve">. This letter confirms the arrangement. The role is described in the attached Independent Contact Role Note, which forms part of this letter.</w:t>
      </w:r>
    </w:p>
    <w:p>
      <w:pPr>
        <w:spacing w:after="120" w:before="0" w:line="300"/>
      </w:pPr>
      <w:r>
        <w:rPr>
          <w:rFonts w:ascii="Nunito Sans" w:cs="Nunito Sans" w:eastAsia="Nunito Sans" w:hAnsi="Nunito Sans"/>
          <w:color w:val="102E3B"/>
          <w:sz w:val="20"/>
          <w:szCs w:val="20"/>
        </w:rPr>
        <w:t xml:space="preserve">You will receive concerns about </w:t>
      </w:r>
      <w:r>
        <w:rPr>
          <w:rFonts w:ascii="Nunito Sans" w:cs="Nunito Sans" w:eastAsia="Nunito Sans" w:hAnsi="Nunito Sans"/>
          <w:color w:val="102E3B"/>
          <w:sz w:val="20"/>
          <w:szCs w:val="20"/>
          <w:highlight w:val="yellow"/>
        </w:rPr>
        <w:t xml:space="preserve">[the founder / director / safeguarding lead]</w:t>
      </w:r>
      <w:r>
        <w:rPr>
          <w:rFonts w:ascii="Nunito Sans" w:cs="Nunito Sans" w:eastAsia="Nunito Sans" w:hAnsi="Nunito Sans"/>
          <w:color w:val="102E3B"/>
          <w:sz w:val="20"/>
          <w:szCs w:val="20"/>
        </w:rPr>
        <w:t xml:space="preserve">, and cases in which they are involved or conflicted, under our safeguarding, anti-harassment, fraud and whistleblowing policies. You will also cover urgent safeguarding cases when our safeguarding lead cannot be reached for more than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This is a </w:t>
      </w:r>
      <w:r>
        <w:rPr>
          <w:rFonts w:ascii="Nunito Sans" w:cs="Nunito Sans" w:eastAsia="Nunito Sans" w:hAnsi="Nunito Sans"/>
          <w:color w:val="102E3B"/>
          <w:sz w:val="20"/>
          <w:szCs w:val="20"/>
          <w:highlight w:val="yellow"/>
        </w:rPr>
        <w:t xml:space="preserve">[voluntary / paid]</w:t>
      </w:r>
      <w:r>
        <w:rPr>
          <w:rFonts w:ascii="Nunito Sans" w:cs="Nunito Sans" w:eastAsia="Nunito Sans" w:hAnsi="Nunito Sans"/>
          <w:color w:val="102E3B"/>
          <w:sz w:val="20"/>
          <w:szCs w:val="20"/>
        </w:rPr>
        <w:t xml:space="preserve"> role.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will pay for any outside advice you need up to </w:t>
      </w:r>
      <w:r>
        <w:rPr>
          <w:rFonts w:ascii="Nunito Sans" w:cs="Nunito Sans" w:eastAsia="Nunito Sans" w:hAnsi="Nunito Sans"/>
          <w:color w:val="102E3B"/>
          <w:sz w:val="20"/>
          <w:szCs w:val="20"/>
          <w:highlight w:val="yellow"/>
        </w:rPr>
        <w:t xml:space="preserve">[amount and currency]</w:t>
      </w:r>
      <w:r>
        <w:rPr>
          <w:rFonts w:ascii="Nunito Sans" w:cs="Nunito Sans" w:eastAsia="Nunito Sans" w:hAnsi="Nunito Sans"/>
          <w:color w:val="102E3B"/>
          <w:sz w:val="20"/>
          <w:szCs w:val="20"/>
        </w:rPr>
        <w:t xml:space="preserve"> per case without further approval, and will reimburse reasonable expenses. You will keep confidential everything you learn in the role, during and after your appointment, except where the law requires disclosure or someone is at serious risk. You act on behalf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for this purpose only, and responsibility for our legal duties stays with us.</w:t>
      </w:r>
    </w:p>
    <w:p>
      <w:pPr>
        <w:spacing w:after="120" w:before="0" w:line="300"/>
      </w:pPr>
      <w:r>
        <w:rPr>
          <w:rFonts w:ascii="Nunito Sans" w:cs="Nunito Sans" w:eastAsia="Nunito Sans" w:hAnsi="Nunito Sans"/>
          <w:color w:val="102E3B"/>
          <w:sz w:val="20"/>
          <w:szCs w:val="20"/>
        </w:rPr>
        <w:t xml:space="preserve">Either of us can end this arrangement with </w:t>
      </w:r>
      <w:r>
        <w:rPr>
          <w:rFonts w:ascii="Nunito Sans" w:cs="Nunito Sans" w:eastAsia="Nunito Sans" w:hAnsi="Nunito Sans"/>
          <w:color w:val="102E3B"/>
          <w:sz w:val="20"/>
          <w:szCs w:val="20"/>
          <w:highlight w:val="yellow"/>
        </w:rPr>
        <w:t xml:space="preserve">[one month's]</w:t>
      </w:r>
      <w:r>
        <w:rPr>
          <w:rFonts w:ascii="Nunito Sans" w:cs="Nunito Sans" w:eastAsia="Nunito Sans" w:hAnsi="Nunito Sans"/>
          <w:color w:val="102E3B"/>
          <w:sz w:val="20"/>
          <w:szCs w:val="20"/>
        </w:rPr>
        <w:t xml:space="preserve"> written notice. We will name a new independent contact before the notice ends, and you will hand over any open cases and records securely.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LEGAL STATUS OF THE ROLE</w:t>
            </w:r>
          </w:p>
          <w:p>
            <w:pPr>
              <w:spacing w:after="120" w:before="0" w:line="300"/>
            </w:pPr>
            <w:r>
              <w:rPr>
                <w:rFonts w:ascii="Nunito Sans" w:cs="Nunito Sans" w:eastAsia="Nunito Sans" w:hAnsi="Nunito Sans"/>
                <w:color w:val="102E3B"/>
                <w:sz w:val="19"/>
                <w:szCs w:val="19"/>
              </w:rPr>
              <w:t xml:space="preserve">Decide whether the role is voluntary or paid, and whether a short contract is needed. If you pay the independent contact, check local tax and employment rules: in most countries an occasional advisory role is a service, not employment, but check. Confirm that your board or directors' liability insurance, if you have it, covers the independent contact when acting for you. Under the GDPR and similar laws, an independent contact acting for you is usually treated as part of your organisation, or as a processor acting on your instructions: check your local law and record the arrangement.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For </w:t>
            </w:r>
            <w:r>
              <w:rPr>
                <w:rFonts w:ascii="Nunito Sans" w:cs="Nunito Sans" w:eastAsia="Nunito Sans" w:hAnsi="Nunito Sans"/>
                <w:color w:val="5B6F78"/>
                <w:sz w:val="16"/>
                <w:szCs w:val="16"/>
                <w:highlight w:val="yellow"/>
              </w:rPr>
              <w:t xml:space="preserve">[Organisation name]</w:t>
            </w:r>
            <w:r>
              <w:rPr>
                <w:rFonts w:ascii="Nunito Sans" w:cs="Nunito Sans" w:eastAsia="Nunito Sans" w:hAnsi="Nunito Sans"/>
                <w:color w:val="5B6F78"/>
                <w:sz w:val="16"/>
                <w:szCs w:val="16"/>
              </w:rPr>
              <w:t xml:space="preserve">: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Independent contact: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Email for concerns</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Review</w:t>
      </w:r>
    </w:p>
    <w:p>
      <w:pPr>
        <w:spacing w:after="120" w:before="0" w:line="300"/>
      </w:pPr>
      <w:r>
        <w:rPr>
          <w:rFonts w:ascii="Nunito Sans" w:cs="Nunito Sans" w:eastAsia="Nunito Sans" w:hAnsi="Nunito Sans"/>
          <w:color w:val="102E3B"/>
          <w:sz w:val="20"/>
          <w:szCs w:val="20"/>
        </w:rPr>
        <w:t xml:space="preserve">We review this note and the arrangement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when our team or structure changes, and after any case the independent contact has handled. The board records the appointment and each review in its minutes.</w:t>
      </w: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Independent Contact Role Note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AB183DBC-9A36-38F9-74BF-308D9022A6D1}"/>
  </w:font>
  <w:font w:name="DM Serif Display">
    <w:family w:val="auto"/>
    <w:pitch w:val="variable"/>
    <w:sig w:usb0="E0002AFF" w:usb1="C000247B" w:usb2="00000009" w:usb3="00000000" w:csb0="000001FF" w:csb1="00000000"/>
    <w:embedRegular r:id="rId2" w:fontKey="{B8B39275-38A3-F0A7-2C6D-7B0D96F9D60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Independent Contact Role Note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INDEPENDENT CONTACT ROLE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Contact Role Note</dc:title>
  <dc:creator>Method into Impact</dc:creator>
  <dc:description>Sets out the role of the trusted, independent person who receives concerns about the founder or safeguarding lead of [[Organisation name]], and covers urgent cases when the lead cannot be reached.</dc:description>
  <cp:lastModifiedBy>Un-named</cp:lastModifiedBy>
  <cp:revision>1</cp:revision>
  <dcterms:created xsi:type="dcterms:W3CDTF">2026-10-29T04:56:20.141Z</dcterms:created>
  <dcterms:modified xsi:type="dcterms:W3CDTF">2026-10-29T04:56:20.141Z</dcterms:modified>
</cp:coreProperties>
</file>

<file path=docProps/custom.xml><?xml version="1.0" encoding="utf-8"?>
<Properties xmlns="http://schemas.openxmlformats.org/officeDocument/2006/custom-properties" xmlns:vt="http://schemas.openxmlformats.org/officeDocument/2006/docPropsVTypes"/>
</file>