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AGREEMENT TEMPLATE · PARTNERSHIPS</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Partnership Memorandum of Understanding</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memorandum of understanding (MOU) for two or more organisations working together. It records a shared purpose, who does what and how decisions are made, and states clearly which few commitments are legally binding.</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Good partnerships fail on unspoken assumptions: who leads, who pays, who speaks, what happens when one partner wants to leave. An MOU puts these on paper before money and reputations are at stake. This template follows recognised principles of equitable partnership, so that a smaller or local partner is not left carrying risks it has no resources to manage.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Funders asking for evidence of partnership in a proposal; local government and ministries; international NGOs and UN agencies; consortium members;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plus a joint meeting with partners to agree Schedules 1 and 2</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5 · Sustain &amp; Run, Module 12 (Partnerships)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Sub-grant Agreement · Data Sharing Agreement · Mutual Confidentiality Agreement · Partner Due Diligence and Sanctions Screening Policy · Safeguarding Policy and Procedure · Fraud, Bribery and Corruption Policy and Procedure · Social Media and Communications Policy · Complaints and Feedback Procedure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MEMORANDUM</w:t>
            </w:r>
          </w:p>
          <w:p>
            <w:pPr>
              <w:spacing w:after="120" w:before="0" w:line="300"/>
            </w:pPr>
            <w:r>
              <w:rPr>
                <w:rFonts w:ascii="Nunito Sans" w:cs="Nunito Sans" w:eastAsia="Nunito Sans" w:hAnsi="Nunito Sans"/>
                <w:b/>
                <w:bCs/>
                <w:color w:val="102E3B"/>
                <w:sz w:val="19"/>
                <w:szCs w:val="19"/>
              </w:rPr>
              <w:t xml:space="preserve">Use it</w:t>
            </w:r>
            <w:r>
              <w:rPr>
                <w:rFonts w:ascii="Nunito Sans" w:cs="Nunito Sans" w:eastAsia="Nunito Sans" w:hAnsi="Nunito Sans"/>
                <w:color w:val="102E3B"/>
                <w:sz w:val="19"/>
                <w:szCs w:val="19"/>
              </w:rPr>
              <w:t xml:space="preserve"> when organisations agree to work together towards a shared goal, each contributing its own skills, staff or resources: a joint programme, a network or coalition, a referral partnership, or a consortium preparing joint bids.</w:t>
            </w:r>
          </w:p>
          <w:p>
            <w:pPr>
              <w:spacing w:after="120" w:before="0" w:line="300"/>
            </w:pPr>
            <w:r>
              <w:rPr>
                <w:rFonts w:ascii="Nunito Sans" w:cs="Nunito Sans" w:eastAsia="Nunito Sans" w:hAnsi="Nunito Sans"/>
                <w:b/>
                <w:bCs/>
                <w:color w:val="102E3B"/>
                <w:sz w:val="19"/>
                <w:szCs w:val="19"/>
              </w:rPr>
              <w:t xml:space="preserve">Do not use it on its own</w:t>
            </w:r>
            <w:r>
              <w:rPr>
                <w:rFonts w:ascii="Nunito Sans" w:cs="Nunito Sans" w:eastAsia="Nunito Sans" w:hAnsi="Nunito Sans"/>
                <w:color w:val="102E3B"/>
                <w:sz w:val="19"/>
                <w:szCs w:val="19"/>
              </w:rPr>
              <w:t xml:space="preserve"> when money passes from one partner to another to deliver activities. Then sign a Sub-grant Agreement (for grant funds) or a Services Agreement (for paid services) as well, and refer to it in clause 5. If partners will share personal data about the people they serve, sign a Data Sharing Agreement.</w:t>
            </w:r>
          </w:p>
          <w:p>
            <w:pPr>
              <w:spacing w:after="120" w:before="0" w:line="300"/>
            </w:pPr>
            <w:r>
              <w:rPr>
                <w:rFonts w:ascii="Nunito Sans" w:cs="Nunito Sans" w:eastAsia="Nunito Sans" w:hAnsi="Nunito Sans"/>
                <w:b/>
                <w:bCs/>
                <w:color w:val="102E3B"/>
                <w:sz w:val="19"/>
                <w:szCs w:val="19"/>
              </w:rPr>
              <w:t xml:space="preserve">Binding or not?</w:t>
            </w:r>
            <w:r>
              <w:rPr>
                <w:rFonts w:ascii="Nunito Sans" w:cs="Nunito Sans" w:eastAsia="Nunito Sans" w:hAnsi="Nunito Sans"/>
                <w:color w:val="102E3B"/>
                <w:sz w:val="19"/>
                <w:szCs w:val="19"/>
              </w:rPr>
              <w:t xml:space="preserve"> An MOU is mainly a statement of intentions. This template makes a small number of clauses binding, listed in the table below, and the rest non-binding. Calling a document an MOU does not by itself make it non-binding: in some legal systems, including many civil-law countries, a document can bind the parties if it shows agreement on essential terms, and parties owe duties of good faith while they negotiate. Keep the status table, and check your local law.</w:t>
            </w:r>
          </w:p>
          <w:p>
            <w:pPr>
              <w:spacing w:after="120" w:before="0" w:line="300"/>
            </w:pPr>
            <w:r>
              <w:rPr>
                <w:rFonts w:ascii="Nunito Sans" w:cs="Nunito Sans" w:eastAsia="Nunito Sans" w:hAnsi="Nunito Sans"/>
                <w:b/>
                <w:bCs/>
                <w:color w:val="102E3B"/>
                <w:sz w:val="19"/>
                <w:szCs w:val="19"/>
              </w:rPr>
              <w:t xml:space="preserve">Fairness:</w:t>
            </w:r>
            <w:r>
              <w:rPr>
                <w:rFonts w:ascii="Nunito Sans" w:cs="Nunito Sans" w:eastAsia="Nunito Sans" w:hAnsi="Nunito Sans"/>
                <w:color w:val="102E3B"/>
                <w:sz w:val="19"/>
                <w:szCs w:val="19"/>
              </w:rPr>
              <w:t xml:space="preserve"> read it from the point of view of the smallest partner. If it gives that partner duties without the time, money or support to meet them, change it.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HOW THIS MEMORANDUM WORKS</w:t>
            </w:r>
          </w:p>
          <w:p>
            <w:pPr>
              <w:spacing w:after="120" w:before="0" w:line="300"/>
            </w:pPr>
            <w:r>
              <w:rPr>
                <w:rFonts w:ascii="Nunito Sans" w:cs="Nunito Sans" w:eastAsia="Nunito Sans" w:hAnsi="Nunito Sans"/>
                <w:color w:val="102E3B"/>
                <w:sz w:val="19"/>
                <w:szCs w:val="19"/>
              </w:rPr>
              <w:t xml:space="preserve">This memorandum records how the partners intend to work together. </w:t>
            </w:r>
            <w:r>
              <w:rPr>
                <w:rFonts w:ascii="Nunito Sans" w:cs="Nunito Sans" w:eastAsia="Nunito Sans" w:hAnsi="Nunito Sans"/>
                <w:b/>
                <w:bCs/>
                <w:color w:val="102E3B"/>
                <w:sz w:val="19"/>
                <w:szCs w:val="19"/>
              </w:rPr>
              <w:t xml:space="preserve">Only the clauses marked "Binding" in the table below create legal obligations.</w:t>
            </w:r>
            <w:r>
              <w:rPr>
                <w:rFonts w:ascii="Nunito Sans" w:cs="Nunito Sans" w:eastAsia="Nunito Sans" w:hAnsi="Nunito Sans"/>
                <w:color w:val="102E3B"/>
                <w:sz w:val="19"/>
                <w:szCs w:val="19"/>
              </w:rPr>
              <w:t xml:space="preserve"> All other clauses are a sincere statement of intent: the partners will try in good faith to follow them, but they are not legally enforceable, and no partner can claim compensation for a failure to follow them.</w:t>
            </w:r>
          </w:p>
          <w:tbl>
            <w:tblPr>
              <w:tblW w:type="dxa" w:w="89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2"/>
              <w:gridCol w:w="3562"/>
            </w:tblGrid>
            <w:tr>
              <w:trPr>
                <w:cantSplit/>
                <w:tblHeader/>
              </w:trPr>
              <w:tc>
                <w:tcPr>
                  <w:tcW w:type="dxa" w:w="53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CLAUSE</w:t>
                  </w:r>
                </w:p>
              </w:tc>
              <w:tc>
                <w:tcPr>
                  <w:tcW w:type="dxa" w:w="35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STATUS</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 Definitions and status of this memorandum</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Binding</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 Shared purpose and objectives</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Non-binding</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Activities and responsibilities</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Non-binding</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 Governance and decision-making</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Non-binding</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 Resources and funding</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Non-binding</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 Names, logos and visibility</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Binding</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7. Confidentiality, data and intellectual property</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Binding</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8. Safeguarding, fraud and counter-terrorism financing</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Binding</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9. Reporting and learning</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Non-binding</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 Communication between partners</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Non-binding</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11. Resolving disagreements</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Binding</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12. Costs, independence and liability</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Binding</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13. Term, review and exit</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Binding</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14. Governing law and signing</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Binding</w:t>
                  </w:r>
                </w:p>
              </w:tc>
            </w:tr>
          </w:tbl>
          <w:p>
            <w:pPr>
              <w:spacing w:after="12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CHOOSING WHAT BINDS</w:t>
            </w:r>
          </w:p>
          <w:p>
            <w:pPr>
              <w:spacing w:after="120" w:before="0" w:line="300"/>
            </w:pPr>
            <w:r>
              <w:rPr>
                <w:rFonts w:ascii="Nunito Sans" w:cs="Nunito Sans" w:eastAsia="Nunito Sans" w:hAnsi="Nunito Sans"/>
                <w:color w:val="102E3B"/>
                <w:sz w:val="19"/>
                <w:szCs w:val="19"/>
              </w:rPr>
              <w:t xml:space="preserve">The binding clauses are those that protect people and reputations whatever happens to the partnership: confidentiality, data, logos, safeguarding, how to settle disputes, and how to leave. Partners can move other clauses into the binding list, for example a firm commitment to contribute staff time, but every binding duty should have the resources to meet it. If you need the whole relationship to be enforceable, use a full partnership or consortium agreement instead.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PARTNER 1</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PARTNER 2</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[Full legal name]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[Full legal name]</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Legal form and registration: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[e.g. community-based organisation registered with the county government]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number </w:t>
            </w:r>
            <w:r>
              <w:rPr>
                <w:rFonts w:ascii="Nunito Sans" w:cs="Nunito Sans" w:eastAsia="Nunito Sans" w:hAnsi="Nunito Sans"/>
                <w:color w:val="102E3B"/>
                <w:sz w:val="18"/>
                <w:szCs w:val="18"/>
                <w:highlight w:val="yellow"/>
              </w:rPr>
              <w:t xml:space="preserve">[number]</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Legal form and registration: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[e.g. registered NGO / co-operative / social enterprise]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number </w:t>
            </w:r>
            <w:r>
              <w:rPr>
                <w:rFonts w:ascii="Nunito Sans" w:cs="Nunito Sans" w:eastAsia="Nunito Sans" w:hAnsi="Nunito Sans"/>
                <w:color w:val="102E3B"/>
                <w:sz w:val="18"/>
                <w:szCs w:val="18"/>
                <w:highlight w:val="yellow"/>
              </w:rPr>
              <w:t xml:space="preserve">[number]</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Address: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[Registered address]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Address: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[Registered address]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Focal point: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 email, phone]</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Focal point: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 email, phone]</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Signing for it: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Signing for it: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w:t>
            </w:r>
          </w:p>
        </w:tc>
      </w:tr>
    </w:tbl>
    <w:p>
      <w:pPr>
        <w:spacing w:after="120"/>
      </w:pPr>
    </w:p>
    <w:p>
      <w:pPr>
        <w:spacing w:after="120" w:before="0" w:line="300"/>
      </w:pPr>
      <w:r>
        <w:rPr>
          <w:rFonts w:ascii="Nunito Sans" w:cs="Nunito Sans" w:eastAsia="Nunito Sans" w:hAnsi="Nunito Sans"/>
          <w:color w:val="102E3B"/>
          <w:sz w:val="20"/>
          <w:szCs w:val="20"/>
        </w:rPr>
        <w:t xml:space="preserve">Each organisation is a "Partner" and together they are "the Partners". </w:t>
      </w:r>
      <w:r>
        <w:rPr>
          <w:rFonts w:ascii="Nunito Sans" w:cs="Nunito Sans" w:eastAsia="Nunito Sans" w:hAnsi="Nunito Sans"/>
          <w:color w:val="102E3B"/>
          <w:sz w:val="20"/>
          <w:szCs w:val="20"/>
          <w:highlight w:val="yellow"/>
        </w:rPr>
        <w:t xml:space="preserve">[Partner name]</w:t>
      </w:r>
      <w:r>
        <w:rPr>
          <w:rFonts w:ascii="Nunito Sans" w:cs="Nunito Sans" w:eastAsia="Nunito Sans" w:hAnsi="Nunito Sans"/>
          <w:color w:val="102E3B"/>
          <w:sz w:val="20"/>
          <w:szCs w:val="20"/>
        </w:rPr>
        <w:t xml:space="preserve"> acts as the </w:t>
      </w:r>
      <w:r>
        <w:rPr>
          <w:rFonts w:ascii="Nunito Sans" w:cs="Nunito Sans" w:eastAsia="Nunito Sans" w:hAnsi="Nunito Sans"/>
          <w:b/>
          <w:bCs/>
          <w:color w:val="102E3B"/>
          <w:sz w:val="20"/>
          <w:szCs w:val="20"/>
        </w:rPr>
        <w:t xml:space="preserve">convening Partner</w:t>
      </w:r>
      <w:r>
        <w:rPr>
          <w:rFonts w:ascii="Nunito Sans" w:cs="Nunito Sans" w:eastAsia="Nunito Sans" w:hAnsi="Nunito Sans"/>
          <w:color w:val="102E3B"/>
          <w:sz w:val="20"/>
          <w:szCs w:val="20"/>
        </w:rPr>
        <w:t xml:space="preserve">, responsible for arranging meetings and keeping records. This role </w:t>
      </w:r>
      <w:r>
        <w:rPr>
          <w:rFonts w:ascii="Nunito Sans" w:cs="Nunito Sans" w:eastAsia="Nunito Sans" w:hAnsi="Nunito Sans"/>
          <w:color w:val="102E3B"/>
          <w:sz w:val="20"/>
          <w:szCs w:val="20"/>
          <w:highlight w:val="yellow"/>
        </w:rPr>
        <w:t xml:space="preserve">[rotates every 12 months / stays with Partner name]</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MORE THAN TWO PARTNERS</w:t>
            </w:r>
          </w:p>
          <w:p>
            <w:pPr>
              <w:spacing w:after="120" w:before="0" w:line="300"/>
            </w:pPr>
            <w:r>
              <w:rPr>
                <w:rFonts w:ascii="Nunito Sans" w:cs="Nunito Sans" w:eastAsia="Nunito Sans" w:hAnsi="Nunito Sans"/>
                <w:color w:val="102E3B"/>
                <w:sz w:val="19"/>
                <w:szCs w:val="19"/>
              </w:rPr>
              <w:t xml:space="preserve">Add a column for each extra partner, up to four in this table, or list further partners in an annex in the same format. The convening role is administrative: it does not make that partner the leader. In coalitions where a larger organisation would normally convene, consider giving the role to a local partner, with the budget to do it.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Background</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[Partner 1]</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[e.g. works with smallholder farmers in X district on climate-resilient farming]</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[Partner 2]</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[e.g. provides financial literacy training and links co-operatives to savings groups]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The Partners believe that by working together they can </w:t>
      </w:r>
      <w:r>
        <w:rPr>
          <w:rFonts w:ascii="Nunito Sans" w:cs="Nunito Sans" w:eastAsia="Nunito Sans" w:hAnsi="Nunito Sans"/>
          <w:color w:val="102E3B"/>
          <w:sz w:val="20"/>
          <w:szCs w:val="20"/>
          <w:highlight w:val="yellow"/>
        </w:rPr>
        <w:t xml:space="preserve">[e.g. help 1,500 farming households increase and stabilise their income by 2028]</w:t>
      </w:r>
      <w:r>
        <w:rPr>
          <w:rFonts w:ascii="Nunito Sans" w:cs="Nunito Sans" w:eastAsia="Nunito Sans" w:hAnsi="Nunito Sans"/>
          <w:color w:val="102E3B"/>
          <w:sz w:val="20"/>
          <w:szCs w:val="20"/>
        </w:rPr>
        <w:t xml:space="preserve">, more effectively than either could alone.</w:t>
      </w:r>
    </w:p>
    <w:p>
      <w:pPr>
        <w:pStyle w:val="Heading1"/>
        <w:keepNext/>
        <w:spacing w:after="160" w:before="360"/>
      </w:pPr>
      <w:r>
        <w:rPr>
          <w:rFonts w:ascii="DM Serif Display" w:cs="DM Serif Display" w:eastAsia="DM Serif Display" w:hAnsi="DM Serif Display"/>
          <w:color w:val="123C48"/>
          <w:sz w:val="40"/>
          <w:szCs w:val="40"/>
        </w:rPr>
        <w:t xml:space="preserve">Our partnership principles</w:t>
      </w:r>
    </w:p>
    <w:p>
      <w:pPr>
        <w:spacing w:after="120" w:before="0" w:line="300"/>
      </w:pPr>
      <w:r>
        <w:rPr>
          <w:rFonts w:ascii="Nunito Sans" w:cs="Nunito Sans" w:eastAsia="Nunito Sans" w:hAnsi="Nunito Sans"/>
          <w:color w:val="102E3B"/>
          <w:sz w:val="20"/>
          <w:szCs w:val="20"/>
        </w:rPr>
        <w:t xml:space="preserve">The Partners will work according to these principles, drawn from the Principles of Partnership endorsed by the Global Humanitarian Platform in 2007 (equality, transparency, a results-oriented approach, responsibility and complementarity):</w:t>
      </w:r>
    </w:p>
    <w:p>
      <w:pPr>
        <w:pStyle w:val="ListParagraph"/>
        <w:numPr>
          <w:ilvl w:val="0"/>
          <w:numId w:val="4"/>
        </w:numPr>
        <w:spacing w:after="80" w:line="290"/>
      </w:pPr>
      <w:r>
        <w:rPr>
          <w:rFonts w:ascii="Nunito Sans" w:cs="Nunito Sans" w:eastAsia="Nunito Sans" w:hAnsi="Nunito Sans"/>
          <w:b/>
          <w:bCs/>
          <w:color w:val="102E3B"/>
          <w:sz w:val="20"/>
          <w:szCs w:val="20"/>
        </w:rPr>
        <w:t xml:space="preserve">Equality and respect.</w:t>
      </w:r>
      <w:r>
        <w:rPr>
          <w:rFonts w:ascii="Nunito Sans" w:cs="Nunito Sans" w:eastAsia="Nunito Sans" w:hAnsi="Nunito Sans"/>
          <w:color w:val="102E3B"/>
          <w:sz w:val="20"/>
          <w:szCs w:val="20"/>
        </w:rPr>
        <w:t xml:space="preserve"> Each Partner has an equal voice, whatever its size or budget. We respect each other's mandate, independence and ways of working.</w:t>
      </w:r>
    </w:p>
    <w:p>
      <w:pPr>
        <w:pStyle w:val="ListParagraph"/>
        <w:numPr>
          <w:ilvl w:val="0"/>
          <w:numId w:val="4"/>
        </w:numPr>
        <w:spacing w:after="80" w:line="290"/>
      </w:pPr>
      <w:r>
        <w:rPr>
          <w:rFonts w:ascii="Nunito Sans" w:cs="Nunito Sans" w:eastAsia="Nunito Sans" w:hAnsi="Nunito Sans"/>
          <w:b/>
          <w:bCs/>
          <w:color w:val="102E3B"/>
          <w:sz w:val="20"/>
          <w:szCs w:val="20"/>
        </w:rPr>
        <w:t xml:space="preserve">Local leadership.</w:t>
      </w:r>
      <w:r>
        <w:rPr>
          <w:rFonts w:ascii="Nunito Sans" w:cs="Nunito Sans" w:eastAsia="Nunito Sans" w:hAnsi="Nunito Sans"/>
          <w:color w:val="102E3B"/>
          <w:sz w:val="20"/>
          <w:szCs w:val="20"/>
        </w:rPr>
        <w:t xml:space="preserve"> Partners closest to the communities lead on decisions about how activities are delivered there. Communities are involved in decisions that affect them.</w:t>
      </w:r>
    </w:p>
    <w:p>
      <w:pPr>
        <w:pStyle w:val="ListParagraph"/>
        <w:numPr>
          <w:ilvl w:val="0"/>
          <w:numId w:val="4"/>
        </w:numPr>
        <w:spacing w:after="80" w:line="290"/>
      </w:pPr>
      <w:r>
        <w:rPr>
          <w:rFonts w:ascii="Nunito Sans" w:cs="Nunito Sans" w:eastAsia="Nunito Sans" w:hAnsi="Nunito Sans"/>
          <w:b/>
          <w:bCs/>
          <w:color w:val="102E3B"/>
          <w:sz w:val="20"/>
          <w:szCs w:val="20"/>
        </w:rPr>
        <w:t xml:space="preserve">Transparency.</w:t>
      </w:r>
      <w:r>
        <w:rPr>
          <w:rFonts w:ascii="Nunito Sans" w:cs="Nunito Sans" w:eastAsia="Nunito Sans" w:hAnsi="Nunito Sans"/>
          <w:color w:val="102E3B"/>
          <w:sz w:val="20"/>
          <w:szCs w:val="20"/>
        </w:rPr>
        <w:t xml:space="preserve"> We share information on plans, budgets, risks and problems openly and early, including the costs each Partner bears.</w:t>
      </w:r>
    </w:p>
    <w:p>
      <w:pPr>
        <w:pStyle w:val="ListParagraph"/>
        <w:numPr>
          <w:ilvl w:val="0"/>
          <w:numId w:val="4"/>
        </w:numPr>
        <w:spacing w:after="80" w:line="290"/>
      </w:pPr>
      <w:r>
        <w:rPr>
          <w:rFonts w:ascii="Nunito Sans" w:cs="Nunito Sans" w:eastAsia="Nunito Sans" w:hAnsi="Nunito Sans"/>
          <w:b/>
          <w:bCs/>
          <w:color w:val="102E3B"/>
          <w:sz w:val="20"/>
          <w:szCs w:val="20"/>
        </w:rPr>
        <w:t xml:space="preserve">Fair resourcing.</w:t>
      </w:r>
      <w:r>
        <w:rPr>
          <w:rFonts w:ascii="Nunito Sans" w:cs="Nunito Sans" w:eastAsia="Nunito Sans" w:hAnsi="Nunito Sans"/>
          <w:color w:val="102E3B"/>
          <w:sz w:val="20"/>
          <w:szCs w:val="20"/>
        </w:rPr>
        <w:t xml:space="preserve"> Budgets prepared together include a fair share of each Partner's running costs (overheads), not only activity costs. No Partner is expected to fund the partnership from its own reserves without agreeing to it.</w:t>
      </w:r>
    </w:p>
    <w:p>
      <w:pPr>
        <w:pStyle w:val="ListParagraph"/>
        <w:numPr>
          <w:ilvl w:val="0"/>
          <w:numId w:val="4"/>
        </w:numPr>
        <w:spacing w:after="80" w:line="290"/>
      </w:pPr>
      <w:r>
        <w:rPr>
          <w:rFonts w:ascii="Nunito Sans" w:cs="Nunito Sans" w:eastAsia="Nunito Sans" w:hAnsi="Nunito Sans"/>
          <w:b/>
          <w:bCs/>
          <w:color w:val="102E3B"/>
          <w:sz w:val="20"/>
          <w:szCs w:val="20"/>
        </w:rPr>
        <w:t xml:space="preserve">Shared risk.</w:t>
      </w:r>
      <w:r>
        <w:rPr>
          <w:rFonts w:ascii="Nunito Sans" w:cs="Nunito Sans" w:eastAsia="Nunito Sans" w:hAnsi="Nunito Sans"/>
          <w:color w:val="102E3B"/>
          <w:sz w:val="20"/>
          <w:szCs w:val="20"/>
        </w:rPr>
        <w:t xml:space="preserve"> We do not pass risks to another Partner without also passing the resources, support and authority to manage them.</w:t>
      </w:r>
    </w:p>
    <w:p>
      <w:pPr>
        <w:pStyle w:val="ListParagraph"/>
        <w:numPr>
          <w:ilvl w:val="0"/>
          <w:numId w:val="4"/>
        </w:numPr>
        <w:spacing w:after="80" w:line="290"/>
      </w:pPr>
      <w:r>
        <w:rPr>
          <w:rFonts w:ascii="Nunito Sans" w:cs="Nunito Sans" w:eastAsia="Nunito Sans" w:hAnsi="Nunito Sans"/>
          <w:b/>
          <w:bCs/>
          <w:color w:val="102E3B"/>
          <w:sz w:val="20"/>
          <w:szCs w:val="20"/>
        </w:rPr>
        <w:t xml:space="preserve">Complementarity and learning.</w:t>
      </w:r>
      <w:r>
        <w:rPr>
          <w:rFonts w:ascii="Nunito Sans" w:cs="Nunito Sans" w:eastAsia="Nunito Sans" w:hAnsi="Nunito Sans"/>
          <w:color w:val="102E3B"/>
          <w:sz w:val="20"/>
          <w:szCs w:val="20"/>
        </w:rPr>
        <w:t xml:space="preserve"> We build on each other's strengths and learn from each other. Capacity strengthening goes both ways.</w:t>
      </w:r>
    </w:p>
    <w:p>
      <w:pPr>
        <w:pStyle w:val="ListParagraph"/>
        <w:numPr>
          <w:ilvl w:val="0"/>
          <w:numId w:val="4"/>
        </w:numPr>
        <w:spacing w:after="80" w:line="290"/>
      </w:pPr>
      <w:r>
        <w:rPr>
          <w:rFonts w:ascii="Nunito Sans" w:cs="Nunito Sans" w:eastAsia="Nunito Sans" w:hAnsi="Nunito Sans"/>
          <w:b/>
          <w:bCs/>
          <w:color w:val="102E3B"/>
          <w:sz w:val="20"/>
          <w:szCs w:val="20"/>
        </w:rPr>
        <w:t xml:space="preserve">Accountability.</w:t>
      </w:r>
      <w:r>
        <w:rPr>
          <w:rFonts w:ascii="Nunito Sans" w:cs="Nunito Sans" w:eastAsia="Nunito Sans" w:hAnsi="Nunito Sans"/>
          <w:color w:val="102E3B"/>
          <w:sz w:val="20"/>
          <w:szCs w:val="20"/>
        </w:rPr>
        <w:t xml:space="preserve"> We are accountable to the communities we serve, to each other and to our funders, in that order of priority when they conflict.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YOUR PRINCIPLES</w:t>
            </w:r>
          </w:p>
          <w:p>
            <w:pPr>
              <w:spacing w:after="120" w:before="0" w:line="300"/>
            </w:pPr>
            <w:r>
              <w:rPr>
                <w:rFonts w:ascii="Nunito Sans" w:cs="Nunito Sans" w:eastAsia="Nunito Sans" w:hAnsi="Nunito Sans"/>
                <w:color w:val="102E3B"/>
                <w:sz w:val="19"/>
                <w:szCs w:val="19"/>
              </w:rPr>
              <w:t xml:space="preserve">Keep the principles short and real. Partners in humanitarian work may also refer to the Core Humanitarian Standard, the Grand Bargain localisation commitments or the Charter for Change, whose signatories commit to support local and national organisations more fairly, including their core costs. Before signing, discuss one practical test: "If a funder cuts the budget by 30%, how will we share the cut?" Write the answer into clause 5.</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Agreed terms</w:t>
      </w:r>
    </w:p>
    <w:p>
      <w:pPr>
        <w:pStyle w:val="Heading2"/>
        <w:keepNext/>
        <w:spacing w:after="120" w:before="280"/>
      </w:pPr>
      <w:r>
        <w:rPr>
          <w:rFonts w:ascii="DM Serif Display" w:cs="DM Serif Display" w:eastAsia="DM Serif Display" w:hAnsi="DM Serif Display"/>
          <w:color w:val="123C48"/>
          <w:sz w:val="28"/>
          <w:szCs w:val="28"/>
        </w:rPr>
        <w:t xml:space="preserve">1. Definitions and status of this memorandum (binding)</w:t>
      </w:r>
    </w:p>
    <w:p>
      <w:pPr>
        <w:pStyle w:val="ListParagraph"/>
        <w:numPr>
          <w:ilvl w:val="0"/>
          <w:numId w:val="5"/>
        </w:numPr>
        <w:spacing w:after="80" w:line="290"/>
      </w:pPr>
      <w:r>
        <w:rPr>
          <w:rFonts w:ascii="Nunito Sans" w:cs="Nunito Sans" w:eastAsia="Nunito Sans" w:hAnsi="Nunito Sans"/>
          <w:color w:val="102E3B"/>
          <w:sz w:val="20"/>
          <w:szCs w:val="20"/>
        </w:rPr>
        <w:t xml:space="preserve">In this memorandum, </w:t>
      </w:r>
      <w:r>
        <w:rPr>
          <w:rFonts w:ascii="Nunito Sans" w:cs="Nunito Sans" w:eastAsia="Nunito Sans" w:hAnsi="Nunito Sans"/>
          <w:b/>
          <w:bCs/>
          <w:color w:val="102E3B"/>
          <w:sz w:val="20"/>
          <w:szCs w:val="20"/>
        </w:rPr>
        <w:t xml:space="preserve">Partnership Activities</w:t>
      </w:r>
      <w:r>
        <w:rPr>
          <w:rFonts w:ascii="Nunito Sans" w:cs="Nunito Sans" w:eastAsia="Nunito Sans" w:hAnsi="Nunito Sans"/>
          <w:color w:val="102E3B"/>
          <w:sz w:val="20"/>
          <w:szCs w:val="20"/>
        </w:rPr>
        <w:t xml:space="preserve"> means the activities described in Schedule 1. </w:t>
      </w:r>
      <w:r>
        <w:rPr>
          <w:rFonts w:ascii="Nunito Sans" w:cs="Nunito Sans" w:eastAsia="Nunito Sans" w:hAnsi="Nunito Sans"/>
          <w:b/>
          <w:bCs/>
          <w:color w:val="102E3B"/>
          <w:sz w:val="20"/>
          <w:szCs w:val="20"/>
        </w:rPr>
        <w:t xml:space="preserve">Confidential Information</w:t>
      </w:r>
      <w:r>
        <w:rPr>
          <w:rFonts w:ascii="Nunito Sans" w:cs="Nunito Sans" w:eastAsia="Nunito Sans" w:hAnsi="Nunito Sans"/>
          <w:color w:val="102E3B"/>
          <w:sz w:val="20"/>
          <w:szCs w:val="20"/>
        </w:rPr>
        <w:t xml:space="preserve"> means information a Partner shares for the partnership that is marked confidential or that a reasonable person would understand to be confidential. </w:t>
      </w:r>
      <w:r>
        <w:rPr>
          <w:rFonts w:ascii="Nunito Sans" w:cs="Nunito Sans" w:eastAsia="Nunito Sans" w:hAnsi="Nunito Sans"/>
          <w:b/>
          <w:bCs/>
          <w:color w:val="102E3B"/>
          <w:sz w:val="20"/>
          <w:szCs w:val="20"/>
        </w:rPr>
        <w:t xml:space="preserve">Personal Data</w:t>
      </w:r>
      <w:r>
        <w:rPr>
          <w:rFonts w:ascii="Nunito Sans" w:cs="Nunito Sans" w:eastAsia="Nunito Sans" w:hAnsi="Nunito Sans"/>
          <w:color w:val="102E3B"/>
          <w:sz w:val="20"/>
          <w:szCs w:val="20"/>
        </w:rPr>
        <w:t xml:space="preserve"> means information about an identified or identifiable living person.</w:t>
      </w:r>
    </w:p>
    <w:p>
      <w:pPr>
        <w:pStyle w:val="ListParagraph"/>
        <w:numPr>
          <w:ilvl w:val="0"/>
          <w:numId w:val="5"/>
        </w:numPr>
        <w:spacing w:after="80" w:line="290"/>
      </w:pPr>
      <w:r>
        <w:rPr>
          <w:rFonts w:ascii="Nunito Sans" w:cs="Nunito Sans" w:eastAsia="Nunito Sans" w:hAnsi="Nunito Sans"/>
          <w:color w:val="102E3B"/>
          <w:sz w:val="20"/>
          <w:szCs w:val="20"/>
        </w:rPr>
        <w:t xml:space="preserve">Clauses 1, 6, 7, 8, 11, 12, 13 and 14 are legally binding. All other clauses, the principles and the schedules record intentions only and are not legally binding, except that the minimum standards in Schedule 3 apply as part of clause 8.</w:t>
      </w:r>
    </w:p>
    <w:p>
      <w:pPr>
        <w:pStyle w:val="ListParagraph"/>
        <w:numPr>
          <w:ilvl w:val="0"/>
          <w:numId w:val="5"/>
        </w:numPr>
        <w:spacing w:after="80" w:line="290"/>
      </w:pPr>
      <w:r>
        <w:rPr>
          <w:rFonts w:ascii="Nunito Sans" w:cs="Nunito Sans" w:eastAsia="Nunito Sans" w:hAnsi="Nunito Sans"/>
          <w:color w:val="102E3B"/>
          <w:sz w:val="20"/>
          <w:szCs w:val="20"/>
        </w:rPr>
        <w:t xml:space="preserve">This memorandum does not oblige any Partner to enter into any further agreement, to commit funds or to apply for funding.</w:t>
      </w:r>
    </w:p>
    <w:p>
      <w:pPr>
        <w:pStyle w:val="Heading2"/>
        <w:keepNext/>
        <w:spacing w:after="120" w:before="280"/>
      </w:pPr>
      <w:r>
        <w:rPr>
          <w:rFonts w:ascii="DM Serif Display" w:cs="DM Serif Display" w:eastAsia="DM Serif Display" w:hAnsi="DM Serif Display"/>
          <w:color w:val="123C48"/>
          <w:sz w:val="28"/>
          <w:szCs w:val="28"/>
        </w:rPr>
        <w:t xml:space="preserve">2. Shared purpose and objectives (non-binding)</w:t>
      </w:r>
    </w:p>
    <w:p>
      <w:pPr>
        <w:pStyle w:val="ListParagraph"/>
        <w:numPr>
          <w:ilvl w:val="0"/>
          <w:numId w:val="6"/>
        </w:numPr>
        <w:spacing w:after="80" w:line="290"/>
      </w:pPr>
      <w:r>
        <w:rPr>
          <w:rFonts w:ascii="Nunito Sans" w:cs="Nunito Sans" w:eastAsia="Nunito Sans" w:hAnsi="Nunito Sans"/>
          <w:color w:val="102E3B"/>
          <w:sz w:val="20"/>
          <w:szCs w:val="20"/>
        </w:rPr>
        <w:t xml:space="preserve">The purpose of the partnership is </w:t>
      </w:r>
      <w:r>
        <w:rPr>
          <w:rFonts w:ascii="Nunito Sans" w:cs="Nunito Sans" w:eastAsia="Nunito Sans" w:hAnsi="Nunito Sans"/>
          <w:color w:val="102E3B"/>
          <w:sz w:val="20"/>
          <w:szCs w:val="20"/>
          <w:highlight w:val="yellow"/>
        </w:rPr>
        <w:t xml:space="preserve">[e.g. to improve the income and resilience of farming households in X district]</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color w:val="102E3B"/>
          <w:sz w:val="20"/>
          <w:szCs w:val="20"/>
        </w:rPr>
        <w:t xml:space="preserve">The Partners aim to achieve these objectives by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p>
      <w:pPr>
        <w:pStyle w:val="ListParagraph"/>
        <w:numPr>
          <w:ilvl w:val="1"/>
          <w:numId w:val="6"/>
        </w:numPr>
        <w:spacing w:after="80" w:line="290"/>
      </w:pPr>
      <w:r>
        <w:rPr>
          <w:rFonts w:ascii="Nunito Sans" w:cs="Nunito Sans" w:eastAsia="Nunito Sans" w:hAnsi="Nunito Sans"/>
          <w:color w:val="102E3B"/>
          <w:sz w:val="20"/>
          <w:szCs w:val="20"/>
          <w:highlight w:val="yellow"/>
        </w:rPr>
        <w:t xml:space="preserve">[Objective 1, e.g. 1,500 households adopt at least three climate-resilient practices]</w:t>
      </w:r>
      <w:r>
        <w:rPr>
          <w:rFonts w:ascii="Nunito Sans" w:cs="Nunito Sans" w:eastAsia="Nunito Sans" w:hAnsi="Nunito Sans"/>
          <w:color w:val="102E3B"/>
          <w:sz w:val="20"/>
          <w:szCs w:val="20"/>
        </w:rPr>
        <w:t xml:space="preserve">;</w:t>
      </w:r>
    </w:p>
    <w:p>
      <w:pPr>
        <w:pStyle w:val="ListParagraph"/>
        <w:numPr>
          <w:ilvl w:val="1"/>
          <w:numId w:val="6"/>
        </w:numPr>
        <w:spacing w:after="80" w:line="290"/>
      </w:pPr>
      <w:r>
        <w:rPr>
          <w:rFonts w:ascii="Nunito Sans" w:cs="Nunito Sans" w:eastAsia="Nunito Sans" w:hAnsi="Nunito Sans"/>
          <w:color w:val="102E3B"/>
          <w:sz w:val="20"/>
          <w:szCs w:val="20"/>
          <w:highlight w:val="yellow"/>
        </w:rPr>
        <w:t xml:space="preserve">[Objective 2, e.g. 60 farmer groups have active savings schemes]</w:t>
      </w:r>
      <w:r>
        <w:rPr>
          <w:rFonts w:ascii="Nunito Sans" w:cs="Nunito Sans" w:eastAsia="Nunito Sans" w:hAnsi="Nunito Sans"/>
          <w:color w:val="102E3B"/>
          <w:sz w:val="20"/>
          <w:szCs w:val="20"/>
        </w:rPr>
        <w:t xml:space="preserve">; and</w:t>
      </w:r>
    </w:p>
    <w:p>
      <w:pPr>
        <w:pStyle w:val="ListParagraph"/>
        <w:numPr>
          <w:ilvl w:val="1"/>
          <w:numId w:val="6"/>
        </w:numPr>
        <w:spacing w:after="80" w:line="290"/>
      </w:pPr>
      <w:r>
        <w:rPr>
          <w:rFonts w:ascii="Nunito Sans" w:cs="Nunito Sans" w:eastAsia="Nunito Sans" w:hAnsi="Nunito Sans"/>
          <w:color w:val="102E3B"/>
          <w:sz w:val="20"/>
          <w:szCs w:val="20"/>
          <w:highlight w:val="yellow"/>
        </w:rPr>
        <w:t xml:space="preserve">[Objective 3, e.g. a joint model is documented and shared with the county government]</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3. Activities and responsibilities (non-binding)</w:t>
      </w:r>
    </w:p>
    <w:p>
      <w:pPr>
        <w:pStyle w:val="ListParagraph"/>
        <w:numPr>
          <w:ilvl w:val="0"/>
          <w:numId w:val="7"/>
        </w:numPr>
        <w:spacing w:after="80" w:line="290"/>
      </w:pPr>
      <w:r>
        <w:rPr>
          <w:rFonts w:ascii="Nunito Sans" w:cs="Nunito Sans" w:eastAsia="Nunito Sans" w:hAnsi="Nunito Sans"/>
          <w:color w:val="102E3B"/>
          <w:sz w:val="20"/>
          <w:szCs w:val="20"/>
        </w:rPr>
        <w:t xml:space="preserve">Each Partner intends to carry out the activities assigned to it in Schedule 1, with the staff and resources shown in Schedule 2.</w:t>
      </w:r>
    </w:p>
    <w:p>
      <w:pPr>
        <w:pStyle w:val="ListParagraph"/>
        <w:numPr>
          <w:ilvl w:val="0"/>
          <w:numId w:val="7"/>
        </w:numPr>
        <w:spacing w:after="80" w:line="290"/>
      </w:pPr>
      <w:r>
        <w:rPr>
          <w:rFonts w:ascii="Nunito Sans" w:cs="Nunito Sans" w:eastAsia="Nunito Sans" w:hAnsi="Nunito Sans"/>
          <w:color w:val="102E3B"/>
          <w:sz w:val="20"/>
          <w:szCs w:val="20"/>
        </w:rPr>
        <w:t xml:space="preserve">Each Partner remains responsible for how it delivers its own activities, in line with its own policies and the law.</w:t>
      </w:r>
    </w:p>
    <w:p>
      <w:pPr>
        <w:pStyle w:val="ListParagraph"/>
        <w:numPr>
          <w:ilvl w:val="0"/>
          <w:numId w:val="7"/>
        </w:numPr>
        <w:spacing w:after="80" w:line="290"/>
      </w:pPr>
      <w:r>
        <w:rPr>
          <w:rFonts w:ascii="Nunito Sans" w:cs="Nunito Sans" w:eastAsia="Nunito Sans" w:hAnsi="Nunito Sans"/>
          <w:color w:val="102E3B"/>
          <w:sz w:val="20"/>
          <w:szCs w:val="20"/>
        </w:rPr>
        <w:t xml:space="preserve">A Partner that cannot deliver an activity as planned will tell the others as soon as possible, so that the steering group can agree a solution.</w:t>
      </w:r>
    </w:p>
    <w:p>
      <w:pPr>
        <w:pStyle w:val="Heading2"/>
        <w:keepNext/>
        <w:spacing w:after="120" w:before="280"/>
      </w:pPr>
      <w:r>
        <w:rPr>
          <w:rFonts w:ascii="DM Serif Display" w:cs="DM Serif Display" w:eastAsia="DM Serif Display" w:hAnsi="DM Serif Display"/>
          <w:color w:val="123C48"/>
          <w:sz w:val="28"/>
          <w:szCs w:val="28"/>
        </w:rPr>
        <w:t xml:space="preserve">4. Governance and decision-making (non-binding)</w:t>
      </w:r>
    </w:p>
    <w:p>
      <w:pPr>
        <w:pStyle w:val="ListParagraph"/>
        <w:numPr>
          <w:ilvl w:val="0"/>
          <w:numId w:val="8"/>
        </w:numPr>
        <w:spacing w:after="80" w:line="290"/>
      </w:pPr>
      <w:r>
        <w:rPr>
          <w:rFonts w:ascii="Nunito Sans" w:cs="Nunito Sans" w:eastAsia="Nunito Sans" w:hAnsi="Nunito Sans"/>
          <w:color w:val="102E3B"/>
          <w:sz w:val="20"/>
          <w:szCs w:val="20"/>
        </w:rPr>
        <w:t xml:space="preserve">The Partners will form a </w:t>
      </w:r>
      <w:r>
        <w:rPr>
          <w:rFonts w:ascii="Nunito Sans" w:cs="Nunito Sans" w:eastAsia="Nunito Sans" w:hAnsi="Nunito Sans"/>
          <w:b/>
          <w:bCs/>
          <w:color w:val="102E3B"/>
          <w:sz w:val="20"/>
          <w:szCs w:val="20"/>
        </w:rPr>
        <w:t xml:space="preserve">steering group</w:t>
      </w:r>
      <w:r>
        <w:rPr>
          <w:rFonts w:ascii="Nunito Sans" w:cs="Nunito Sans" w:eastAsia="Nunito Sans" w:hAnsi="Nunito Sans"/>
          <w:color w:val="102E3B"/>
          <w:sz w:val="20"/>
          <w:szCs w:val="20"/>
        </w:rPr>
        <w:t xml:space="preserve"> with </w:t>
      </w:r>
      <w:r>
        <w:rPr>
          <w:rFonts w:ascii="Nunito Sans" w:cs="Nunito Sans" w:eastAsia="Nunito Sans" w:hAnsi="Nunito Sans"/>
          <w:color w:val="102E3B"/>
          <w:sz w:val="20"/>
          <w:szCs w:val="20"/>
          <w:highlight w:val="yellow"/>
        </w:rPr>
        <w:t xml:space="preserve">[one / two]</w:t>
      </w:r>
      <w:r>
        <w:rPr>
          <w:rFonts w:ascii="Nunito Sans" w:cs="Nunito Sans" w:eastAsia="Nunito Sans" w:hAnsi="Nunito Sans"/>
          <w:color w:val="102E3B"/>
          <w:sz w:val="20"/>
          <w:szCs w:val="20"/>
        </w:rPr>
        <w:t xml:space="preserve"> representatives from each Partner, with authority to take decisions for their organisation.</w:t>
      </w:r>
    </w:p>
    <w:p>
      <w:pPr>
        <w:pStyle w:val="ListParagraph"/>
        <w:numPr>
          <w:ilvl w:val="0"/>
          <w:numId w:val="8"/>
        </w:numPr>
        <w:spacing w:after="80" w:line="290"/>
      </w:pPr>
      <w:r>
        <w:rPr>
          <w:rFonts w:ascii="Nunito Sans" w:cs="Nunito Sans" w:eastAsia="Nunito Sans" w:hAnsi="Nunito Sans"/>
          <w:color w:val="102E3B"/>
          <w:sz w:val="20"/>
          <w:szCs w:val="20"/>
        </w:rPr>
        <w:t xml:space="preserve">The steering group will:</w:t>
      </w:r>
    </w:p>
    <w:p>
      <w:pPr>
        <w:pStyle w:val="ListParagraph"/>
        <w:numPr>
          <w:ilvl w:val="1"/>
          <w:numId w:val="8"/>
        </w:numPr>
        <w:spacing w:after="80" w:line="290"/>
      </w:pPr>
      <w:r>
        <w:rPr>
          <w:rFonts w:ascii="Nunito Sans" w:cs="Nunito Sans" w:eastAsia="Nunito Sans" w:hAnsi="Nunito Sans"/>
          <w:color w:val="102E3B"/>
          <w:sz w:val="20"/>
          <w:szCs w:val="20"/>
        </w:rPr>
        <w:t xml:space="preserve">agree the annual workplan and joint budget;</w:t>
      </w:r>
    </w:p>
    <w:p>
      <w:pPr>
        <w:pStyle w:val="ListParagraph"/>
        <w:numPr>
          <w:ilvl w:val="1"/>
          <w:numId w:val="8"/>
        </w:numPr>
        <w:spacing w:after="80" w:line="290"/>
      </w:pPr>
      <w:r>
        <w:rPr>
          <w:rFonts w:ascii="Nunito Sans" w:cs="Nunito Sans" w:eastAsia="Nunito Sans" w:hAnsi="Nunito Sans"/>
          <w:color w:val="102E3B"/>
          <w:sz w:val="20"/>
          <w:szCs w:val="20"/>
        </w:rPr>
        <w:t xml:space="preserve">review progress, risks and learning;</w:t>
      </w:r>
    </w:p>
    <w:p>
      <w:pPr>
        <w:pStyle w:val="ListParagraph"/>
        <w:numPr>
          <w:ilvl w:val="1"/>
          <w:numId w:val="8"/>
        </w:numPr>
        <w:spacing w:after="80" w:line="290"/>
      </w:pPr>
      <w:r>
        <w:rPr>
          <w:rFonts w:ascii="Nunito Sans" w:cs="Nunito Sans" w:eastAsia="Nunito Sans" w:hAnsi="Nunito Sans"/>
          <w:color w:val="102E3B"/>
          <w:sz w:val="20"/>
          <w:szCs w:val="20"/>
        </w:rPr>
        <w:t xml:space="preserve">decide on joint funding applications and joint communications; and</w:t>
      </w:r>
    </w:p>
    <w:p>
      <w:pPr>
        <w:pStyle w:val="ListParagraph"/>
        <w:numPr>
          <w:ilvl w:val="1"/>
          <w:numId w:val="8"/>
        </w:numPr>
        <w:spacing w:after="80" w:line="290"/>
      </w:pPr>
      <w:r>
        <w:rPr>
          <w:rFonts w:ascii="Nunito Sans" w:cs="Nunito Sans" w:eastAsia="Nunito Sans" w:hAnsi="Nunito Sans"/>
          <w:color w:val="102E3B"/>
          <w:sz w:val="20"/>
          <w:szCs w:val="20"/>
        </w:rPr>
        <w:t xml:space="preserve">review this memorandum each year.</w:t>
      </w:r>
    </w:p>
    <w:p>
      <w:pPr>
        <w:pStyle w:val="ListParagraph"/>
        <w:numPr>
          <w:ilvl w:val="0"/>
          <w:numId w:val="8"/>
        </w:numPr>
        <w:spacing w:after="80" w:line="290"/>
      </w:pPr>
      <w:r>
        <w:rPr>
          <w:rFonts w:ascii="Nunito Sans" w:cs="Nunito Sans" w:eastAsia="Nunito Sans" w:hAnsi="Nunito Sans"/>
          <w:color w:val="102E3B"/>
          <w:sz w:val="20"/>
          <w:szCs w:val="20"/>
        </w:rPr>
        <w:t xml:space="preserve">The steering group meets </w:t>
      </w:r>
      <w:r>
        <w:rPr>
          <w:rFonts w:ascii="Nunito Sans" w:cs="Nunito Sans" w:eastAsia="Nunito Sans" w:hAnsi="Nunito Sans"/>
          <w:color w:val="102E3B"/>
          <w:sz w:val="20"/>
          <w:szCs w:val="20"/>
          <w:highlight w:val="yellow"/>
        </w:rPr>
        <w:t xml:space="preserve">[every three months]</w:t>
      </w:r>
      <w:r>
        <w:rPr>
          <w:rFonts w:ascii="Nunito Sans" w:cs="Nunito Sans" w:eastAsia="Nunito Sans" w:hAnsi="Nunito Sans"/>
          <w:color w:val="102E3B"/>
          <w:sz w:val="20"/>
          <w:szCs w:val="20"/>
        </w:rPr>
        <w:t xml:space="preserve">, in person or online, and when any Partner asks. The convening Partner sends the agenda at least </w:t>
      </w:r>
      <w:r>
        <w:rPr>
          <w:rFonts w:ascii="Nunito Sans" w:cs="Nunito Sans" w:eastAsia="Nunito Sans" w:hAnsi="Nunito Sans"/>
          <w:color w:val="102E3B"/>
          <w:sz w:val="20"/>
          <w:szCs w:val="20"/>
          <w:highlight w:val="yellow"/>
        </w:rPr>
        <w:t xml:space="preserve">[7]</w:t>
      </w:r>
      <w:r>
        <w:rPr>
          <w:rFonts w:ascii="Nunito Sans" w:cs="Nunito Sans" w:eastAsia="Nunito Sans" w:hAnsi="Nunito Sans"/>
          <w:color w:val="102E3B"/>
          <w:sz w:val="20"/>
          <w:szCs w:val="20"/>
        </w:rPr>
        <w:t xml:space="preserve"> days before, and the minutes, with agreed actions, 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days after.</w:t>
      </w:r>
    </w:p>
    <w:p>
      <w:pPr>
        <w:pStyle w:val="ListParagraph"/>
        <w:numPr>
          <w:ilvl w:val="0"/>
          <w:numId w:val="8"/>
        </w:numPr>
        <w:spacing w:after="80" w:line="290"/>
      </w:pPr>
      <w:r>
        <w:rPr>
          <w:rFonts w:ascii="Nunito Sans" w:cs="Nunito Sans" w:eastAsia="Nunito Sans" w:hAnsi="Nunito Sans"/>
          <w:color w:val="102E3B"/>
          <w:sz w:val="20"/>
          <w:szCs w:val="20"/>
        </w:rPr>
        <w:t xml:space="preserve">Decisions are taken by consensus. If consensus cannot be reached after two meetings, the matter is handled under clause 11. A decision that adds work or cost for a Partner needs that Partner's agreement.</w:t>
      </w:r>
    </w:p>
    <w:p>
      <w:pPr>
        <w:pStyle w:val="ListParagraph"/>
        <w:numPr>
          <w:ilvl w:val="0"/>
          <w:numId w:val="8"/>
        </w:numPr>
        <w:spacing w:after="80" w:line="290"/>
      </w:pPr>
      <w:r>
        <w:rPr>
          <w:rFonts w:ascii="Nunito Sans" w:cs="Nunito Sans" w:eastAsia="Nunito Sans" w:hAnsi="Nunito Sans"/>
          <w:color w:val="102E3B"/>
          <w:sz w:val="20"/>
          <w:szCs w:val="20"/>
        </w:rPr>
        <w:t xml:space="preserve">Meetings are held in </w:t>
      </w:r>
      <w:r>
        <w:rPr>
          <w:rFonts w:ascii="Nunito Sans" w:cs="Nunito Sans" w:eastAsia="Nunito Sans" w:hAnsi="Nunito Sans"/>
          <w:color w:val="102E3B"/>
          <w:sz w:val="20"/>
          <w:szCs w:val="20"/>
          <w:highlight w:val="yellow"/>
        </w:rPr>
        <w:t xml:space="preserve">[language(s)]</w:t>
      </w:r>
      <w:r>
        <w:rPr>
          <w:rFonts w:ascii="Nunito Sans" w:cs="Nunito Sans" w:eastAsia="Nunito Sans" w:hAnsi="Nunito Sans"/>
          <w:color w:val="102E3B"/>
          <w:sz w:val="20"/>
          <w:szCs w:val="20"/>
        </w:rPr>
        <w:t xml:space="preserve">. Where needed, the Partners will arrange interpretation and share papers in good time, so that everyone can take part fully. The cost of attending is </w:t>
      </w:r>
      <w:r>
        <w:rPr>
          <w:rFonts w:ascii="Nunito Sans" w:cs="Nunito Sans" w:eastAsia="Nunito Sans" w:hAnsi="Nunito Sans"/>
          <w:color w:val="102E3B"/>
          <w:sz w:val="20"/>
          <w:szCs w:val="20"/>
          <w:highlight w:val="yellow"/>
        </w:rPr>
        <w:t xml:space="preserve">[met from the joint budget / borne by each Partner]</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GOVERNANCE THAT WORKS FOR SMALL PARTNERS</w:t>
            </w:r>
          </w:p>
          <w:p>
            <w:pPr>
              <w:spacing w:after="120" w:before="0" w:line="300"/>
            </w:pPr>
            <w:r>
              <w:rPr>
                <w:rFonts w:ascii="Nunito Sans" w:cs="Nunito Sans" w:eastAsia="Nunito Sans" w:hAnsi="Nunito Sans"/>
                <w:color w:val="102E3B"/>
                <w:sz w:val="19"/>
                <w:szCs w:val="19"/>
              </w:rPr>
              <w:t xml:space="preserve">Keep governance light: two to four meetings a year is usually enough. Rotate the chair, and hold some meetings where the local partner works. Budget for travel, data bundles or interpretation so that smaller partners can attend. If a funder requires a lead organisation, state that the lead's extra powers are limited to what the funder requires, and that other decisions stay with the steering group.</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Resources and funding (non-binding)</w:t>
      </w:r>
    </w:p>
    <w:p>
      <w:pPr>
        <w:pStyle w:val="ListParagraph"/>
        <w:numPr>
          <w:ilvl w:val="0"/>
          <w:numId w:val="9"/>
        </w:numPr>
        <w:spacing w:after="80" w:line="290"/>
      </w:pPr>
      <w:r>
        <w:rPr>
          <w:rFonts w:ascii="Nunito Sans" w:cs="Nunito Sans" w:eastAsia="Nunito Sans" w:hAnsi="Nunito Sans"/>
          <w:color w:val="102E3B"/>
          <w:sz w:val="20"/>
          <w:szCs w:val="20"/>
        </w:rPr>
        <w:t xml:space="preserve">Each Partner intends to contribute the staff time, expertise, facilities and funds shown in Schedule 2.</w:t>
      </w:r>
    </w:p>
    <w:p>
      <w:pPr>
        <w:pStyle w:val="ListParagraph"/>
        <w:numPr>
          <w:ilvl w:val="0"/>
          <w:numId w:val="9"/>
        </w:numPr>
        <w:spacing w:after="80" w:line="290"/>
      </w:pPr>
      <w:r>
        <w:rPr>
          <w:rFonts w:ascii="Nunito Sans" w:cs="Nunito Sans" w:eastAsia="Nunito Sans" w:hAnsi="Nunito Sans"/>
          <w:color w:val="102E3B"/>
          <w:sz w:val="20"/>
          <w:szCs w:val="20"/>
        </w:rPr>
        <w:t xml:space="preserve">The Partners will agree together which Partner leads each joint funding application, based on fit and capacity rather than size. Every Partner named in a proposal will see and approve its budget and its description of that Partner's role before submission.</w:t>
      </w:r>
    </w:p>
    <w:p>
      <w:pPr>
        <w:pStyle w:val="ListParagraph"/>
        <w:numPr>
          <w:ilvl w:val="0"/>
          <w:numId w:val="9"/>
        </w:numPr>
        <w:spacing w:after="80" w:line="290"/>
      </w:pPr>
      <w:r>
        <w:rPr>
          <w:rFonts w:ascii="Nunito Sans" w:cs="Nunito Sans" w:eastAsia="Nunito Sans" w:hAnsi="Nunito Sans"/>
          <w:color w:val="102E3B"/>
          <w:sz w:val="20"/>
          <w:szCs w:val="20"/>
        </w:rPr>
        <w:t xml:space="preserve">Joint budgets will include a fair share of each Partner's running costs, at </w:t>
      </w:r>
      <w:r>
        <w:rPr>
          <w:rFonts w:ascii="Nunito Sans" w:cs="Nunito Sans" w:eastAsia="Nunito Sans" w:hAnsi="Nunito Sans"/>
          <w:color w:val="102E3B"/>
          <w:sz w:val="20"/>
          <w:szCs w:val="20"/>
          <w:highlight w:val="yellow"/>
        </w:rPr>
        <w:t xml:space="preserve">[the same indirect cost rate for all Partners / at least X% of direct costs]</w:t>
      </w:r>
      <w:r>
        <w:rPr>
          <w:rFonts w:ascii="Nunito Sans" w:cs="Nunito Sans" w:eastAsia="Nunito Sans" w:hAnsi="Nunito Sans"/>
          <w:color w:val="102E3B"/>
          <w:sz w:val="20"/>
          <w:szCs w:val="20"/>
        </w:rPr>
        <w:t xml:space="preserve">, where the funder allows.</w:t>
      </w:r>
    </w:p>
    <w:p>
      <w:pPr>
        <w:pStyle w:val="ListParagraph"/>
        <w:numPr>
          <w:ilvl w:val="0"/>
          <w:numId w:val="9"/>
        </w:numPr>
        <w:spacing w:after="80" w:line="290"/>
      </w:pPr>
      <w:r>
        <w:rPr>
          <w:rFonts w:ascii="Nunito Sans" w:cs="Nunito Sans" w:eastAsia="Nunito Sans" w:hAnsi="Nunito Sans"/>
          <w:color w:val="102E3B"/>
          <w:sz w:val="20"/>
          <w:szCs w:val="20"/>
        </w:rPr>
        <w:t xml:space="preserve">Where one Partner passes funds to another, they will sign a separate Sub-grant Agreement or Services Agreement before any funds move. If that agreement conflicts with this memorandum, that agreement prevails.</w:t>
      </w:r>
    </w:p>
    <w:p>
      <w:pPr>
        <w:pStyle w:val="ListParagraph"/>
        <w:numPr>
          <w:ilvl w:val="0"/>
          <w:numId w:val="9"/>
        </w:numPr>
        <w:spacing w:after="80" w:line="290"/>
      </w:pPr>
      <w:r>
        <w:rPr>
          <w:rFonts w:ascii="Nunito Sans" w:cs="Nunito Sans" w:eastAsia="Nunito Sans" w:hAnsi="Nunito Sans"/>
          <w:color w:val="102E3B"/>
          <w:sz w:val="20"/>
          <w:szCs w:val="20"/>
        </w:rPr>
        <w:t xml:space="preserve">If funding is reduced or ends, the steering group will agree how to adjust activities, sharing the reduction fairly and protecting commitments to communities first.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MONEY AND FAIR OVERHEADS</w:t>
            </w:r>
          </w:p>
          <w:p>
            <w:pPr>
              <w:spacing w:after="120" w:before="0" w:line="300"/>
            </w:pPr>
            <w:r>
              <w:rPr>
                <w:rFonts w:ascii="Nunito Sans" w:cs="Nunito Sans" w:eastAsia="Nunito Sans" w:hAnsi="Nunito Sans"/>
                <w:color w:val="102E3B"/>
                <w:sz w:val="19"/>
                <w:szCs w:val="19"/>
              </w:rPr>
              <w:t xml:space="preserve">Be specific in Schedule 2: hours a month, named staff, cash amounts, in-kind items. Unpaid time is a real cost, especially for small organisations. Funders' rules on indirect costs vary widely, and some cap or exclude them for sub-grantees: check each funder's rules, and negotiate the same rate for all Partners where possible. If the lead partner keeps a management fee, say so here.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Names, logos and visibility (binding)</w:t>
      </w:r>
    </w:p>
    <w:p>
      <w:pPr>
        <w:pStyle w:val="ListParagraph"/>
        <w:numPr>
          <w:ilvl w:val="0"/>
          <w:numId w:val="10"/>
        </w:numPr>
        <w:spacing w:after="80" w:line="290"/>
      </w:pPr>
      <w:r>
        <w:rPr>
          <w:rFonts w:ascii="Nunito Sans" w:cs="Nunito Sans" w:eastAsia="Nunito Sans" w:hAnsi="Nunito Sans"/>
          <w:color w:val="102E3B"/>
          <w:sz w:val="20"/>
          <w:szCs w:val="20"/>
        </w:rPr>
        <w:t xml:space="preserve">No Partner will use another Partner's name, logo or trade marks without its prior written approval, which may be given by email for each use or for an agreed type of use.</w:t>
      </w:r>
    </w:p>
    <w:p>
      <w:pPr>
        <w:pStyle w:val="ListParagraph"/>
        <w:numPr>
          <w:ilvl w:val="0"/>
          <w:numId w:val="10"/>
        </w:numPr>
        <w:spacing w:after="80" w:line="290"/>
      </w:pPr>
      <w:r>
        <w:rPr>
          <w:rFonts w:ascii="Nunito Sans" w:cs="Nunito Sans" w:eastAsia="Nunito Sans" w:hAnsi="Nunito Sans"/>
          <w:color w:val="102E3B"/>
          <w:sz w:val="20"/>
          <w:szCs w:val="20"/>
        </w:rPr>
        <w:t xml:space="preserve">Joint publications and communications about the partnership will credit all Partners fairly and visibly, with logos of equal size unless the Partners agree otherwise, and in line with any funder's visibility rules.</w:t>
      </w:r>
    </w:p>
    <w:p>
      <w:pPr>
        <w:pStyle w:val="ListParagraph"/>
        <w:numPr>
          <w:ilvl w:val="0"/>
          <w:numId w:val="10"/>
        </w:numPr>
        <w:spacing w:after="80" w:line="290"/>
      </w:pPr>
      <w:r>
        <w:rPr>
          <w:rFonts w:ascii="Nunito Sans" w:cs="Nunito Sans" w:eastAsia="Nunito Sans" w:hAnsi="Nunito Sans"/>
          <w:color w:val="102E3B"/>
          <w:sz w:val="20"/>
          <w:szCs w:val="20"/>
        </w:rPr>
        <w:t xml:space="preserve">Each Partner may describe the partnership factually in its own reports and materials.</w:t>
      </w:r>
    </w:p>
    <w:p>
      <w:pPr>
        <w:pStyle w:val="ListParagraph"/>
        <w:numPr>
          <w:ilvl w:val="0"/>
          <w:numId w:val="10"/>
        </w:numPr>
        <w:spacing w:after="80" w:line="290"/>
      </w:pPr>
      <w:r>
        <w:rPr>
          <w:rFonts w:ascii="Nunito Sans" w:cs="Nunito Sans" w:eastAsia="Nunito Sans" w:hAnsi="Nunito Sans"/>
          <w:color w:val="102E3B"/>
          <w:sz w:val="20"/>
          <w:szCs w:val="20"/>
        </w:rPr>
        <w:t xml:space="preserve">A Partner whose participation ends, or whose approval is withdrawn, will stop new uses of another Partner's name and logo within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w:t>
      </w:r>
    </w:p>
    <w:p>
      <w:pPr>
        <w:pStyle w:val="Heading2"/>
        <w:keepNext/>
        <w:spacing w:after="120" w:before="280"/>
      </w:pPr>
      <w:r>
        <w:rPr>
          <w:rFonts w:ascii="DM Serif Display" w:cs="DM Serif Display" w:eastAsia="DM Serif Display" w:hAnsi="DM Serif Display"/>
          <w:color w:val="123C48"/>
          <w:sz w:val="28"/>
          <w:szCs w:val="28"/>
        </w:rPr>
        <w:t xml:space="preserve">7. Confidentiality, data and intellectual property (binding)</w:t>
      </w:r>
    </w:p>
    <w:p>
      <w:pPr>
        <w:pStyle w:val="ListParagraph"/>
        <w:numPr>
          <w:ilvl w:val="0"/>
          <w:numId w:val="11"/>
        </w:numPr>
        <w:spacing w:after="80" w:line="290"/>
      </w:pPr>
      <w:r>
        <w:rPr>
          <w:rFonts w:ascii="Nunito Sans" w:cs="Nunito Sans" w:eastAsia="Nunito Sans" w:hAnsi="Nunito Sans"/>
          <w:color w:val="102E3B"/>
          <w:sz w:val="20"/>
          <w:szCs w:val="20"/>
        </w:rPr>
        <w:t xml:space="preserve">Each Partner will keep the other Partners' Confidential Information confidential, use it only for the partnership and share it only with people who need it and are bound to keep it confidential. These duties last for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years after this memorandum ends, and without time limit for Personal Data and safeguarding information.</w:t>
      </w:r>
    </w:p>
    <w:p>
      <w:pPr>
        <w:pStyle w:val="ListParagraph"/>
        <w:numPr>
          <w:ilvl w:val="0"/>
          <w:numId w:val="11"/>
        </w:numPr>
        <w:spacing w:after="80" w:line="290"/>
      </w:pPr>
      <w:r>
        <w:rPr>
          <w:rFonts w:ascii="Nunito Sans" w:cs="Nunito Sans" w:eastAsia="Nunito Sans" w:hAnsi="Nunito Sans"/>
          <w:color w:val="102E3B"/>
          <w:sz w:val="20"/>
          <w:szCs w:val="20"/>
        </w:rPr>
        <w:t xml:space="preserve">The Partners will share Personal Data about the people they serve only under a signed Data Sharing Agreement, and only what is needed. Each Partner will comply with the data protection laws that apply to it, including </w:t>
      </w:r>
      <w:r>
        <w:rPr>
          <w:rFonts w:ascii="Nunito Sans" w:cs="Nunito Sans" w:eastAsia="Nunito Sans" w:hAnsi="Nunito Sans"/>
          <w:color w:val="102E3B"/>
          <w:sz w:val="20"/>
          <w:szCs w:val="20"/>
          <w:highlight w:val="yellow"/>
        </w:rPr>
        <w:t xml:space="preserve">[e.g. the Kenya Data Protection Act 2019]</w:t>
      </w:r>
      <w:r>
        <w:rPr>
          <w:rFonts w:ascii="Nunito Sans" w:cs="Nunito Sans" w:eastAsia="Nunito Sans" w:hAnsi="Nunito Sans"/>
          <w:color w:val="102E3B"/>
          <w:sz w:val="20"/>
          <w:szCs w:val="20"/>
        </w:rPr>
        <w:t xml:space="preserve">.</w:t>
      </w:r>
    </w:p>
    <w:p>
      <w:pPr>
        <w:pStyle w:val="ListParagraph"/>
        <w:numPr>
          <w:ilvl w:val="0"/>
          <w:numId w:val="11"/>
        </w:numPr>
        <w:spacing w:after="80" w:line="290"/>
      </w:pPr>
      <w:r>
        <w:rPr>
          <w:rFonts w:ascii="Nunito Sans" w:cs="Nunito Sans" w:eastAsia="Nunito Sans" w:hAnsi="Nunito Sans"/>
          <w:color w:val="102E3B"/>
          <w:sz w:val="20"/>
          <w:szCs w:val="20"/>
        </w:rPr>
        <w:t xml:space="preserve">Each Partner keeps ownership of the intellectual property (such as copyright in materials, methods and tools) it brings to the partnership or creates alone.</w:t>
      </w:r>
    </w:p>
    <w:p>
      <w:pPr>
        <w:pStyle w:val="ListParagraph"/>
        <w:numPr>
          <w:ilvl w:val="0"/>
          <w:numId w:val="11"/>
        </w:numPr>
        <w:spacing w:after="80" w:line="290"/>
      </w:pPr>
      <w:r>
        <w:rPr>
          <w:rFonts w:ascii="Nunito Sans" w:cs="Nunito Sans" w:eastAsia="Nunito Sans" w:hAnsi="Nunito Sans"/>
          <w:color w:val="102E3B"/>
          <w:sz w:val="20"/>
          <w:szCs w:val="20"/>
        </w:rPr>
        <w:t xml:space="preserve">Materials the Partners create together ("Joint Materials") are owned </w:t>
      </w:r>
      <w:r>
        <w:rPr>
          <w:rFonts w:ascii="Nunito Sans" w:cs="Nunito Sans" w:eastAsia="Nunito Sans" w:hAnsi="Nunito Sans"/>
          <w:color w:val="102E3B"/>
          <w:sz w:val="20"/>
          <w:szCs w:val="20"/>
          <w:highlight w:val="yellow"/>
        </w:rPr>
        <w:t xml:space="preserve">[jointly in equal shares / by the Partner that leads their creation]</w:t>
      </w:r>
      <w:r>
        <w:rPr>
          <w:rFonts w:ascii="Nunito Sans" w:cs="Nunito Sans" w:eastAsia="Nunito Sans" w:hAnsi="Nunito Sans"/>
          <w:color w:val="102E3B"/>
          <w:sz w:val="20"/>
          <w:szCs w:val="20"/>
        </w:rPr>
        <w:t xml:space="preserve">. Each Partner may use, adapt and share Joint Materials free of charge for non-commercial purposes, crediting all Partners. Commercial use needs the consent of all Partners.</w:t>
      </w:r>
    </w:p>
    <w:p>
      <w:pPr>
        <w:pStyle w:val="ListParagraph"/>
        <w:numPr>
          <w:ilvl w:val="0"/>
          <w:numId w:val="11"/>
        </w:numPr>
        <w:spacing w:after="80" w:line="290"/>
      </w:pPr>
      <w:r>
        <w:rPr>
          <w:rFonts w:ascii="Nunito Sans" w:cs="Nunito Sans" w:eastAsia="Nunito Sans" w:hAnsi="Nunito Sans"/>
          <w:color w:val="102E3B"/>
          <w:sz w:val="20"/>
          <w:szCs w:val="20"/>
        </w:rPr>
        <w:t xml:space="preserve">Knowledge, stories and images from communities are used only with their informed consent, and community members are credited as they wish.</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DATA AND INTELLECTUAL PROPERTY</w:t>
            </w:r>
          </w:p>
          <w:p>
            <w:pPr>
              <w:spacing w:after="120" w:before="0" w:line="300"/>
            </w:pPr>
            <w:r>
              <w:rPr>
                <w:rFonts w:ascii="Nunito Sans" w:cs="Nunito Sans" w:eastAsia="Nunito Sans" w:hAnsi="Nunito Sans"/>
                <w:color w:val="102E3B"/>
                <w:sz w:val="19"/>
                <w:szCs w:val="19"/>
              </w:rPr>
              <w:t xml:space="preserve">Decide early who owns joint toolkits, curricula or research. Joint ownership can make later decisions slow, because each owner may need to agree. A common alternative is that the lead author owns the material and grants all Partners a free, permanent licence, or that Joint Materials are published under an open licence such as Creative Commons Attribution 4.0 (CC BY 4.0). Check your funders' rules, which may require open publication. Indigenous and traditional knowledge needs particular care: agree with the community how it may be recorded and used.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Safeguarding, fraud and counter-terrorism financing (binding)</w:t>
      </w:r>
    </w:p>
    <w:p>
      <w:pPr>
        <w:pStyle w:val="ListParagraph"/>
        <w:numPr>
          <w:ilvl w:val="0"/>
          <w:numId w:val="12"/>
        </w:numPr>
        <w:spacing w:after="80" w:line="290"/>
      </w:pPr>
      <w:r>
        <w:rPr>
          <w:rFonts w:ascii="Nunito Sans" w:cs="Nunito Sans" w:eastAsia="Nunito Sans" w:hAnsi="Nunito Sans"/>
          <w:color w:val="102E3B"/>
          <w:sz w:val="20"/>
          <w:szCs w:val="20"/>
        </w:rPr>
        <w:t xml:space="preserve">Each Partner will have, or adopt within </w:t>
      </w:r>
      <w:r>
        <w:rPr>
          <w:rFonts w:ascii="Nunito Sans" w:cs="Nunito Sans" w:eastAsia="Nunito Sans" w:hAnsi="Nunito Sans"/>
          <w:color w:val="102E3B"/>
          <w:sz w:val="20"/>
          <w:szCs w:val="20"/>
          <w:highlight w:val="yellow"/>
        </w:rPr>
        <w:t xml:space="preserve">[3 months]</w:t>
      </w:r>
      <w:r>
        <w:rPr>
          <w:rFonts w:ascii="Nunito Sans" w:cs="Nunito Sans" w:eastAsia="Nunito Sans" w:hAnsi="Nunito Sans"/>
          <w:color w:val="102E3B"/>
          <w:sz w:val="20"/>
          <w:szCs w:val="20"/>
        </w:rPr>
        <w:t xml:space="preserve"> of signing, policies at least as protective as the minimum standards in Schedule 3, on safeguarding (including protection from sexual exploitation, abuse and harassment, known as PSEAH), fraud and corruption, and whistleblowing. A Partner may adopt another Partner's policy for the partnership.</w:t>
      </w:r>
    </w:p>
    <w:p>
      <w:pPr>
        <w:pStyle w:val="ListParagraph"/>
        <w:numPr>
          <w:ilvl w:val="0"/>
          <w:numId w:val="12"/>
        </w:numPr>
        <w:spacing w:after="80" w:line="290"/>
      </w:pPr>
      <w:r>
        <w:rPr>
          <w:rFonts w:ascii="Nunito Sans" w:cs="Nunito Sans" w:eastAsia="Nunito Sans" w:hAnsi="Nunito Sans"/>
          <w:color w:val="102E3B"/>
          <w:sz w:val="20"/>
          <w:szCs w:val="20"/>
        </w:rPr>
        <w:t xml:space="preserve">Each Partner will apply the six core principles of the Inter-Agency Standing Committee (IASC) on sexual exploitation and abuse to all its staff and volunteers working on the partnership.</w:t>
      </w:r>
    </w:p>
    <w:p>
      <w:pPr>
        <w:pStyle w:val="ListParagraph"/>
        <w:numPr>
          <w:ilvl w:val="0"/>
          <w:numId w:val="12"/>
        </w:numPr>
        <w:spacing w:after="80" w:line="290"/>
      </w:pPr>
      <w:r>
        <w:rPr>
          <w:rFonts w:ascii="Nunito Sans" w:cs="Nunito Sans" w:eastAsia="Nunito Sans" w:hAnsi="Nunito Sans"/>
          <w:color w:val="102E3B"/>
          <w:sz w:val="20"/>
          <w:szCs w:val="20"/>
        </w:rPr>
        <w:t xml:space="preserve">Each Partner will tell the other Partners' focal points,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for safeguarding concerns and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 for suspected fraud, of any incident or allegation connected with the partnership, sharing only the information needed and protecting the identity of survivors and whistleblowers. Each Partner will cooperate with any investigation.</w:t>
      </w:r>
    </w:p>
    <w:p>
      <w:pPr>
        <w:pStyle w:val="ListParagraph"/>
        <w:numPr>
          <w:ilvl w:val="0"/>
          <w:numId w:val="12"/>
        </w:numPr>
        <w:spacing w:after="80" w:line="290"/>
      </w:pPr>
      <w:r>
        <w:rPr>
          <w:rFonts w:ascii="Nunito Sans" w:cs="Nunito Sans" w:eastAsia="Nunito Sans" w:hAnsi="Nunito Sans"/>
          <w:color w:val="102E3B"/>
          <w:sz w:val="20"/>
          <w:szCs w:val="20"/>
        </w:rPr>
        <w:t xml:space="preserve">Each Partner confirms that neither it, nor its board members or senior staff, is on the UN Security Council Consolidated List or </w:t>
      </w:r>
      <w:r>
        <w:rPr>
          <w:rFonts w:ascii="Nunito Sans" w:cs="Nunito Sans" w:eastAsia="Nunito Sans" w:hAnsi="Nunito Sans"/>
          <w:color w:val="102E3B"/>
          <w:sz w:val="20"/>
          <w:szCs w:val="20"/>
          <w:highlight w:val="yellow"/>
        </w:rPr>
        <w:t xml:space="preserve">[the other sanctions lists the Partners' funders use]</w:t>
      </w:r>
      <w:r>
        <w:rPr>
          <w:rFonts w:ascii="Nunito Sans" w:cs="Nunito Sans" w:eastAsia="Nunito Sans" w:hAnsi="Nunito Sans"/>
          <w:color w:val="102E3B"/>
          <w:sz w:val="20"/>
          <w:szCs w:val="20"/>
        </w:rPr>
        <w:t xml:space="preserve">, and will tell the others at once if this changes. No Partner will knowingly provide funds or support to any person or group on those lists.</w:t>
      </w:r>
    </w:p>
    <w:p>
      <w:pPr>
        <w:pStyle w:val="ListParagraph"/>
        <w:numPr>
          <w:ilvl w:val="0"/>
          <w:numId w:val="12"/>
        </w:numPr>
        <w:spacing w:after="80" w:line="290"/>
      </w:pPr>
      <w:r>
        <w:rPr>
          <w:rFonts w:ascii="Nunito Sans" w:cs="Nunito Sans" w:eastAsia="Nunito Sans" w:hAnsi="Nunito Sans"/>
          <w:color w:val="102E3B"/>
          <w:sz w:val="20"/>
          <w:szCs w:val="20"/>
        </w:rPr>
        <w:t xml:space="preserve">Where a funder's conditions apply to Partnership Activities, the Partner receiving the funds will share those conditions with the other Partners affected, and any further duties will be set out in a Sub-grant Agreement.</w:t>
      </w:r>
    </w:p>
    <w:p>
      <w:pPr>
        <w:pStyle w:val="ListParagraph"/>
        <w:numPr>
          <w:ilvl w:val="0"/>
          <w:numId w:val="12"/>
        </w:numPr>
        <w:spacing w:after="80" w:line="290"/>
      </w:pPr>
      <w:r>
        <w:rPr>
          <w:rFonts w:ascii="Nunito Sans" w:cs="Nunito Sans" w:eastAsia="Nunito Sans" w:hAnsi="Nunito Sans"/>
          <w:color w:val="102E3B"/>
          <w:sz w:val="20"/>
          <w:szCs w:val="20"/>
        </w:rPr>
        <w:t xml:space="preserve">A Partner that needs support to meet these standards will tell the steering group, which will agree a plan and, where possible, budget for it. No Partner will be excluded for a gap it is actively working to close, unless the gap puts people at serious risk.</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SAFEGUARDING AND COMPLIANCE FLOW-DOWN</w:t>
            </w:r>
          </w:p>
          <w:p>
            <w:pPr>
              <w:spacing w:after="120" w:before="0" w:line="300"/>
            </w:pPr>
            <w:r>
              <w:rPr>
                <w:rFonts w:ascii="Nunito Sans" w:cs="Nunito Sans" w:eastAsia="Nunito Sans" w:hAnsi="Nunito Sans"/>
                <w:color w:val="102E3B"/>
                <w:sz w:val="19"/>
                <w:szCs w:val="19"/>
              </w:rPr>
              <w:t xml:space="preserve">These are the duties most funders expect every partner to meet, so they are binding. Keep them proportionate: a small partner may share a safeguarding lead with another organisation for a time, or adopt the convening Partner's policies while it develops its own. Sanctions screening follows a risk-based approach, as encouraged by FATF Recommendation 8 on non-profit organisations: do not exclude partners or communities on assumptions about religion or region. Check whether your country's counter-terrorism financing law sets extra duties for non-profits, and use the Partner Due Diligence and Sanctions Screening Policy.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Reporting and learning (non-binding)</w:t>
      </w:r>
    </w:p>
    <w:p>
      <w:pPr>
        <w:pStyle w:val="ListParagraph"/>
        <w:numPr>
          <w:ilvl w:val="0"/>
          <w:numId w:val="13"/>
        </w:numPr>
        <w:spacing w:after="80" w:line="290"/>
      </w:pPr>
      <w:r>
        <w:rPr>
          <w:rFonts w:ascii="Nunito Sans" w:cs="Nunito Sans" w:eastAsia="Nunito Sans" w:hAnsi="Nunito Sans"/>
          <w:color w:val="102E3B"/>
          <w:sz w:val="20"/>
          <w:szCs w:val="20"/>
        </w:rPr>
        <w:t xml:space="preserve">Each Partner will share a short progress update on its activities with the steering group before each meeting, using a format the Partners agree.</w:t>
      </w:r>
    </w:p>
    <w:p>
      <w:pPr>
        <w:pStyle w:val="ListParagraph"/>
        <w:numPr>
          <w:ilvl w:val="0"/>
          <w:numId w:val="13"/>
        </w:numPr>
        <w:spacing w:after="80" w:line="290"/>
      </w:pPr>
      <w:r>
        <w:rPr>
          <w:rFonts w:ascii="Nunito Sans" w:cs="Nunito Sans" w:eastAsia="Nunito Sans" w:hAnsi="Nunito Sans"/>
          <w:color w:val="102E3B"/>
          <w:sz w:val="20"/>
          <w:szCs w:val="20"/>
        </w:rPr>
        <w:t xml:space="preserve">The Partners will agree together how to monitor results, and will share data needed for joint reports in time for funder deadlines, giving at least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days' notice of what is needed.</w:t>
      </w:r>
    </w:p>
    <w:p>
      <w:pPr>
        <w:pStyle w:val="ListParagraph"/>
        <w:numPr>
          <w:ilvl w:val="0"/>
          <w:numId w:val="13"/>
        </w:numPr>
        <w:spacing w:after="80" w:line="290"/>
      </w:pPr>
      <w:r>
        <w:rPr>
          <w:rFonts w:ascii="Nunito Sans" w:cs="Nunito Sans" w:eastAsia="Nunito Sans" w:hAnsi="Nunito Sans"/>
          <w:color w:val="102E3B"/>
          <w:sz w:val="20"/>
          <w:szCs w:val="20"/>
        </w:rPr>
        <w:t xml:space="preserve">At least once a year, the Partners will review what is working, what is not and what they have learned, including feedback from the communities they serve.</w:t>
      </w:r>
    </w:p>
    <w:p>
      <w:pPr>
        <w:pStyle w:val="Heading2"/>
        <w:keepNext/>
        <w:spacing w:after="120" w:before="280"/>
      </w:pPr>
      <w:r>
        <w:rPr>
          <w:rFonts w:ascii="DM Serif Display" w:cs="DM Serif Display" w:eastAsia="DM Serif Display" w:hAnsi="DM Serif Display"/>
          <w:color w:val="123C48"/>
          <w:sz w:val="28"/>
          <w:szCs w:val="28"/>
        </w:rPr>
        <w:t xml:space="preserve">10. Communication between partners (non-binding)</w:t>
      </w:r>
    </w:p>
    <w:p>
      <w:pPr>
        <w:pStyle w:val="ListParagraph"/>
        <w:numPr>
          <w:ilvl w:val="0"/>
          <w:numId w:val="14"/>
        </w:numPr>
        <w:spacing w:after="80" w:line="290"/>
      </w:pPr>
      <w:r>
        <w:rPr>
          <w:rFonts w:ascii="Nunito Sans" w:cs="Nunito Sans" w:eastAsia="Nunito Sans" w:hAnsi="Nunito Sans"/>
          <w:color w:val="102E3B"/>
          <w:sz w:val="20"/>
          <w:szCs w:val="20"/>
        </w:rPr>
        <w:t xml:space="preserve">Each Partner names a focal point in Schedule 3 as its main contact, and a deputy.</w:t>
      </w:r>
    </w:p>
    <w:p>
      <w:pPr>
        <w:pStyle w:val="ListParagraph"/>
        <w:numPr>
          <w:ilvl w:val="0"/>
          <w:numId w:val="14"/>
        </w:numPr>
        <w:spacing w:after="80" w:line="290"/>
      </w:pPr>
      <w:r>
        <w:rPr>
          <w:rFonts w:ascii="Nunito Sans" w:cs="Nunito Sans" w:eastAsia="Nunito Sans" w:hAnsi="Nunito Sans"/>
          <w:color w:val="102E3B"/>
          <w:sz w:val="20"/>
          <w:szCs w:val="20"/>
        </w:rPr>
        <w:t xml:space="preserve">Partners will reply to each other within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working days, and the same day for safeguarding or security matters.</w:t>
      </w:r>
    </w:p>
    <w:p>
      <w:pPr>
        <w:pStyle w:val="ListParagraph"/>
        <w:numPr>
          <w:ilvl w:val="0"/>
          <w:numId w:val="14"/>
        </w:numPr>
        <w:spacing w:after="80" w:line="290"/>
      </w:pPr>
      <w:r>
        <w:rPr>
          <w:rFonts w:ascii="Nunito Sans" w:cs="Nunito Sans" w:eastAsia="Nunito Sans" w:hAnsi="Nunito Sans"/>
          <w:color w:val="102E3B"/>
          <w:sz w:val="20"/>
          <w:szCs w:val="20"/>
        </w:rPr>
        <w:t xml:space="preserve">The Partners will agree together any public statement about the partnership, and will tell each other in advance of media contact about it. In an emergency, a Partner may speak about its own work and will inform the others as soon as possible.</w:t>
      </w:r>
    </w:p>
    <w:p>
      <w:pPr>
        <w:pStyle w:val="ListParagraph"/>
        <w:numPr>
          <w:ilvl w:val="0"/>
          <w:numId w:val="14"/>
        </w:numPr>
        <w:spacing w:after="80" w:line="290"/>
      </w:pPr>
      <w:r>
        <w:rPr>
          <w:rFonts w:ascii="Nunito Sans" w:cs="Nunito Sans" w:eastAsia="Nunito Sans" w:hAnsi="Nunito Sans"/>
          <w:color w:val="102E3B"/>
          <w:sz w:val="20"/>
          <w:szCs w:val="20"/>
        </w:rPr>
        <w:t xml:space="preserve">Each Partner will tell the others promptly about changes that may affect the partnership, such as a change of leadership, funding, legal status or a serious complaint.</w:t>
      </w:r>
    </w:p>
    <w:p>
      <w:pPr>
        <w:pStyle w:val="Heading2"/>
        <w:keepNext/>
        <w:spacing w:after="120" w:before="280"/>
      </w:pPr>
      <w:r>
        <w:rPr>
          <w:rFonts w:ascii="DM Serif Display" w:cs="DM Serif Display" w:eastAsia="DM Serif Display" w:hAnsi="DM Serif Display"/>
          <w:color w:val="123C48"/>
          <w:sz w:val="28"/>
          <w:szCs w:val="28"/>
        </w:rPr>
        <w:t xml:space="preserve">11. Resolving disagreements (binding)</w:t>
      </w:r>
    </w:p>
    <w:p>
      <w:pPr>
        <w:pStyle w:val="ListParagraph"/>
        <w:numPr>
          <w:ilvl w:val="0"/>
          <w:numId w:val="15"/>
        </w:numPr>
        <w:spacing w:after="80" w:line="290"/>
      </w:pPr>
      <w:r>
        <w:rPr>
          <w:rFonts w:ascii="Nunito Sans" w:cs="Nunito Sans" w:eastAsia="Nunito Sans" w:hAnsi="Nunito Sans"/>
          <w:color w:val="102E3B"/>
          <w:sz w:val="20"/>
          <w:szCs w:val="20"/>
        </w:rPr>
        <w:t xml:space="preserve">The Partners will try first to resolve any disagreement through their focal points, 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working days of it being raised in writing.</w:t>
      </w:r>
    </w:p>
    <w:p>
      <w:pPr>
        <w:pStyle w:val="ListParagraph"/>
        <w:numPr>
          <w:ilvl w:val="0"/>
          <w:numId w:val="15"/>
        </w:numPr>
        <w:spacing w:after="80" w:line="290"/>
      </w:pPr>
      <w:r>
        <w:rPr>
          <w:rFonts w:ascii="Nunito Sans" w:cs="Nunito Sans" w:eastAsia="Nunito Sans" w:hAnsi="Nunito Sans"/>
          <w:color w:val="102E3B"/>
          <w:sz w:val="20"/>
          <w:szCs w:val="20"/>
        </w:rPr>
        <w:t xml:space="preserve">If that fails, the heads of the Partners concerned will meet, in person or online, within a further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working days.</w:t>
      </w:r>
    </w:p>
    <w:p>
      <w:pPr>
        <w:pStyle w:val="ListParagraph"/>
        <w:numPr>
          <w:ilvl w:val="0"/>
          <w:numId w:val="15"/>
        </w:numPr>
        <w:spacing w:after="80" w:line="290"/>
      </w:pPr>
      <w:r>
        <w:rPr>
          <w:rFonts w:ascii="Nunito Sans" w:cs="Nunito Sans" w:eastAsia="Nunito Sans" w:hAnsi="Nunito Sans"/>
          <w:color w:val="102E3B"/>
          <w:sz w:val="20"/>
          <w:szCs w:val="20"/>
        </w:rPr>
        <w:t xml:space="preserve">If they cannot agree, the Partners will invite a mediator acceptable to all of them, such as </w:t>
      </w:r>
      <w:r>
        <w:rPr>
          <w:rFonts w:ascii="Nunito Sans" w:cs="Nunito Sans" w:eastAsia="Nunito Sans" w:hAnsi="Nunito Sans"/>
          <w:color w:val="102E3B"/>
          <w:sz w:val="20"/>
          <w:szCs w:val="20"/>
          <w:highlight w:val="yellow"/>
        </w:rPr>
        <w:t xml:space="preserve">[a respected local figure, network coordinator or mediation centre]</w:t>
      </w:r>
      <w:r>
        <w:rPr>
          <w:rFonts w:ascii="Nunito Sans" w:cs="Nunito Sans" w:eastAsia="Nunito Sans" w:hAnsi="Nunito Sans"/>
          <w:color w:val="102E3B"/>
          <w:sz w:val="20"/>
          <w:szCs w:val="20"/>
        </w:rPr>
        <w:t xml:space="preserve">, and share the cost </w:t>
      </w:r>
      <w:r>
        <w:rPr>
          <w:rFonts w:ascii="Nunito Sans" w:cs="Nunito Sans" w:eastAsia="Nunito Sans" w:hAnsi="Nunito Sans"/>
          <w:color w:val="102E3B"/>
          <w:sz w:val="20"/>
          <w:szCs w:val="20"/>
          <w:highlight w:val="yellow"/>
        </w:rPr>
        <w:t xml:space="preserve">[equally / in proportion to their budgets]</w:t>
      </w:r>
      <w:r>
        <w:rPr>
          <w:rFonts w:ascii="Nunito Sans" w:cs="Nunito Sans" w:eastAsia="Nunito Sans" w:hAnsi="Nunito Sans"/>
          <w:color w:val="102E3B"/>
          <w:sz w:val="20"/>
          <w:szCs w:val="20"/>
        </w:rPr>
        <w:t xml:space="preserve">.</w:t>
      </w:r>
    </w:p>
    <w:p>
      <w:pPr>
        <w:pStyle w:val="ListParagraph"/>
        <w:numPr>
          <w:ilvl w:val="0"/>
          <w:numId w:val="15"/>
        </w:numPr>
        <w:spacing w:after="80" w:line="290"/>
      </w:pPr>
      <w:r>
        <w:rPr>
          <w:rFonts w:ascii="Nunito Sans" w:cs="Nunito Sans" w:eastAsia="Nunito Sans" w:hAnsi="Nunito Sans"/>
          <w:color w:val="102E3B"/>
          <w:sz w:val="20"/>
          <w:szCs w:val="20"/>
        </w:rPr>
        <w:t xml:space="preserve">No Partner will start court proceedings about this memorandum before completing these steps, except to seek urgent protection of its rights under clauses 6, 7 or 8.</w:t>
      </w:r>
    </w:p>
    <w:p>
      <w:pPr>
        <w:pStyle w:val="Heading2"/>
        <w:keepNext/>
        <w:spacing w:after="120" w:before="280"/>
      </w:pPr>
      <w:r>
        <w:rPr>
          <w:rFonts w:ascii="DM Serif Display" w:cs="DM Serif Display" w:eastAsia="DM Serif Display" w:hAnsi="DM Serif Display"/>
          <w:color w:val="123C48"/>
          <w:sz w:val="28"/>
          <w:szCs w:val="28"/>
        </w:rPr>
        <w:t xml:space="preserve">12. Costs, independence and liability (binding)</w:t>
      </w:r>
    </w:p>
    <w:p>
      <w:pPr>
        <w:pStyle w:val="ListParagraph"/>
        <w:numPr>
          <w:ilvl w:val="0"/>
          <w:numId w:val="16"/>
        </w:numPr>
        <w:spacing w:after="80" w:line="290"/>
      </w:pPr>
      <w:r>
        <w:rPr>
          <w:rFonts w:ascii="Nunito Sans" w:cs="Nunito Sans" w:eastAsia="Nunito Sans" w:hAnsi="Nunito Sans"/>
          <w:color w:val="102E3B"/>
          <w:sz w:val="20"/>
          <w:szCs w:val="20"/>
        </w:rPr>
        <w:t xml:space="preserve">Each Partner pays its own costs, except as agreed in writing or in a separate agreement.</w:t>
      </w:r>
    </w:p>
    <w:p>
      <w:pPr>
        <w:pStyle w:val="ListParagraph"/>
        <w:numPr>
          <w:ilvl w:val="0"/>
          <w:numId w:val="16"/>
        </w:numPr>
        <w:spacing w:after="80" w:line="290"/>
      </w:pPr>
      <w:r>
        <w:rPr>
          <w:rFonts w:ascii="Nunito Sans" w:cs="Nunito Sans" w:eastAsia="Nunito Sans" w:hAnsi="Nunito Sans"/>
          <w:color w:val="102E3B"/>
          <w:sz w:val="20"/>
          <w:szCs w:val="20"/>
        </w:rPr>
        <w:t xml:space="preserve">This memorandum does not create a legal partnership, joint venture, agency or employment relationship. No Partner may make commitments, sign documents or incur costs for another without its written authority.</w:t>
      </w:r>
    </w:p>
    <w:p>
      <w:pPr>
        <w:pStyle w:val="ListParagraph"/>
        <w:numPr>
          <w:ilvl w:val="0"/>
          <w:numId w:val="16"/>
        </w:numPr>
        <w:spacing w:after="80" w:line="290"/>
      </w:pPr>
      <w:r>
        <w:rPr>
          <w:rFonts w:ascii="Nunito Sans" w:cs="Nunito Sans" w:eastAsia="Nunito Sans" w:hAnsi="Nunito Sans"/>
          <w:color w:val="102E3B"/>
          <w:sz w:val="20"/>
          <w:szCs w:val="20"/>
        </w:rPr>
        <w:t xml:space="preserve">Each Partner remains responsible for its own staff, volunteers, activities and compliance with the law.</w:t>
      </w:r>
    </w:p>
    <w:p>
      <w:pPr>
        <w:pStyle w:val="ListParagraph"/>
        <w:numPr>
          <w:ilvl w:val="0"/>
          <w:numId w:val="16"/>
        </w:numPr>
        <w:spacing w:after="80" w:line="290"/>
      </w:pPr>
      <w:r>
        <w:rPr>
          <w:rFonts w:ascii="Nunito Sans" w:cs="Nunito Sans" w:eastAsia="Nunito Sans" w:hAnsi="Nunito Sans"/>
          <w:color w:val="102E3B"/>
          <w:sz w:val="20"/>
          <w:szCs w:val="20"/>
        </w:rPr>
        <w:t xml:space="preserve">No Partner is liable to another for failing to follow a non-binding clause. Each Partner's liability for breach of a binding clause is limited to direct loss, except for fraud, deliberate breach, or any liability that cannot be limited by law.</w:t>
      </w:r>
    </w:p>
    <w:p>
      <w:pPr>
        <w:pStyle w:val="Heading2"/>
        <w:keepNext/>
        <w:spacing w:after="120" w:before="280"/>
      </w:pPr>
      <w:r>
        <w:rPr>
          <w:rFonts w:ascii="DM Serif Display" w:cs="DM Serif Display" w:eastAsia="DM Serif Display" w:hAnsi="DM Serif Display"/>
          <w:color w:val="123C48"/>
          <w:sz w:val="28"/>
          <w:szCs w:val="28"/>
        </w:rPr>
        <w:t xml:space="preserve">13. Term, review and exit (binding)</w:t>
      </w:r>
    </w:p>
    <w:p>
      <w:pPr>
        <w:pStyle w:val="ListParagraph"/>
        <w:numPr>
          <w:ilvl w:val="0"/>
          <w:numId w:val="17"/>
        </w:numPr>
        <w:spacing w:after="80" w:line="290"/>
      </w:pPr>
      <w:r>
        <w:rPr>
          <w:rFonts w:ascii="Nunito Sans" w:cs="Nunito Sans" w:eastAsia="Nunito Sans" w:hAnsi="Nunito Sans"/>
          <w:color w:val="102E3B"/>
          <w:sz w:val="20"/>
          <w:szCs w:val="20"/>
        </w:rPr>
        <w:t xml:space="preserve">This memorandum starts when all Partners have signed it and lasts until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unless the Partners agree in writing to extend it.</w:t>
      </w:r>
    </w:p>
    <w:p>
      <w:pPr>
        <w:pStyle w:val="ListParagraph"/>
        <w:numPr>
          <w:ilvl w:val="0"/>
          <w:numId w:val="17"/>
        </w:numPr>
        <w:spacing w:after="80" w:line="290"/>
      </w:pPr>
      <w:r>
        <w:rPr>
          <w:rFonts w:ascii="Nunito Sans" w:cs="Nunito Sans" w:eastAsia="Nunito Sans" w:hAnsi="Nunito Sans"/>
          <w:color w:val="102E3B"/>
          <w:sz w:val="20"/>
          <w:szCs w:val="20"/>
        </w:rPr>
        <w:t xml:space="preserve">The steering group will review this memorandum at least once a year. Changes must be agreed in writing by all Partners.</w:t>
      </w:r>
    </w:p>
    <w:p>
      <w:pPr>
        <w:pStyle w:val="ListParagraph"/>
        <w:numPr>
          <w:ilvl w:val="0"/>
          <w:numId w:val="17"/>
        </w:numPr>
        <w:spacing w:after="80" w:line="290"/>
      </w:pPr>
      <w:r>
        <w:rPr>
          <w:rFonts w:ascii="Nunito Sans" w:cs="Nunito Sans" w:eastAsia="Nunito Sans" w:hAnsi="Nunito Sans"/>
          <w:color w:val="102E3B"/>
          <w:sz w:val="20"/>
          <w:szCs w:val="20"/>
        </w:rPr>
        <w:t xml:space="preserve">Any Partner may leave the partnership by giving </w:t>
      </w:r>
      <w:r>
        <w:rPr>
          <w:rFonts w:ascii="Nunito Sans" w:cs="Nunito Sans" w:eastAsia="Nunito Sans" w:hAnsi="Nunito Sans"/>
          <w:color w:val="102E3B"/>
          <w:sz w:val="20"/>
          <w:szCs w:val="20"/>
          <w:highlight w:val="yellow"/>
        </w:rPr>
        <w:t xml:space="preserve">[60]</w:t>
      </w:r>
      <w:r>
        <w:rPr>
          <w:rFonts w:ascii="Nunito Sans" w:cs="Nunito Sans" w:eastAsia="Nunito Sans" w:hAnsi="Nunito Sans"/>
          <w:color w:val="102E3B"/>
          <w:sz w:val="20"/>
          <w:szCs w:val="20"/>
        </w:rPr>
        <w:t xml:space="preserve"> days' written notice to the others.</w:t>
      </w:r>
    </w:p>
    <w:p>
      <w:pPr>
        <w:pStyle w:val="ListParagraph"/>
        <w:numPr>
          <w:ilvl w:val="0"/>
          <w:numId w:val="17"/>
        </w:numPr>
        <w:spacing w:after="80" w:line="290"/>
      </w:pPr>
      <w:r>
        <w:rPr>
          <w:rFonts w:ascii="Nunito Sans" w:cs="Nunito Sans" w:eastAsia="Nunito Sans" w:hAnsi="Nunito Sans"/>
          <w:color w:val="102E3B"/>
          <w:sz w:val="20"/>
          <w:szCs w:val="20"/>
        </w:rPr>
        <w:t xml:space="preserve">If a Partner commits a serious breach of clause 8 or acts in a way that puts people at serious risk, any other Partner may end its own participation at once by written notice, and the other Partners may together suspend that Partner by written notice.</w:t>
      </w:r>
    </w:p>
    <w:p>
      <w:pPr>
        <w:pStyle w:val="ListParagraph"/>
        <w:numPr>
          <w:ilvl w:val="0"/>
          <w:numId w:val="17"/>
        </w:numPr>
        <w:spacing w:after="80" w:line="290"/>
      </w:pPr>
      <w:r>
        <w:rPr>
          <w:rFonts w:ascii="Nunito Sans" w:cs="Nunito Sans" w:eastAsia="Nunito Sans" w:hAnsi="Nunito Sans"/>
          <w:color w:val="102E3B"/>
          <w:sz w:val="20"/>
          <w:szCs w:val="20"/>
        </w:rPr>
        <w:t xml:space="preserve">When a Partner leaves, or the partnership ends, the Partners will agree an exit plan within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It will:</w:t>
      </w:r>
    </w:p>
    <w:p>
      <w:pPr>
        <w:pStyle w:val="ListParagraph"/>
        <w:numPr>
          <w:ilvl w:val="1"/>
          <w:numId w:val="17"/>
        </w:numPr>
        <w:spacing w:after="80" w:line="290"/>
      </w:pPr>
      <w:r>
        <w:rPr>
          <w:rFonts w:ascii="Nunito Sans" w:cs="Nunito Sans" w:eastAsia="Nunito Sans" w:hAnsi="Nunito Sans"/>
          <w:color w:val="102E3B"/>
          <w:sz w:val="20"/>
          <w:szCs w:val="20"/>
        </w:rPr>
        <w:t xml:space="preserve">protect the communities served, by completing, handing over or responsibly closing activities and telling communities what will happen;</w:t>
      </w:r>
    </w:p>
    <w:p>
      <w:pPr>
        <w:pStyle w:val="ListParagraph"/>
        <w:numPr>
          <w:ilvl w:val="1"/>
          <w:numId w:val="17"/>
        </w:numPr>
        <w:spacing w:after="80" w:line="290"/>
      </w:pPr>
      <w:r>
        <w:rPr>
          <w:rFonts w:ascii="Nunito Sans" w:cs="Nunito Sans" w:eastAsia="Nunito Sans" w:hAnsi="Nunito Sans"/>
          <w:color w:val="102E3B"/>
          <w:sz w:val="20"/>
          <w:szCs w:val="20"/>
        </w:rPr>
        <w:t xml:space="preserve">return or delete Confidential Information and Personal Data as the Data Sharing Agreement requires;</w:t>
      </w:r>
    </w:p>
    <w:p>
      <w:pPr>
        <w:pStyle w:val="ListParagraph"/>
        <w:numPr>
          <w:ilvl w:val="1"/>
          <w:numId w:val="17"/>
        </w:numPr>
        <w:spacing w:after="80" w:line="290"/>
      </w:pPr>
      <w:r>
        <w:rPr>
          <w:rFonts w:ascii="Nunito Sans" w:cs="Nunito Sans" w:eastAsia="Nunito Sans" w:hAnsi="Nunito Sans"/>
          <w:color w:val="102E3B"/>
          <w:sz w:val="20"/>
          <w:szCs w:val="20"/>
        </w:rPr>
        <w:t xml:space="preserve">settle any agreed costs; and</w:t>
      </w:r>
    </w:p>
    <w:p>
      <w:pPr>
        <w:pStyle w:val="ListParagraph"/>
        <w:numPr>
          <w:ilvl w:val="1"/>
          <w:numId w:val="17"/>
        </w:numPr>
        <w:spacing w:after="80" w:line="290"/>
      </w:pPr>
      <w:r>
        <w:rPr>
          <w:rFonts w:ascii="Nunito Sans" w:cs="Nunito Sans" w:eastAsia="Nunito Sans" w:hAnsi="Nunito Sans"/>
          <w:color w:val="102E3B"/>
          <w:sz w:val="20"/>
          <w:szCs w:val="20"/>
        </w:rPr>
        <w:t xml:space="preserve">agree how the partnership is described publicly afterwards.</w:t>
      </w:r>
    </w:p>
    <w:p>
      <w:pPr>
        <w:pStyle w:val="ListParagraph"/>
        <w:numPr>
          <w:ilvl w:val="0"/>
          <w:numId w:val="17"/>
        </w:numPr>
        <w:spacing w:after="80" w:line="290"/>
      </w:pPr>
      <w:r>
        <w:rPr>
          <w:rFonts w:ascii="Nunito Sans" w:cs="Nunito Sans" w:eastAsia="Nunito Sans" w:hAnsi="Nunito Sans"/>
          <w:color w:val="102E3B"/>
          <w:sz w:val="20"/>
          <w:szCs w:val="20"/>
        </w:rPr>
        <w:t xml:space="preserve">Clauses 6, 7, 8.3, 11, 12 and 13.5 continue after a Partner leaves or the memorandum ends.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LEAVING WELL</w:t>
            </w:r>
          </w:p>
          <w:p>
            <w:pPr>
              <w:spacing w:after="120" w:before="0" w:line="300"/>
            </w:pPr>
            <w:r>
              <w:rPr>
                <w:rFonts w:ascii="Nunito Sans" w:cs="Nunito Sans" w:eastAsia="Nunito Sans" w:hAnsi="Nunito Sans"/>
                <w:color w:val="102E3B"/>
                <w:sz w:val="19"/>
                <w:szCs w:val="19"/>
              </w:rPr>
              <w:t xml:space="preserve">The exit clause is often the most useful one. Agree in advance what happens to staff, equipment, data and community commitments if a partner leaves or funding ends. Notice periods of 60–90 days are common. Do not let a local partner be left to explain an abrupt closure to communities alone: share that responsibility in the exit plan.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Governing law and signing (binding)</w:t>
      </w:r>
    </w:p>
    <w:p>
      <w:pPr>
        <w:pStyle w:val="ListParagraph"/>
        <w:numPr>
          <w:ilvl w:val="0"/>
          <w:numId w:val="18"/>
        </w:numPr>
        <w:spacing w:after="80" w:line="290"/>
      </w:pPr>
      <w:r>
        <w:rPr>
          <w:rFonts w:ascii="Nunito Sans" w:cs="Nunito Sans" w:eastAsia="Nunito Sans" w:hAnsi="Nunito Sans"/>
          <w:color w:val="102E3B"/>
          <w:sz w:val="20"/>
          <w:szCs w:val="20"/>
        </w:rPr>
        <w:t xml:space="preserve">This memorandum is governed by the law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w:t>
      </w:r>
    </w:p>
    <w:p>
      <w:pPr>
        <w:pStyle w:val="ListParagraph"/>
        <w:numPr>
          <w:ilvl w:val="0"/>
          <w:numId w:val="18"/>
        </w:numPr>
        <w:spacing w:after="80" w:line="290"/>
      </w:pPr>
      <w:r>
        <w:rPr>
          <w:rFonts w:ascii="Nunito Sans" w:cs="Nunito Sans" w:eastAsia="Nunito Sans" w:hAnsi="Nunito Sans"/>
          <w:color w:val="102E3B"/>
          <w:sz w:val="20"/>
          <w:szCs w:val="20"/>
        </w:rPr>
        <w:t xml:space="preserve">It may be signed in counterparts, including by electronic signature, and in </w:t>
      </w:r>
      <w:r>
        <w:rPr>
          <w:rFonts w:ascii="Nunito Sans" w:cs="Nunito Sans" w:eastAsia="Nunito Sans" w:hAnsi="Nunito Sans"/>
          <w:color w:val="102E3B"/>
          <w:sz w:val="20"/>
          <w:szCs w:val="20"/>
          <w:highlight w:val="yellow"/>
        </w:rPr>
        <w:t xml:space="preserve">[English and language]</w:t>
      </w:r>
      <w:r>
        <w:rPr>
          <w:rFonts w:ascii="Nunito Sans" w:cs="Nunito Sans" w:eastAsia="Nunito Sans" w:hAnsi="Nunito Sans"/>
          <w:color w:val="102E3B"/>
          <w:sz w:val="20"/>
          <w:szCs w:val="20"/>
        </w:rPr>
        <w:t xml:space="preserve">. If versions differ, the </w:t>
      </w:r>
      <w:r>
        <w:rPr>
          <w:rFonts w:ascii="Nunito Sans" w:cs="Nunito Sans" w:eastAsia="Nunito Sans" w:hAnsi="Nunito Sans"/>
          <w:color w:val="102E3B"/>
          <w:sz w:val="20"/>
          <w:szCs w:val="20"/>
          <w:highlight w:val="yellow"/>
        </w:rPr>
        <w:t xml:space="preserve">[English]</w:t>
      </w:r>
      <w:r>
        <w:rPr>
          <w:rFonts w:ascii="Nunito Sans" w:cs="Nunito Sans" w:eastAsia="Nunito Sans" w:hAnsi="Nunito Sans"/>
          <w:color w:val="102E3B"/>
          <w:sz w:val="20"/>
          <w:szCs w:val="20"/>
        </w:rPr>
        <w:t xml:space="preserve"> version prevails.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Schedule 1: Activities and responsibilities</w:t>
      </w:r>
    </w:p>
    <w:p>
      <w:pPr>
        <w:spacing w:after="120" w:before="0" w:line="300"/>
      </w:pPr>
      <w:r>
        <w:rPr>
          <w:rFonts w:ascii="Nunito Sans" w:cs="Nunito Sans" w:eastAsia="Nunito Sans" w:hAnsi="Nunito Sans"/>
          <w:color w:val="102E3B"/>
          <w:sz w:val="20"/>
          <w:szCs w:val="20"/>
        </w:rPr>
        <w:t xml:space="preserve">The rows below are examples. Replace them with your own.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1714"/>
        <w:gridCol w:w="323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ACTIVITY</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LEAD</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SUPPORTING</w:t>
            </w:r>
          </w:p>
        </w:tc>
        <w:tc>
          <w:tcPr>
            <w:tcW w:type="dxa" w:w="3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TIMING AND NOTES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farmer field schools on climate-resilient practices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[Partner 1]</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[Partner 2]</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[Quarterly, 60 groups]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financial literacy training and savings group set-up</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[Partner 2]</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[Partner 1]</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[From month 4]</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community feedback sessions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[Partner 1]</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[Partner 2]</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[Twice a year, results shared with steering group]</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joint learning brief for county government</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[Partner 2]</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[Partner 1]</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[Month 18]</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Schedule 2: Resources each Partner contributes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476"/>
        <w:gridCol w:w="2476"/>
        <w:gridCol w:w="2477"/>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PARTNER</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STAFF TIME AND EXPERTISE</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FACILITIES AND EQUIPMENT</w:t>
            </w:r>
          </w:p>
        </w:tc>
        <w:tc>
          <w:tcPr>
            <w:tcW w:type="dxa" w:w="2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FUNDS (AMOUNT, SOURCE)</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[Partner 1]</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2 field officers, 50% of their time]</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training venue, motorbikes]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amount from funder X]</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[Partner 2]</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trainer, 4 days a month]</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training materials]</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none; in-kind only]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Schedule 3: Focal points and minimum standards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3809"/>
        <w:gridCol w:w="3334"/>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PARTNER</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FOCAL POINT AND DEPUTY</w:t>
            </w:r>
          </w:p>
        </w:tc>
        <w:tc>
          <w:tcPr>
            <w:tcW w:type="dxa" w:w="333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SAFEGUARDING AND FRAUD CONTACT</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[Partner 1]</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[Names, emails, phones]</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email, phone]</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[Partner 2]</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[Names, emails, phones]</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email, phone]</w:t>
            </w:r>
          </w:p>
        </w:tc>
      </w:tr>
    </w:tbl>
    <w:p>
      <w:pPr>
        <w:spacing w:after="120"/>
      </w:pPr>
    </w:p>
    <w:p>
      <w:pPr>
        <w:spacing w:after="120" w:before="0" w:line="300"/>
      </w:pPr>
      <w:r>
        <w:rPr>
          <w:rFonts w:ascii="Nunito Sans" w:cs="Nunito Sans" w:eastAsia="Nunito Sans" w:hAnsi="Nunito Sans"/>
          <w:color w:val="102E3B"/>
          <w:sz w:val="20"/>
          <w:szCs w:val="20"/>
        </w:rPr>
        <w:t xml:space="preserve">Minimum standards that each Partner meets or is working towards under clause 8:</w:t>
      </w:r>
    </w:p>
    <w:p>
      <w:pPr>
        <w:pStyle w:val="ListParagraph"/>
        <w:numPr>
          <w:ilvl w:val="0"/>
          <w:numId w:val="4"/>
        </w:numPr>
        <w:spacing w:after="80" w:line="290"/>
      </w:pPr>
      <w:r>
        <w:rPr>
          <w:rFonts w:ascii="Nunito Sans" w:cs="Nunito Sans" w:eastAsia="Nunito Sans" w:hAnsi="Nunito Sans"/>
          <w:color w:val="102E3B"/>
          <w:sz w:val="20"/>
          <w:szCs w:val="20"/>
        </w:rPr>
        <w:t xml:space="preserve">A safeguarding policy, a named safeguarding lead, and a safe way for communities to raise concerns, including about the Partner's own staff.</w:t>
      </w:r>
    </w:p>
    <w:p>
      <w:pPr>
        <w:pStyle w:val="ListParagraph"/>
        <w:numPr>
          <w:ilvl w:val="0"/>
          <w:numId w:val="4"/>
        </w:numPr>
        <w:spacing w:after="80" w:line="290"/>
      </w:pPr>
      <w:r>
        <w:rPr>
          <w:rFonts w:ascii="Nunito Sans" w:cs="Nunito Sans" w:eastAsia="Nunito Sans" w:hAnsi="Nunito Sans"/>
          <w:color w:val="102E3B"/>
          <w:sz w:val="20"/>
          <w:szCs w:val="20"/>
        </w:rPr>
        <w:t xml:space="preserve">Safe recruitment: references for all staff and volunteers working with children or adults at risk, and other checks where the law allows.</w:t>
      </w:r>
    </w:p>
    <w:p>
      <w:pPr>
        <w:pStyle w:val="ListParagraph"/>
        <w:numPr>
          <w:ilvl w:val="0"/>
          <w:numId w:val="4"/>
        </w:numPr>
        <w:spacing w:after="80" w:line="290"/>
      </w:pPr>
      <w:r>
        <w:rPr>
          <w:rFonts w:ascii="Nunito Sans" w:cs="Nunito Sans" w:eastAsia="Nunito Sans" w:hAnsi="Nunito Sans"/>
          <w:color w:val="102E3B"/>
          <w:sz w:val="20"/>
          <w:szCs w:val="20"/>
        </w:rPr>
        <w:t xml:space="preserve">A code of conduct signed by staff and volunteers, based on the IASC six core principles.</w:t>
      </w:r>
    </w:p>
    <w:p>
      <w:pPr>
        <w:pStyle w:val="ListParagraph"/>
        <w:numPr>
          <w:ilvl w:val="0"/>
          <w:numId w:val="4"/>
        </w:numPr>
        <w:spacing w:after="80" w:line="290"/>
      </w:pPr>
      <w:r>
        <w:rPr>
          <w:rFonts w:ascii="Nunito Sans" w:cs="Nunito Sans" w:eastAsia="Nunito Sans" w:hAnsi="Nunito Sans"/>
          <w:color w:val="102E3B"/>
          <w:sz w:val="20"/>
          <w:szCs w:val="20"/>
        </w:rPr>
        <w:t xml:space="preserve">A fraud and corruption policy, basic financial controls (two people involved in every payment), and a way to report concerns safely.</w:t>
      </w:r>
    </w:p>
    <w:p>
      <w:pPr>
        <w:pStyle w:val="ListParagraph"/>
        <w:numPr>
          <w:ilvl w:val="0"/>
          <w:numId w:val="4"/>
        </w:numPr>
        <w:spacing w:after="80" w:line="290"/>
      </w:pPr>
      <w:r>
        <w:rPr>
          <w:rFonts w:ascii="Nunito Sans" w:cs="Nunito Sans" w:eastAsia="Nunito Sans" w:hAnsi="Nunito Sans"/>
          <w:color w:val="102E3B"/>
          <w:sz w:val="20"/>
          <w:szCs w:val="20"/>
        </w:rPr>
        <w:t xml:space="preserve">A whistleblowing route that does not depend on the person concerned.</w:t>
      </w:r>
    </w:p>
    <w:p>
      <w:pPr>
        <w:pStyle w:val="ListParagraph"/>
        <w:numPr>
          <w:ilvl w:val="0"/>
          <w:numId w:val="4"/>
        </w:numPr>
        <w:spacing w:after="80" w:line="290"/>
      </w:pPr>
      <w:r>
        <w:rPr>
          <w:rFonts w:ascii="Nunito Sans" w:cs="Nunito Sans" w:eastAsia="Nunito Sans" w:hAnsi="Nunito Sans"/>
          <w:color w:val="102E3B"/>
          <w:sz w:val="20"/>
          <w:szCs w:val="20"/>
        </w:rPr>
        <w:t xml:space="preserve">Sanctions screening of the Partner's board, senior staff and main suppliers against the lists in clause 8.4, with results recorded.</w:t>
      </w:r>
    </w:p>
    <w:p>
      <w:pPr>
        <w:pStyle w:val="ListParagraph"/>
        <w:numPr>
          <w:ilvl w:val="0"/>
          <w:numId w:val="4"/>
        </w:numPr>
        <w:spacing w:after="80" w:line="290"/>
      </w:pPr>
      <w:r>
        <w:rPr>
          <w:rFonts w:ascii="Nunito Sans" w:cs="Nunito Sans" w:eastAsia="Nunito Sans" w:hAnsi="Nunito Sans"/>
          <w:color w:val="102E3B"/>
          <w:sz w:val="20"/>
          <w:szCs w:val="20"/>
        </w:rPr>
        <w:t xml:space="preserve">Secure storage of personal data and a named person responsible for data protection.</w:t>
      </w:r>
    </w:p>
    <w:p>
      <w:pPr>
        <w:pStyle w:val="Heading1"/>
        <w:keepNext/>
        <w:spacing w:after="160" w:before="360"/>
      </w:pPr>
      <w:r>
        <w:rPr>
          <w:rFonts w:ascii="DM Serif Display" w:cs="DM Serif Display" w:eastAsia="DM Serif Display" w:hAnsi="DM Serif Display"/>
          <w:color w:val="123C48"/>
          <w:sz w:val="40"/>
          <w:szCs w:val="40"/>
        </w:rPr>
        <w:t xml:space="preserve">Signatures</w:t>
      </w:r>
    </w:p>
    <w:p>
      <w:pPr>
        <w:spacing w:after="120" w:before="0" w:line="300"/>
      </w:pPr>
      <w:r>
        <w:rPr>
          <w:rFonts w:ascii="Nunito Sans" w:cs="Nunito Sans" w:eastAsia="Nunito Sans" w:hAnsi="Nunito Sans"/>
          <w:color w:val="102E3B"/>
          <w:sz w:val="20"/>
          <w:szCs w:val="20"/>
        </w:rPr>
        <w:t xml:space="preserve">Signed by the authorised representatives of the Partners on the dates below.</w:t>
      </w:r>
    </w:p>
    <w:p>
      <w:pPr>
        <w:keepNext/>
        <w:spacing w:after="80" w:before="120"/>
      </w:pPr>
      <w:r>
        <w:rPr>
          <w:rFonts w:ascii="Nunito Sans" w:cs="Nunito Sans" w:eastAsia="Nunito Sans" w:hAnsi="Nunito Sans"/>
          <w:b/>
          <w:bCs/>
          <w:color w:val="16746E"/>
          <w:spacing w:val="30"/>
          <w:sz w:val="15"/>
          <w:szCs w:val="15"/>
        </w:rPr>
        <w:t xml:space="preserve">FOR PARTNER 1</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[Partner 1 legal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FOR PARTNER 2</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[Partner 2 legal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B8D1FA01-5AC2-BDB8-711E-37E6CDCA5584}"/>
  </w:font>
  <w:font w:name="DM Serif Display">
    <w:family w:val="auto"/>
    <w:pitch w:val="variable"/>
    <w:sig w:usb0="E0002AFF" w:usb1="C000247B" w:usb2="00000009" w:usb3="00000000" w:csb0="000001FF" w:csb1="00000000"/>
    <w:embedRegular r:id="rId2" w:fontKey="{DBB3D714-34A0-CD7F-66F2-5313C32646F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Partnership Memorandum of Understanding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PARTNERSHIP MEMORANDUM OF UNDERSTANDING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Memorandum of Understanding</dc:title>
  <dc:creator>Method into Impact</dc:creator>
  <dc:description>A memorandum of understanding (MOU) for two or more organisations working together. It records a shared purpose, who does what and how decisions are made, and states clearly which few commitments are legally binding.</dc:description>
  <cp:lastModifiedBy>Un-named</cp:lastModifiedBy>
  <cp:revision>1</cp:revision>
  <dcterms:created xsi:type="dcterms:W3CDTF">2026-10-29T04:56:20.752Z</dcterms:created>
  <dcterms:modified xsi:type="dcterms:W3CDTF">2026-10-29T04:56:20.752Z</dcterms:modified>
</cp:coreProperties>
</file>

<file path=docProps/custom.xml><?xml version="1.0" encoding="utf-8"?>
<Properties xmlns="http://schemas.openxmlformats.org/officeDocument/2006/custom-properties" xmlns:vt="http://schemas.openxmlformats.org/officeDocument/2006/docPropsVTypes"/>
</file>