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BUYING OR SELLING SERVICES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Services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contract for paid services between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It works both ways: when we buy services from a supplier, and when we sell our own services to a client.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services agreement sets out what will be delivered, by when, for how much, and what happens if things go wrong. Funders and auditors expect one behind every significant payment to a supplier. If you sell services, it protects your income, your tools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clients commissioning your services; suppliers; banks; your board when approving contracts above delegated limits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2–4 hours to adapt the first time; 30–60 minutes for each new contract once the schedules are set up</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Independent Contractor Agreement · Mutual Confidentiality Agreement · Data Sharing Agreement · Procurement Policy · Expenses and Per Diem Policy · Code of Conduct · Safeguarding Policy and Procedure · Fraud, Bribery and Corruption Policy and Procedure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one organisation delivers defined services to another for a fee: an evaluation, training, IT work, research, or a social enterprise selling its consultancy. "The Client" receives and pays for the services; "the Provider" delivers them. Put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the right column. Later boxes show where each side usually pushes.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one individual working mostly for you (use the Independent Contractor Agreement) or for passing grant funds to a partner (use the Sub-grant Agreement).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some clauses, such as limits on liability, may not be enforced everywhere. For contracts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or with high risk,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final version, using the Legal Review Checklist.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CLIENT</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PROVIDER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non-profit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limited company / social enterprise / co-operative]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Each is a "party" and together they are "the parties".</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Client is </w:t>
      </w:r>
      <w:r>
        <w:rPr>
          <w:rFonts w:ascii="Nunito Sans" w:cs="Nunito Sans" w:eastAsia="Nunito Sans" w:hAnsi="Nunito Sans"/>
          <w:color w:val="102E3B"/>
          <w:sz w:val="20"/>
          <w:szCs w:val="20"/>
          <w:highlight w:val="yellow"/>
        </w:rPr>
        <w:t xml:space="preserve">[a short description, e.g. a non-profit organisation that supports women-led farming co-operatives in X region]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Client wishes to obtain </w:t>
      </w:r>
      <w:r>
        <w:rPr>
          <w:rFonts w:ascii="Nunito Sans" w:cs="Nunito Sans" w:eastAsia="Nunito Sans" w:hAnsi="Nunito Sans"/>
          <w:color w:val="102E3B"/>
          <w:sz w:val="20"/>
          <w:szCs w:val="20"/>
          <w:highlight w:val="yellow"/>
        </w:rPr>
        <w:t xml:space="preserve">[e.g. a mid-term evaluation of its youth employment programme]</w:t>
      </w:r>
      <w:r>
        <w:rPr>
          <w:rFonts w:ascii="Nunito Sans" w:cs="Nunito Sans" w:eastAsia="Nunito Sans" w:hAnsi="Nunito Sans"/>
          <w:color w:val="102E3B"/>
          <w:sz w:val="20"/>
          <w:szCs w:val="20"/>
        </w:rPr>
        <w:t xml:space="preserve">. The Provider has the skills to provide it </w:t>
      </w:r>
      <w:r>
        <w:rPr>
          <w:rFonts w:ascii="Nunito Sans" w:cs="Nunito Sans" w:eastAsia="Nunito Sans" w:hAnsi="Nunito Sans"/>
          <w:color w:val="102E3B"/>
          <w:sz w:val="20"/>
          <w:szCs w:val="20"/>
          <w:highlight w:val="yellow"/>
        </w:rPr>
        <w:t xml:space="preserve">[and was selected through the Client's procurement process on 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Acceptance Criteria</w:t>
      </w:r>
      <w:r>
        <w:rPr>
          <w:rFonts w:ascii="Nunito Sans" w:cs="Nunito Sans" w:eastAsia="Nunito Sans" w:hAnsi="Nunito Sans"/>
          <w:color w:val="102E3B"/>
          <w:sz w:val="20"/>
          <w:szCs w:val="20"/>
        </w:rPr>
        <w:t xml:space="preserve"> means the criteria for each Deliverable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Charges</w:t>
      </w:r>
      <w:r>
        <w:rPr>
          <w:rFonts w:ascii="Nunito Sans" w:cs="Nunito Sans" w:eastAsia="Nunito Sans" w:hAnsi="Nunito Sans"/>
          <w:color w:val="102E3B"/>
          <w:sz w:val="20"/>
          <w:szCs w:val="20"/>
        </w:rPr>
        <w:t xml:space="preserve"> means the fees and reimbursable expenses in Schedule 2.</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shared under this agreement that is marked confidential or that a reasonable person would see as confidential, including personal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[e.g. the Kenya Data Protection Act 2019 / the EU or UK General Data Protection Regulation (GDPR)]</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the outputs listed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Intellectual Property Rights</w:t>
      </w:r>
      <w:r>
        <w:rPr>
          <w:rFonts w:ascii="Nunito Sans" w:cs="Nunito Sans" w:eastAsia="Nunito Sans" w:hAnsi="Nunito Sans"/>
          <w:color w:val="102E3B"/>
          <w:sz w:val="20"/>
          <w:szCs w:val="20"/>
        </w:rPr>
        <w:t xml:space="preserve"> means copyright, trade marks, designs, database rights, patents, rights in know-how and similar rights anywhere in the world.</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Personnel</w:t>
      </w:r>
      <w:r>
        <w:rPr>
          <w:rFonts w:ascii="Nunito Sans" w:cs="Nunito Sans" w:eastAsia="Nunito Sans" w:hAnsi="Nunito Sans"/>
          <w:color w:val="102E3B"/>
          <w:sz w:val="20"/>
          <w:szCs w:val="20"/>
        </w:rPr>
        <w:t xml:space="preserve"> means a party's staff, volunteers and subcontractors.</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services in Schedule 1, as changed under clause 6.</w:t>
      </w:r>
    </w:p>
    <w:p>
      <w:pPr>
        <w:pStyle w:val="ListParagraph"/>
        <w:numPr>
          <w:ilvl w:val="0"/>
          <w:numId w:val="4"/>
        </w:numPr>
        <w:spacing w:after="80" w:line="290"/>
      </w:pPr>
      <w:r>
        <w:rPr>
          <w:rFonts w:ascii="Nunito Sans" w:cs="Nunito Sans" w:eastAsia="Nunito Sans" w:hAnsi="Nunito Sans"/>
          <w:color w:val="102E3B"/>
          <w:sz w:val="20"/>
          <w:szCs w:val="20"/>
        </w:rPr>
        <w:t xml:space="preserve">"Clause 6.3" means paragraph 3 of clause 6. The schedules form part of this agreement. If a clause conflicts with a schedule, the clause prevails, except that Schedule 3 prevails on personal data.</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 but not </w:t>
      </w:r>
      <w:r>
        <w:rPr>
          <w:rFonts w:ascii="Nunito Sans" w:cs="Nunito Sans" w:eastAsia="Nunito Sans" w:hAnsi="Nunito Sans"/>
          <w:color w:val="102E3B"/>
          <w:sz w:val="20"/>
          <w:szCs w:val="20"/>
          <w:highlight w:val="yellow"/>
        </w:rPr>
        <w:t xml:space="preserve">[instant or text messages]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Term</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 / 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It continues until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until the Services are complete and paid for, unless it ends earlier under clause 19 or is extended by a change note.</w:t>
      </w:r>
    </w:p>
    <w:p>
      <w:pPr>
        <w:pStyle w:val="Heading2"/>
        <w:keepNext/>
        <w:spacing w:after="120" w:before="280"/>
      </w:pPr>
      <w:r>
        <w:rPr>
          <w:rFonts w:ascii="DM Serif Display" w:cs="DM Serif Display" w:eastAsia="DM Serif Display" w:hAnsi="DM Serif Display"/>
          <w:color w:val="123C48"/>
          <w:sz w:val="28"/>
          <w:szCs w:val="28"/>
        </w:rPr>
        <w:t xml:space="preserve">3. The Services</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provide the Services and Deliverables in Schedule 1, by the dates set out there, using its own equipment unless Schedule 1 says otherwise.</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work with reasonable skill, care and diligence, in line with good practice in </w:t>
      </w:r>
      <w:r>
        <w:rPr>
          <w:rFonts w:ascii="Nunito Sans" w:cs="Nunito Sans" w:eastAsia="Nunito Sans" w:hAnsi="Nunito Sans"/>
          <w:color w:val="102E3B"/>
          <w:sz w:val="20"/>
          <w:szCs w:val="20"/>
          <w:highlight w:val="yellow"/>
        </w:rPr>
        <w:t xml:space="preserve">[sector, e.g. evaluation / IT services]</w:t>
      </w:r>
      <w:r>
        <w:rPr>
          <w:rFonts w:ascii="Nunito Sans" w:cs="Nunito Sans" w:eastAsia="Nunito Sans" w:hAnsi="Nunito Sans"/>
          <w:color w:val="102E3B"/>
          <w:sz w:val="20"/>
          <w:szCs w:val="20"/>
        </w:rPr>
        <w:t xml:space="preserve">, using suitably qualified Personnel.</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not replace key Personnel named in Schedule 1 without the Client's consent, not to be unreasonably withheld.</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tell the Client in writing as soon as it expects a delay, with the cause and a likely new date.</w:t>
      </w:r>
    </w:p>
    <w:p>
      <w:pPr>
        <w:pStyle w:val="Heading2"/>
        <w:keepNext/>
        <w:spacing w:after="120" w:before="280"/>
      </w:pPr>
      <w:r>
        <w:rPr>
          <w:rFonts w:ascii="DM Serif Display" w:cs="DM Serif Display" w:eastAsia="DM Serif Display" w:hAnsi="DM Serif Display"/>
          <w:color w:val="123C48"/>
          <w:sz w:val="28"/>
          <w:szCs w:val="28"/>
        </w:rPr>
        <w:t xml:space="preserve">4. The Client's responsibilities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provide on time the information, access, decisions, staff time and facilities listed in Schedule 1 as Client inputs, and make sure they are accurate as far as it knows.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name a contract manager who can make day-to-day decisions.</w:t>
      </w:r>
    </w:p>
    <w:p>
      <w:pPr>
        <w:pStyle w:val="ListParagraph"/>
        <w:numPr>
          <w:ilvl w:val="0"/>
          <w:numId w:val="7"/>
        </w:numPr>
        <w:spacing w:after="80" w:line="290"/>
      </w:pPr>
      <w:r>
        <w:rPr>
          <w:rFonts w:ascii="Nunito Sans" w:cs="Nunito Sans" w:eastAsia="Nunito Sans" w:hAnsi="Nunito Sans"/>
          <w:color w:val="102E3B"/>
          <w:sz w:val="20"/>
          <w:szCs w:val="20"/>
        </w:rPr>
        <w:t xml:space="preserve">If a Client delay prevents the Provider from performing, the Provider is not in breach and gets a reasonable extension and any extra costs agreed under clause 6.</w:t>
      </w:r>
    </w:p>
    <w:p>
      <w:pPr>
        <w:pStyle w:val="Heading2"/>
        <w:keepNext/>
        <w:spacing w:after="120" w:before="280"/>
      </w:pPr>
      <w:r>
        <w:rPr>
          <w:rFonts w:ascii="DM Serif Display" w:cs="DM Serif Display" w:eastAsia="DM Serif Display" w:hAnsi="DM Serif Display"/>
          <w:color w:val="123C48"/>
          <w:sz w:val="28"/>
          <w:szCs w:val="28"/>
        </w:rPr>
        <w:t xml:space="preserve">5. Acceptance</w:t>
      </w:r>
    </w:p>
    <w:p>
      <w:pPr>
        <w:pStyle w:val="ListParagraph"/>
        <w:numPr>
          <w:ilvl w:val="0"/>
          <w:numId w:val="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a Deliverable, the Client will accept it in writing or reject it with written reasons that refer to the Acceptance Criteria.</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it, the Provider will correct and resubmit it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at no extra charge, and clause 5.1 applies again.</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the same Deliverable </w:t>
      </w:r>
      <w:r>
        <w:rPr>
          <w:rFonts w:ascii="Nunito Sans" w:cs="Nunito Sans" w:eastAsia="Nunito Sans" w:hAnsi="Nunito Sans"/>
          <w:color w:val="102E3B"/>
          <w:sz w:val="20"/>
          <w:szCs w:val="20"/>
          <w:highlight w:val="yellow"/>
        </w:rPr>
        <w:t xml:space="preserve">[twice]</w:t>
      </w:r>
      <w:r>
        <w:rPr>
          <w:rFonts w:ascii="Nunito Sans" w:cs="Nunito Sans" w:eastAsia="Nunito Sans" w:hAnsi="Nunito Sans"/>
          <w:color w:val="102E3B"/>
          <w:sz w:val="20"/>
          <w:szCs w:val="20"/>
        </w:rPr>
        <w:t xml:space="preserve"> for substantially the same reasons, it may accept it with a fair, agreed reduction in the Charges, or end this agreement under clause 19.3.</w:t>
      </w:r>
    </w:p>
    <w:p>
      <w:pPr>
        <w:pStyle w:val="ListParagraph"/>
        <w:numPr>
          <w:ilvl w:val="0"/>
          <w:numId w:val="8"/>
        </w:numPr>
        <w:spacing w:after="80" w:line="290"/>
      </w:pPr>
      <w:r>
        <w:rPr>
          <w:rFonts w:ascii="Nunito Sans" w:cs="Nunito Sans" w:eastAsia="Nunito Sans" w:hAnsi="Nunito Sans"/>
          <w:color w:val="102E3B"/>
          <w:sz w:val="20"/>
          <w:szCs w:val="20"/>
        </w:rPr>
        <w:t xml:space="preserve">A Deliverable is treated as accepted if the Client does not respond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 written reminder sent after the period in clause 5.1, or when the Client uses it in its work other than for review.</w:t>
      </w:r>
    </w:p>
    <w:p>
      <w:pPr>
        <w:pStyle w:val="ListParagraph"/>
        <w:numPr>
          <w:ilvl w:val="0"/>
          <w:numId w:val="8"/>
        </w:numPr>
        <w:spacing w:after="80" w:line="290"/>
      </w:pPr>
      <w:r>
        <w:rPr>
          <w:rFonts w:ascii="Nunito Sans" w:cs="Nunito Sans" w:eastAsia="Nunito Sans" w:hAnsi="Nunito Sans"/>
          <w:color w:val="102E3B"/>
          <w:sz w:val="20"/>
          <w:szCs w:val="20"/>
        </w:rPr>
        <w:t xml:space="preserve">Acceptance does not affect the Client's rights under clause 10.4 for hidden defects.</w:t>
      </w:r>
    </w:p>
    <w:p>
      <w:pPr>
        <w:pStyle w:val="Heading2"/>
        <w:keepNext/>
        <w:spacing w:after="120" w:before="280"/>
      </w:pPr>
      <w:r>
        <w:rPr>
          <w:rFonts w:ascii="DM Serif Display" w:cs="DM Serif Display" w:eastAsia="DM Serif Display" w:hAnsi="DM Serif Display"/>
          <w:color w:val="123C48"/>
          <w:sz w:val="28"/>
          <w:szCs w:val="28"/>
        </w:rPr>
        <w:t xml:space="preserve">6. Changes</w:t>
      </w:r>
    </w:p>
    <w:p>
      <w:pPr>
        <w:pStyle w:val="ListParagraph"/>
        <w:numPr>
          <w:ilvl w:val="0"/>
          <w:numId w:val="9"/>
        </w:numPr>
        <w:spacing w:after="80" w:line="290"/>
      </w:pPr>
      <w:r>
        <w:rPr>
          <w:rFonts w:ascii="Nunito Sans" w:cs="Nunito Sans" w:eastAsia="Nunito Sans" w:hAnsi="Nunito Sans"/>
          <w:color w:val="102E3B"/>
          <w:sz w:val="20"/>
          <w:szCs w:val="20"/>
        </w:rPr>
        <w:t xml:space="preserve">Either party may ask in writing for a change.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the Provider will set out its effect on the Deliverables, timetable and Charges.</w:t>
      </w:r>
    </w:p>
    <w:p>
      <w:pPr>
        <w:pStyle w:val="ListParagraph"/>
        <w:numPr>
          <w:ilvl w:val="0"/>
          <w:numId w:val="9"/>
        </w:numPr>
        <w:spacing w:after="80" w:line="290"/>
      </w:pPr>
      <w:r>
        <w:rPr>
          <w:rFonts w:ascii="Nunito Sans" w:cs="Nunito Sans" w:eastAsia="Nunito Sans" w:hAnsi="Nunito Sans"/>
          <w:color w:val="102E3B"/>
          <w:sz w:val="20"/>
          <w:szCs w:val="20"/>
        </w:rPr>
        <w:t xml:space="preserve">A change is binding only when both parties sign a change note in the form in Schedule 2. Neither party must perform, or pay for, out-of-scope work without one.</w:t>
      </w:r>
    </w:p>
    <w:p>
      <w:pPr>
        <w:pStyle w:val="ListParagraph"/>
        <w:numPr>
          <w:ilvl w:val="0"/>
          <w:numId w:val="9"/>
        </w:numPr>
        <w:spacing w:after="80" w:line="290"/>
      </w:pPr>
      <w:r>
        <w:rPr>
          <w:rFonts w:ascii="Nunito Sans" w:cs="Nunito Sans" w:eastAsia="Nunito Sans" w:hAnsi="Nunito Sans"/>
          <w:color w:val="102E3B"/>
          <w:sz w:val="20"/>
          <w:szCs w:val="20"/>
        </w:rPr>
        <w:t xml:space="preserve">The contract managers may agree by email small changes that do not affect the Charges, the end date or the Acceptance Criteria.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ACCEPTANCE AND CHANGE CONTROL</w:t>
            </w:r>
          </w:p>
          <w:p>
            <w:pPr>
              <w:spacing w:after="120" w:before="0" w:line="300"/>
            </w:pPr>
            <w:r>
              <w:rPr>
                <w:rFonts w:ascii="Nunito Sans" w:cs="Nunito Sans" w:eastAsia="Nunito Sans" w:hAnsi="Nunito Sans"/>
                <w:color w:val="102E3B"/>
                <w:sz w:val="19"/>
                <w:szCs w:val="19"/>
              </w:rPr>
              <w:t xml:space="preserve">Make the Acceptance Criteria in Schedule 1 concrete.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allow enough review time for your team and any funder that must approve.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keep deemed acceptance in clause 5.4; without it, a client can delay payment by not replying. Limit the review rounds included in the price (two is common) and price extra rounds through clause 6.</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Charges and payment</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the Charges in Schedule 2. They are </w:t>
      </w:r>
      <w:r>
        <w:rPr>
          <w:rFonts w:ascii="Nunito Sans" w:cs="Nunito Sans" w:eastAsia="Nunito Sans" w:hAnsi="Nunito Sans"/>
          <w:color w:val="102E3B"/>
          <w:sz w:val="20"/>
          <w:szCs w:val="20"/>
          <w:highlight w:val="yellow"/>
        </w:rPr>
        <w:t xml:space="preserve">[a fixed price / daily rates up to a maximum]</w:t>
      </w:r>
      <w:r>
        <w:rPr>
          <w:rFonts w:ascii="Nunito Sans" w:cs="Nunito Sans" w:eastAsia="Nunito Sans" w:hAnsi="Nunito Sans"/>
          <w:color w:val="102E3B"/>
          <w:sz w:val="20"/>
          <w:szCs w:val="20"/>
        </w:rPr>
        <w:t xml:space="preserve">, and the total will not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without a signed change note.</w:t>
      </w:r>
    </w:p>
    <w:p>
      <w:pPr>
        <w:pStyle w:val="ListParagraph"/>
        <w:numPr>
          <w:ilvl w:val="0"/>
          <w:numId w:val="10"/>
        </w:numPr>
        <w:spacing w:after="80" w:line="290"/>
      </w:pPr>
      <w:r>
        <w:rPr>
          <w:rFonts w:ascii="Nunito Sans" w:cs="Nunito Sans" w:eastAsia="Nunito Sans" w:hAnsi="Nunito Sans"/>
          <w:color w:val="102E3B"/>
          <w:sz w:val="20"/>
          <w:szCs w:val="20"/>
        </w:rPr>
        <w:t xml:space="preserve">The Provider will invoice </w:t>
      </w:r>
      <w:r>
        <w:rPr>
          <w:rFonts w:ascii="Nunito Sans" w:cs="Nunito Sans" w:eastAsia="Nunito Sans" w:hAnsi="Nunito Sans"/>
          <w:color w:val="102E3B"/>
          <w:sz w:val="20"/>
          <w:szCs w:val="20"/>
          <w:highlight w:val="yellow"/>
        </w:rPr>
        <w:t xml:space="preserve">[on acceptance of each Deliverable / monthly in arrears]</w:t>
      </w:r>
      <w:r>
        <w:rPr>
          <w:rFonts w:ascii="Nunito Sans" w:cs="Nunito Sans" w:eastAsia="Nunito Sans" w:hAnsi="Nunito Sans"/>
          <w:color w:val="102E3B"/>
          <w:sz w:val="20"/>
          <w:szCs w:val="20"/>
        </w:rPr>
        <w:t xml:space="preserve">, quoting this agreement's reference and </w:t>
      </w:r>
      <w:r>
        <w:rPr>
          <w:rFonts w:ascii="Nunito Sans" w:cs="Nunito Sans" w:eastAsia="Nunito Sans" w:hAnsi="Nunito Sans"/>
          <w:color w:val="102E3B"/>
          <w:sz w:val="20"/>
          <w:szCs w:val="20"/>
          <w:highlight w:val="yellow"/>
        </w:rPr>
        <w:t xml:space="preserve">[the purchase order number]</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each correct, undisputed invoice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receipt,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into the Provider's account in Schedule 2. Each party pays its own bank charges.</w:t>
      </w:r>
    </w:p>
    <w:p>
      <w:pPr>
        <w:pStyle w:val="ListParagraph"/>
        <w:numPr>
          <w:ilvl w:val="0"/>
          <w:numId w:val="10"/>
        </w:numPr>
        <w:spacing w:after="80" w:line="290"/>
      </w:pPr>
      <w:r>
        <w:rPr>
          <w:rFonts w:ascii="Nunito Sans" w:cs="Nunito Sans" w:eastAsia="Nunito Sans" w:hAnsi="Nunito Sans"/>
          <w:color w:val="102E3B"/>
          <w:sz w:val="20"/>
          <w:szCs w:val="20"/>
        </w:rPr>
        <w:t xml:space="preserve">If the Client disputes an invoice in good faith, it will say why in writing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pay the undisputed part on time. Late undisputed payments carry interest at </w:t>
      </w:r>
      <w:r>
        <w:rPr>
          <w:rFonts w:ascii="Nunito Sans" w:cs="Nunito Sans" w:eastAsia="Nunito Sans" w:hAnsi="Nunito Sans"/>
          <w:color w:val="102E3B"/>
          <w:sz w:val="20"/>
          <w:szCs w:val="20"/>
          <w:highlight w:val="yellow"/>
        </w:rPr>
        <w:t xml:space="preserve">[X% a year above the central bank rate / the rate set by law]</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[Optional: The Client will pay an advance of X% of the Charges within 10 Business Days of the Effective Date, deducted from later invoices.]</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confirm any change of bank account by telephone with the Provider's contract manager, on the number in this agreement, before paying into it.</w:t>
      </w:r>
    </w:p>
    <w:p>
      <w:pPr>
        <w:pStyle w:val="Heading2"/>
        <w:keepNext/>
        <w:spacing w:after="120" w:before="280"/>
      </w:pPr>
      <w:r>
        <w:rPr>
          <w:rFonts w:ascii="DM Serif Display" w:cs="DM Serif Display" w:eastAsia="DM Serif Display" w:hAnsi="DM Serif Display"/>
          <w:color w:val="123C48"/>
          <w:sz w:val="28"/>
          <w:szCs w:val="28"/>
        </w:rPr>
        <w:t xml:space="preserve">8. Expenses</w:t>
      </w:r>
    </w:p>
    <w:p>
      <w:pPr>
        <w:pStyle w:val="ListParagraph"/>
        <w:numPr>
          <w:ilvl w:val="0"/>
          <w:numId w:val="11"/>
        </w:numPr>
        <w:spacing w:after="80" w:line="290"/>
      </w:pPr>
      <w:r>
        <w:rPr>
          <w:rFonts w:ascii="Nunito Sans" w:cs="Nunito Sans" w:eastAsia="Nunito Sans" w:hAnsi="Nunito Sans"/>
          <w:color w:val="102E3B"/>
          <w:sz w:val="20"/>
          <w:szCs w:val="20"/>
        </w:rPr>
        <w:t xml:space="preserve">The Charges include all the Provider's costs, except expenses that Schedule 2 lists as reimbursable. The Client will reimburse those only if they are necessary, approved in writing in advance </w:t>
      </w:r>
      <w:r>
        <w:rPr>
          <w:rFonts w:ascii="Nunito Sans" w:cs="Nunito Sans" w:eastAsia="Nunito Sans" w:hAnsi="Nunito Sans"/>
          <w:color w:val="102E3B"/>
          <w:sz w:val="20"/>
          <w:szCs w:val="20"/>
          <w:highlight w:val="yellow"/>
        </w:rPr>
        <w:t xml:space="preserve">[when above amount]</w:t>
      </w:r>
      <w:r>
        <w:rPr>
          <w:rFonts w:ascii="Nunito Sans" w:cs="Nunito Sans" w:eastAsia="Nunito Sans" w:hAnsi="Nunito Sans"/>
          <w:color w:val="102E3B"/>
          <w:sz w:val="20"/>
          <w:szCs w:val="20"/>
        </w:rPr>
        <w:t xml:space="preserve">, in line with </w:t>
      </w:r>
      <w:r>
        <w:rPr>
          <w:rFonts w:ascii="Nunito Sans" w:cs="Nunito Sans" w:eastAsia="Nunito Sans" w:hAnsi="Nunito Sans"/>
          <w:color w:val="102E3B"/>
          <w:sz w:val="20"/>
          <w:szCs w:val="20"/>
          <w:highlight w:val="yellow"/>
        </w:rPr>
        <w:t xml:space="preserve">[the Client's Expenses and Per Diem Policy]</w:t>
      </w:r>
      <w:r>
        <w:rPr>
          <w:rFonts w:ascii="Nunito Sans" w:cs="Nunito Sans" w:eastAsia="Nunito Sans" w:hAnsi="Nunito Sans"/>
          <w:color w:val="102E3B"/>
          <w:sz w:val="20"/>
          <w:szCs w:val="20"/>
        </w:rPr>
        <w:t xml:space="preserve">, supported by receipts and invoiced within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with no mark-up.</w:t>
      </w:r>
    </w:p>
    <w:p>
      <w:pPr>
        <w:pStyle w:val="Heading2"/>
        <w:keepNext/>
        <w:spacing w:after="120" w:before="280"/>
      </w:pPr>
      <w:r>
        <w:rPr>
          <w:rFonts w:ascii="DM Serif Display" w:cs="DM Serif Display" w:eastAsia="DM Serif Display" w:hAnsi="DM Serif Display"/>
          <w:color w:val="123C48"/>
          <w:sz w:val="28"/>
          <w:szCs w:val="28"/>
        </w:rPr>
        <w:t xml:space="preserve">9. Taxes</w:t>
      </w:r>
    </w:p>
    <w:p>
      <w:pPr>
        <w:pStyle w:val="ListParagraph"/>
        <w:numPr>
          <w:ilvl w:val="0"/>
          <w:numId w:val="12"/>
        </w:numPr>
        <w:spacing w:after="80" w:line="290"/>
      </w:pPr>
      <w:r>
        <w:rPr>
          <w:rFonts w:ascii="Nunito Sans" w:cs="Nunito Sans" w:eastAsia="Nunito Sans" w:hAnsi="Nunito Sans"/>
          <w:color w:val="102E3B"/>
          <w:sz w:val="20"/>
          <w:szCs w:val="20"/>
        </w:rPr>
        <w:t xml:space="preserve">The Charges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value added tax (VAT) or similar taxes. Where VAT is due on top, the Client will pay it against a valid tax invoice.</w:t>
      </w:r>
    </w:p>
    <w:p>
      <w:pPr>
        <w:pStyle w:val="ListParagraph"/>
        <w:numPr>
          <w:ilvl w:val="0"/>
          <w:numId w:val="12"/>
        </w:numPr>
        <w:spacing w:after="80" w:line="290"/>
      </w:pPr>
      <w:r>
        <w:rPr>
          <w:rFonts w:ascii="Nunito Sans" w:cs="Nunito Sans" w:eastAsia="Nunito Sans" w:hAnsi="Nunito Sans"/>
          <w:color w:val="102E3B"/>
          <w:sz w:val="20"/>
          <w:szCs w:val="20"/>
        </w:rPr>
        <w:t xml:space="preserve">The Provider is responsible for the income tax, social security and other payments due for itself and its Personnel.</w:t>
      </w:r>
    </w:p>
    <w:p>
      <w:pPr>
        <w:pStyle w:val="ListParagraph"/>
        <w:numPr>
          <w:ilvl w:val="0"/>
          <w:numId w:val="12"/>
        </w:numPr>
        <w:spacing w:after="80" w:line="290"/>
      </w:pPr>
      <w:r>
        <w:rPr>
          <w:rFonts w:ascii="Nunito Sans" w:cs="Nunito Sans" w:eastAsia="Nunito Sans" w:hAnsi="Nunito Sans"/>
          <w:color w:val="102E3B"/>
          <w:sz w:val="20"/>
          <w:szCs w:val="20"/>
        </w:rPr>
        <w:t xml:space="preserve">If the law requires the Client to withhold tax from a payment, the Client will pay it to the tax authority on time and give the Provider the official receipt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The Charges </w:t>
      </w:r>
      <w:r>
        <w:rPr>
          <w:rFonts w:ascii="Nunito Sans" w:cs="Nunito Sans" w:eastAsia="Nunito Sans" w:hAnsi="Nunito Sans"/>
          <w:color w:val="102E3B"/>
          <w:sz w:val="20"/>
          <w:szCs w:val="20"/>
          <w:highlight w:val="yellow"/>
        </w:rPr>
        <w:t xml:space="preserve">[will / will not]</w:t>
      </w:r>
      <w:r>
        <w:rPr>
          <w:rFonts w:ascii="Nunito Sans" w:cs="Nunito Sans" w:eastAsia="Nunito Sans" w:hAnsi="Nunito Sans"/>
          <w:color w:val="102E3B"/>
          <w:sz w:val="20"/>
          <w:szCs w:val="20"/>
        </w:rPr>
        <w:t xml:space="preserve"> be increased to cover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 EXPENSES AND TAX</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tie payments to accepted Deliverables, hold back </w:t>
            </w:r>
            <w:r>
              <w:rPr>
                <w:rFonts w:ascii="Nunito Sans" w:cs="Nunito Sans" w:eastAsia="Nunito Sans" w:hAnsi="Nunito Sans"/>
                <w:color w:val="102E3B"/>
                <w:sz w:val="19"/>
                <w:szCs w:val="19"/>
                <w:highlight w:val="yellow"/>
              </w:rPr>
              <w:t xml:space="preserve">[10–20]</w:t>
            </w:r>
            <w:r>
              <w:rPr>
                <w:rFonts w:ascii="Nunito Sans" w:cs="Nunito Sans" w:eastAsia="Nunito Sans" w:hAnsi="Nunito Sans"/>
                <w:color w:val="102E3B"/>
                <w:sz w:val="19"/>
                <w:szCs w:val="19"/>
              </w:rPr>
              <w:t xml:space="preserve">% until the last one, and check that your funder allows advances.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an advance (20–30% is common for small providers) and interest on late payment.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some laws set interest on late business payments, for example the UK Late Payment of Commercial Debts (Interest) Act 1998. Many countries, including Kenya, Nigeria, Ghana, India and Peru, require the payer to withhold tax from service fees. Rates, non-profit exemptions and treaty rates change often: check with a tax adviser, and agree whether fees are "gross" (tax comes out of them) or "net" (paid on top).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Warranties</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confirms that it has the authority to enter into this agreement.</w:t>
      </w:r>
    </w:p>
    <w:p>
      <w:pPr>
        <w:pStyle w:val="ListParagraph"/>
        <w:numPr>
          <w:ilvl w:val="0"/>
          <w:numId w:val="13"/>
        </w:numPr>
        <w:spacing w:after="80" w:line="290"/>
      </w:pPr>
      <w:r>
        <w:rPr>
          <w:rFonts w:ascii="Nunito Sans" w:cs="Nunito Sans" w:eastAsia="Nunito Sans" w:hAnsi="Nunito Sans"/>
          <w:color w:val="102E3B"/>
          <w:sz w:val="20"/>
          <w:szCs w:val="20"/>
        </w:rPr>
        <w:t xml:space="preserve">The Provider confirms that it holds the licences needed for the Services; that the Deliverables will not infringe anyone's Intellectual Property Rights; and that the information it gave during selection was true.</w:t>
      </w:r>
    </w:p>
    <w:p>
      <w:pPr>
        <w:pStyle w:val="ListParagraph"/>
        <w:numPr>
          <w:ilvl w:val="0"/>
          <w:numId w:val="13"/>
        </w:numPr>
        <w:spacing w:after="80" w:line="290"/>
      </w:pPr>
      <w:r>
        <w:rPr>
          <w:rFonts w:ascii="Nunito Sans" w:cs="Nunito Sans" w:eastAsia="Nunito Sans" w:hAnsi="Nunito Sans"/>
          <w:color w:val="102E3B"/>
          <w:sz w:val="20"/>
          <w:szCs w:val="20"/>
        </w:rPr>
        <w:t xml:space="preserve">The Client confirms that it may lawfully share the materials it provides.</w:t>
      </w:r>
    </w:p>
    <w:p>
      <w:pPr>
        <w:pStyle w:val="ListParagraph"/>
        <w:numPr>
          <w:ilvl w:val="0"/>
          <w:numId w:val="13"/>
        </w:numPr>
        <w:spacing w:after="80" w:line="290"/>
      </w:pPr>
      <w:r>
        <w:rPr>
          <w:rFonts w:ascii="Nunito Sans" w:cs="Nunito Sans" w:eastAsia="Nunito Sans" w:hAnsi="Nunito Sans"/>
          <w:color w:val="102E3B"/>
          <w:sz w:val="20"/>
          <w:szCs w:val="20"/>
        </w:rPr>
        <w:t xml:space="preserve">If,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after acceptance, a Deliverable is found not to meet this agreement, the Provider will correct it at its own cost.</w:t>
      </w:r>
    </w:p>
    <w:p>
      <w:pPr>
        <w:pStyle w:val="Heading2"/>
        <w:keepNext/>
        <w:spacing w:after="120" w:before="280"/>
      </w:pPr>
      <w:r>
        <w:rPr>
          <w:rFonts w:ascii="DM Serif Display" w:cs="DM Serif Display" w:eastAsia="DM Serif Display" w:hAnsi="DM Serif Display"/>
          <w:color w:val="123C48"/>
          <w:sz w:val="28"/>
          <w:szCs w:val="28"/>
        </w:rPr>
        <w:t xml:space="preserve">11.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other's Confidential Information confidential and use it only for this agreement.</w:t>
      </w:r>
    </w:p>
    <w:p>
      <w:pPr>
        <w:pStyle w:val="ListParagraph"/>
        <w:numPr>
          <w:ilvl w:val="0"/>
          <w:numId w:val="14"/>
        </w:numPr>
        <w:spacing w:after="80" w:line="290"/>
      </w:pPr>
      <w:r>
        <w:rPr>
          <w:rFonts w:ascii="Nunito Sans" w:cs="Nunito Sans" w:eastAsia="Nunito Sans" w:hAnsi="Nunito Sans"/>
          <w:color w:val="102E3B"/>
          <w:sz w:val="20"/>
          <w:szCs w:val="20"/>
        </w:rPr>
        <w:t xml:space="preserve">A party may share it only with Personnel, advisers, auditors </w:t>
      </w:r>
      <w:r>
        <w:rPr>
          <w:rFonts w:ascii="Nunito Sans" w:cs="Nunito Sans" w:eastAsia="Nunito Sans" w:hAnsi="Nunito Sans"/>
          <w:color w:val="102E3B"/>
          <w:sz w:val="20"/>
          <w:szCs w:val="20"/>
          <w:highlight w:val="yellow"/>
        </w:rPr>
        <w:t xml:space="preserve">[and funders]</w:t>
      </w:r>
      <w:r>
        <w:rPr>
          <w:rFonts w:ascii="Nunito Sans" w:cs="Nunito Sans" w:eastAsia="Nunito Sans" w:hAnsi="Nunito Sans"/>
          <w:color w:val="102E3B"/>
          <w:sz w:val="20"/>
          <w:szCs w:val="20"/>
        </w:rPr>
        <w:t xml:space="preserve"> who need it and who are bound by similar duties of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This clause does not cover information that becomes public through no fault of the receiving party, or that it already held, develops independently or receives lawfully from someone else. A party may disclose what the law or a regulator requires, telling the other first where lawful.</w:t>
      </w:r>
    </w:p>
    <w:p>
      <w:pPr>
        <w:pStyle w:val="ListParagraph"/>
        <w:numPr>
          <w:ilvl w:val="0"/>
          <w:numId w:val="14"/>
        </w:numPr>
        <w:spacing w:after="80" w:line="290"/>
      </w:pPr>
      <w:r>
        <w:rPr>
          <w:rFonts w:ascii="Nunito Sans" w:cs="Nunito Sans" w:eastAsia="Nunito Sans" w:hAnsi="Nunito Sans"/>
          <w:color w:val="102E3B"/>
          <w:sz w:val="20"/>
          <w:szCs w:val="20"/>
        </w:rPr>
        <w:t xml:space="preserve">The Client may share this agreement and the Deliverables with its funders, auditors and regulators, and publish the Deliverables as stated in Schedule 1.</w:t>
      </w:r>
    </w:p>
    <w:p>
      <w:pPr>
        <w:pStyle w:val="ListParagraph"/>
        <w:numPr>
          <w:ilvl w:val="0"/>
          <w:numId w:val="14"/>
        </w:numPr>
        <w:spacing w:after="80" w:line="290"/>
      </w:pPr>
      <w:r>
        <w:rPr>
          <w:rFonts w:ascii="Nunito Sans" w:cs="Nunito Sans" w:eastAsia="Nunito Sans" w:hAnsi="Nunito Sans"/>
          <w:color w:val="102E3B"/>
          <w:sz w:val="20"/>
          <w:szCs w:val="20"/>
        </w:rPr>
        <w:t xml:space="preserve">These duties continue for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years after this agreement ends, and without time limit for personal data, safeguarding information and trade secrets.</w:t>
      </w:r>
    </w:p>
    <w:p>
      <w:pPr>
        <w:pStyle w:val="Heading2"/>
        <w:keepNext/>
        <w:spacing w:after="120" w:before="280"/>
      </w:pPr>
      <w:r>
        <w:rPr>
          <w:rFonts w:ascii="DM Serif Display" w:cs="DM Serif Display" w:eastAsia="DM Serif Display" w:hAnsi="DM Serif Display"/>
          <w:color w:val="123C48"/>
          <w:sz w:val="28"/>
          <w:szCs w:val="28"/>
        </w:rPr>
        <w:t xml:space="preserve">12. Data protection</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comply with Data Protection Law.</w:t>
      </w:r>
    </w:p>
    <w:p>
      <w:pPr>
        <w:pStyle w:val="ListParagraph"/>
        <w:numPr>
          <w:ilvl w:val="0"/>
          <w:numId w:val="15"/>
        </w:numPr>
        <w:spacing w:after="80" w:line="290"/>
      </w:pPr>
      <w:r>
        <w:rPr>
          <w:rFonts w:ascii="Nunito Sans" w:cs="Nunito Sans" w:eastAsia="Nunito Sans" w:hAnsi="Nunito Sans"/>
          <w:color w:val="102E3B"/>
          <w:sz w:val="20"/>
          <w:szCs w:val="20"/>
        </w:rPr>
        <w:t xml:space="preserve">Schedule 1 states whether the Provider will handle personal data for the Client. Where the Provider processes personal data on the Client's behalf and on its instructions, the Provider is a processor and Schedule 3 applies.</w:t>
      </w:r>
    </w:p>
    <w:p>
      <w:pPr>
        <w:pStyle w:val="ListParagraph"/>
        <w:numPr>
          <w:ilvl w:val="0"/>
          <w:numId w:val="15"/>
        </w:numPr>
        <w:spacing w:after="80" w:line="290"/>
      </w:pPr>
      <w:r>
        <w:rPr>
          <w:rFonts w:ascii="Nunito Sans" w:cs="Nunito Sans" w:eastAsia="Nunito Sans" w:hAnsi="Nunito Sans"/>
          <w:color w:val="102E3B"/>
          <w:sz w:val="20"/>
          <w:szCs w:val="20"/>
        </w:rPr>
        <w:t xml:space="preserve">Where each party decides for itself why and how it uses personal data, such as staff contact details, each is an independent controller. Neither party will share personal data the other does not need.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ROLES</w:t>
            </w:r>
          </w:p>
          <w:p>
            <w:pPr>
              <w:spacing w:after="120" w:before="0" w:line="300"/>
            </w:pPr>
            <w:r>
              <w:rPr>
                <w:rFonts w:ascii="Nunito Sans" w:cs="Nunito Sans" w:eastAsia="Nunito Sans" w:hAnsi="Nunito Sans"/>
                <w:b/>
                <w:bCs/>
                <w:color w:val="102E3B"/>
                <w:sz w:val="19"/>
                <w:szCs w:val="19"/>
              </w:rPr>
              <w:t xml:space="preserve">A processor</w:t>
            </w:r>
            <w:r>
              <w:rPr>
                <w:rFonts w:ascii="Nunito Sans" w:cs="Nunito Sans" w:eastAsia="Nunito Sans" w:hAnsi="Nunito Sans"/>
                <w:color w:val="102E3B"/>
                <w:sz w:val="19"/>
                <w:szCs w:val="19"/>
              </w:rPr>
              <w:t xml:space="preserve"> only follows instructions: for example, a firm that hosts your database, runs payroll or transcribes interviews you designed. Most data protection laws require a written contract with a processor. GDPR Article 28 lists the required terms, and Schedule 3 follows it. South Africa's POPIA (sections 20 and 21) sets similar duties for an "operator". Check your local law on processor contracts.</w:t>
            </w:r>
          </w:p>
          <w:p>
            <w:pPr>
              <w:spacing w:after="120" w:before="0" w:line="300"/>
            </w:pPr>
            <w:r>
              <w:rPr>
                <w:rFonts w:ascii="Nunito Sans" w:cs="Nunito Sans" w:eastAsia="Nunito Sans" w:hAnsi="Nunito Sans"/>
                <w:b/>
                <w:bCs/>
                <w:color w:val="102E3B"/>
                <w:sz w:val="19"/>
                <w:szCs w:val="19"/>
              </w:rPr>
              <w:t xml:space="preserve">An independent controller</w:t>
            </w:r>
            <w:r>
              <w:rPr>
                <w:rFonts w:ascii="Nunito Sans" w:cs="Nunito Sans" w:eastAsia="Nunito Sans" w:hAnsi="Nunito Sans"/>
                <w:color w:val="102E3B"/>
                <w:sz w:val="19"/>
                <w:szCs w:val="19"/>
              </w:rPr>
              <w:t xml:space="preserve"> decides its own purposes: an evaluator that designs and publishes its own survey may be one. If you decide purposes together, you may be joint controllers, which needs a different arrangement. If unsure, use the Data Sharing Agreement or take advice.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keeps its Intellectual Property Rights in materials that existed before this agreement or that it develops independently ("Background IP").</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 the Client owns the Deliverables.</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[payment in full for each Deliverable]</w:t>
      </w:r>
      <w:r>
        <w:rPr>
          <w:rFonts w:ascii="Nunito Sans" w:cs="Nunito Sans" w:eastAsia="Nunito Sans" w:hAnsi="Nunito Sans"/>
          <w:color w:val="102E3B"/>
          <w:sz w:val="20"/>
          <w:szCs w:val="20"/>
        </w:rPr>
        <w:t xml:space="preserve">, the Provider assigns to the Client all Intellectual Property Rights in the Deliverables, except the Provider's Background IP and third-party materials.</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B: the Provider owns the Deliverables.</w:t>
      </w:r>
      <w:r>
        <w:rPr>
          <w:rFonts w:ascii="Nunito Sans" w:cs="Nunito Sans" w:eastAsia="Nunito Sans" w:hAnsi="Nunito Sans"/>
          <w:color w:val="102E3B"/>
          <w:sz w:val="20"/>
          <w:szCs w:val="20"/>
        </w:rPr>
        <w:t xml:space="preserve"> The Provider keeps the Intellectual Property Rights in the Deliverables and grants the Client a non-exclusive, worldwide, royalty-free, perpetual and irrevocable licence to use, copy, adapt, translate and share them for the Client's </w:t>
      </w:r>
      <w:r>
        <w:rPr>
          <w:rFonts w:ascii="Nunito Sans" w:cs="Nunito Sans" w:eastAsia="Nunito Sans" w:hAnsi="Nunito Sans"/>
          <w:color w:val="102E3B"/>
          <w:sz w:val="20"/>
          <w:szCs w:val="20"/>
          <w:highlight w:val="yellow"/>
        </w:rPr>
        <w:t xml:space="preserve">[organisational and non-commercial]</w:t>
      </w:r>
      <w:r>
        <w:rPr>
          <w:rFonts w:ascii="Nunito Sans" w:cs="Nunito Sans" w:eastAsia="Nunito Sans" w:hAnsi="Nunito Sans"/>
          <w:color w:val="102E3B"/>
          <w:sz w:val="20"/>
          <w:szCs w:val="20"/>
        </w:rPr>
        <w:t xml:space="preserve"> purposes, including with its funders, partners and communities.</w:t>
      </w:r>
    </w:p>
    <w:p>
      <w:pPr>
        <w:pStyle w:val="ListParagraph"/>
        <w:numPr>
          <w:ilvl w:val="0"/>
          <w:numId w:val="16"/>
        </w:numPr>
        <w:spacing w:after="80" w:line="290"/>
      </w:pPr>
      <w:r>
        <w:rPr>
          <w:rFonts w:ascii="Nunito Sans" w:cs="Nunito Sans" w:eastAsia="Nunito Sans" w:hAnsi="Nunito Sans"/>
          <w:color w:val="102E3B"/>
          <w:sz w:val="20"/>
          <w:szCs w:val="20"/>
        </w:rPr>
        <w:t xml:space="preserve">Where a Deliverable includes the Provider's Background IP or third-party materials, the Provider grants or obtains a licence on the terms in clause 13.3 for their use as part of it. The Provider may reuse its general know-how and tools, but not the Client's Confidential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The Provider will obtain from its Personnel the rights it needs for this clause and, as far as the law allows, waivers of moral rights (the author's right to be named and to object to changes). The Client will credit authors when it publishes </w:t>
      </w:r>
      <w:r>
        <w:rPr>
          <w:rFonts w:ascii="Nunito Sans" w:cs="Nunito Sans" w:eastAsia="Nunito Sans" w:hAnsi="Nunito Sans"/>
          <w:color w:val="102E3B"/>
          <w:sz w:val="20"/>
          <w:szCs w:val="20"/>
          <w:highlight w:val="yellow"/>
        </w:rPr>
        <w:t xml:space="preserve">[if asked]</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collected during the Services may be used only within the consent those people gave.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OWNS THE WORK</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Option A is usual for bespoke work you will reuse. Check your grant agreement first: many funders require a licence for themselves, or open publication, for example under a Creative Commons Attribution 4.0 licence (CC BY 4.0).</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with your own toolkits, choose Option B, or list your tools as Background IP.</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a copyright assignment usually must be in writing and signed. In many civil-law countries, including Brazil and much of Latin America and continental Europe, moral rights cannot be waived, so clause 13.5 applies only as far as the law allows. Check your local copyright law. Delete the option you do not use.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Compliance and conduct</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comply with all laws that apply to this agreement, including on bribery, money laundering, sanctions, labour, health and safety and data protection.</w:t>
      </w:r>
    </w:p>
    <w:p>
      <w:pPr>
        <w:pStyle w:val="ListParagraph"/>
        <w:numPr>
          <w:ilvl w:val="0"/>
          <w:numId w:val="17"/>
        </w:numPr>
        <w:spacing w:after="80" w:line="290"/>
      </w:pPr>
      <w:r>
        <w:rPr>
          <w:rFonts w:ascii="Nunito Sans" w:cs="Nunito Sans" w:eastAsia="Nunito Sans" w:hAnsi="Nunito Sans"/>
          <w:b/>
          <w:bCs/>
          <w:color w:val="102E3B"/>
          <w:sz w:val="20"/>
          <w:szCs w:val="20"/>
        </w:rPr>
        <w:t xml:space="preserve">Bribery and fraud.</w:t>
      </w:r>
      <w:r>
        <w:rPr>
          <w:rFonts w:ascii="Nunito Sans" w:cs="Nunito Sans" w:eastAsia="Nunito Sans" w:hAnsi="Nunito Sans"/>
          <w:color w:val="102E3B"/>
          <w:sz w:val="20"/>
          <w:szCs w:val="20"/>
        </w:rPr>
        <w:t xml:space="preserve"> Neither party, nor its Personnel, will offer, give, request or accept a bribe, facilitation payment or other improper advantage. Each will report any suspected bribery or fraud connected with this agreement to the other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Laws with reach beyond borders, such as the UK Bribery Act 2010 and the US Foreign Corrupt Practices Act, may apply.</w:t>
      </w:r>
    </w:p>
    <w:p>
      <w:pPr>
        <w:pStyle w:val="ListParagraph"/>
        <w:numPr>
          <w:ilvl w:val="0"/>
          <w:numId w:val="17"/>
        </w:numPr>
        <w:spacing w:after="80" w:line="290"/>
      </w:pPr>
      <w:r>
        <w:rPr>
          <w:rFonts w:ascii="Nunito Sans" w:cs="Nunito Sans" w:eastAsia="Nunito Sans" w:hAnsi="Nunito Sans"/>
          <w:b/>
          <w:bCs/>
          <w:color w:val="102E3B"/>
          <w:sz w:val="20"/>
          <w:szCs w:val="20"/>
        </w:rPr>
        <w:t xml:space="preserve">Sanctions.</w:t>
      </w:r>
      <w:r>
        <w:rPr>
          <w:rFonts w:ascii="Nunito Sans" w:cs="Nunito Sans" w:eastAsia="Nunito Sans" w:hAnsi="Nunito Sans"/>
          <w:color w:val="102E3B"/>
          <w:sz w:val="20"/>
          <w:szCs w:val="20"/>
        </w:rPr>
        <w:t xml:space="preserve"> Each party confirms that neither it, nor its owners, board members, key Personnel or subcontractors, is on the UN Security Council Consolidated List or </w:t>
      </w:r>
      <w:r>
        <w:rPr>
          <w:rFonts w:ascii="Nunito Sans" w:cs="Nunito Sans" w:eastAsia="Nunito Sans" w:hAnsi="Nunito Sans"/>
          <w:color w:val="102E3B"/>
          <w:sz w:val="20"/>
          <w:szCs w:val="20"/>
          <w:highlight w:val="yellow"/>
        </w:rPr>
        <w:t xml:space="preserve">[the US OFAC, EU, UK or national sanctions lists]</w:t>
      </w:r>
      <w:r>
        <w:rPr>
          <w:rFonts w:ascii="Nunito Sans" w:cs="Nunito Sans" w:eastAsia="Nunito Sans" w:hAnsi="Nunito Sans"/>
          <w:color w:val="102E3B"/>
          <w:sz w:val="20"/>
          <w:szCs w:val="20"/>
        </w:rPr>
        <w:t xml:space="preserve">, and that no money under this agreement will reach anyone on them. Each will tell the other at once if this changes.</w:t>
      </w:r>
    </w:p>
    <w:p>
      <w:pPr>
        <w:pStyle w:val="ListParagraph"/>
        <w:numPr>
          <w:ilvl w:val="0"/>
          <w:numId w:val="17"/>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Where the Provider's Personnel may have contact with children or adults at risk, or their data, they will follow </w:t>
      </w:r>
      <w:r>
        <w:rPr>
          <w:rFonts w:ascii="Nunito Sans" w:cs="Nunito Sans" w:eastAsia="Nunito Sans" w:hAnsi="Nunito Sans"/>
          <w:color w:val="102E3B"/>
          <w:sz w:val="20"/>
          <w:szCs w:val="20"/>
          <w:highlight w:val="yellow"/>
        </w:rPr>
        <w:t xml:space="preserve">[the Client's Safeguarding Policy and Procedure / the Provider's own policy, if at least as protective]</w:t>
      </w:r>
      <w:r>
        <w:rPr>
          <w:rFonts w:ascii="Nunito Sans" w:cs="Nunito Sans" w:eastAsia="Nunito Sans" w:hAnsi="Nunito Sans"/>
          <w:color w:val="102E3B"/>
          <w:sz w:val="20"/>
          <w:szCs w:val="20"/>
        </w:rPr>
        <w:t xml:space="preserve">, including the six core principles of the Inter-Agency Standing Committee (IASC) on sexual exploitation and abuse. The Provider will vet them, </w:t>
      </w:r>
      <w:r>
        <w:rPr>
          <w:rFonts w:ascii="Nunito Sans" w:cs="Nunito Sans" w:eastAsia="Nunito Sans" w:hAnsi="Nunito Sans"/>
          <w:color w:val="102E3B"/>
          <w:sz w:val="20"/>
          <w:szCs w:val="20"/>
          <w:highlight w:val="yellow"/>
        </w:rPr>
        <w:t xml:space="preserve">[with references and, where lawful, criminal record and Misconduct Disclosure Scheme checks]</w:t>
      </w:r>
      <w:r>
        <w:rPr>
          <w:rFonts w:ascii="Nunito Sans" w:cs="Nunito Sans" w:eastAsia="Nunito Sans" w:hAnsi="Nunito Sans"/>
          <w:color w:val="102E3B"/>
          <w:sz w:val="20"/>
          <w:szCs w:val="20"/>
        </w:rPr>
        <w:t xml:space="preserve">. Each party will report any safeguarding concern connected with this agreement to the other,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Conduct.</w:t>
      </w:r>
      <w:r>
        <w:rPr>
          <w:rFonts w:ascii="Nunito Sans" w:cs="Nunito Sans" w:eastAsia="Nunito Sans" w:hAnsi="Nunito Sans"/>
          <w:color w:val="102E3B"/>
          <w:sz w:val="20"/>
          <w:szCs w:val="20"/>
        </w:rPr>
        <w:t xml:space="preserve"> The Provider's Personnel will follow </w:t>
      </w:r>
      <w:r>
        <w:rPr>
          <w:rFonts w:ascii="Nunito Sans" w:cs="Nunito Sans" w:eastAsia="Nunito Sans" w:hAnsi="Nunito Sans"/>
          <w:color w:val="102E3B"/>
          <w:sz w:val="20"/>
          <w:szCs w:val="20"/>
          <w:highlight w:val="yellow"/>
        </w:rPr>
        <w:t xml:space="preserve">[the Client's Code of Conduct]</w:t>
      </w:r>
      <w:r>
        <w:rPr>
          <w:rFonts w:ascii="Nunito Sans" w:cs="Nunito Sans" w:eastAsia="Nunito Sans" w:hAnsi="Nunito Sans"/>
          <w:color w:val="102E3B"/>
          <w:sz w:val="20"/>
          <w:szCs w:val="20"/>
        </w:rPr>
        <w:t xml:space="preserve"> and declare any conflict of interest. The Provider will not use forced or child labour.</w:t>
      </w:r>
    </w:p>
    <w:p>
      <w:pPr>
        <w:pStyle w:val="ListParagraph"/>
        <w:numPr>
          <w:ilvl w:val="0"/>
          <w:numId w:val="17"/>
        </w:numPr>
        <w:spacing w:after="80" w:line="290"/>
      </w:pPr>
      <w:r>
        <w:rPr>
          <w:rFonts w:ascii="Nunito Sans" w:cs="Nunito Sans" w:eastAsia="Nunito Sans" w:hAnsi="Nunito Sans"/>
          <w:b/>
          <w:bCs/>
          <w:color w:val="102E3B"/>
          <w:sz w:val="20"/>
          <w:szCs w:val="20"/>
        </w:rPr>
        <w:t xml:space="preserve">Records and audit.</w:t>
      </w:r>
      <w:r>
        <w:rPr>
          <w:rFonts w:ascii="Nunito Sans" w:cs="Nunito Sans" w:eastAsia="Nunito Sans" w:hAnsi="Nunito Sans"/>
          <w:color w:val="102E3B"/>
          <w:sz w:val="20"/>
          <w:szCs w:val="20"/>
        </w:rPr>
        <w:t xml:space="preserve"> The Provider will keep accurate records of the Services, time and expenses for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years after this agreement ends, and let the Client, </w:t>
      </w:r>
      <w:r>
        <w:rPr>
          <w:rFonts w:ascii="Nunito Sans" w:cs="Nunito Sans" w:eastAsia="Nunito Sans" w:hAnsi="Nunito Sans"/>
          <w:color w:val="102E3B"/>
          <w:sz w:val="20"/>
          <w:szCs w:val="20"/>
          <w:highlight w:val="yellow"/>
        </w:rPr>
        <w:t xml:space="preserve">[its funders]</w:t>
      </w:r>
      <w:r>
        <w:rPr>
          <w:rFonts w:ascii="Nunito Sans" w:cs="Nunito Sans" w:eastAsia="Nunito Sans" w:hAnsi="Nunito Sans"/>
          <w:color w:val="102E3B"/>
          <w:sz w:val="20"/>
          <w:szCs w:val="20"/>
        </w:rPr>
        <w:t xml:space="preserve"> and their auditors inspect them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17"/>
        </w:numPr>
        <w:spacing w:after="80" w:line="290"/>
      </w:pPr>
      <w:r>
        <w:rPr>
          <w:rFonts w:ascii="Nunito Sans" w:cs="Nunito Sans" w:eastAsia="Nunito Sans" w:hAnsi="Nunito Sans"/>
          <w:color w:val="102E3B"/>
          <w:sz w:val="20"/>
          <w:szCs w:val="20"/>
        </w:rPr>
        <w:t xml:space="preserve">A serious breach of this clause is a material breach that cannot be remedied, for the purpose of clause 19.3.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COMPLIANCE CLAUSES</w:t>
            </w:r>
          </w:p>
          <w:p>
            <w:pPr>
              <w:spacing w:after="120" w:before="0" w:line="300"/>
            </w:pPr>
            <w:r>
              <w:rPr>
                <w:rFonts w:ascii="Nunito Sans" w:cs="Nunito Sans" w:eastAsia="Nunito Sans" w:hAnsi="Nunito Sans"/>
                <w:color w:val="102E3B"/>
                <w:sz w:val="19"/>
                <w:szCs w:val="19"/>
              </w:rPr>
              <w:t xml:space="preserve">Keep this clause mutual.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share the policies you name before signing, and check your grant agreement for clauses you must pass on, such as audit rights or specific sanctions lists: copy them accurately.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check you can meet the vetting, reporting and audit duties. Criminal record checks are unavailable or restricted in some countries: use what is lawful locally and always take references. Record sanctions screening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Liability</w:t>
      </w:r>
    </w:p>
    <w:p>
      <w:pPr>
        <w:pStyle w:val="ListParagraph"/>
        <w:numPr>
          <w:ilvl w:val="0"/>
          <w:numId w:val="18"/>
        </w:numPr>
        <w:spacing w:after="80" w:line="290"/>
      </w:pPr>
      <w:r>
        <w:rPr>
          <w:rFonts w:ascii="Nunito Sans" w:cs="Nunito Sans" w:eastAsia="Nunito Sans" w:hAnsi="Nunito Sans"/>
          <w:color w:val="102E3B"/>
          <w:sz w:val="20"/>
          <w:szCs w:val="20"/>
        </w:rPr>
        <w:t xml:space="preserve">Nothing in this agreement limits liability for death or personal injury caused by negligence, for fraud, for </w:t>
      </w:r>
      <w:r>
        <w:rPr>
          <w:rFonts w:ascii="Nunito Sans" w:cs="Nunito Sans" w:eastAsia="Nunito Sans" w:hAnsi="Nunito Sans"/>
          <w:color w:val="102E3B"/>
          <w:sz w:val="20"/>
          <w:szCs w:val="20"/>
          <w:highlight w:val="yellow"/>
        </w:rPr>
        <w:t xml:space="preserve">[wilful misconduct]</w:t>
      </w:r>
      <w:r>
        <w:rPr>
          <w:rFonts w:ascii="Nunito Sans" w:cs="Nunito Sans" w:eastAsia="Nunito Sans" w:hAnsi="Nunito Sans"/>
          <w:color w:val="102E3B"/>
          <w:sz w:val="20"/>
          <w:szCs w:val="20"/>
        </w:rPr>
        <w:t xml:space="preserve">, or for anything that cannot be limited by law.</w:t>
      </w:r>
    </w:p>
    <w:p>
      <w:pPr>
        <w:pStyle w:val="ListParagraph"/>
        <w:numPr>
          <w:ilvl w:val="0"/>
          <w:numId w:val="18"/>
        </w:numPr>
        <w:spacing w:after="80" w:line="290"/>
      </w:pPr>
      <w:r>
        <w:rPr>
          <w:rFonts w:ascii="Nunito Sans" w:cs="Nunito Sans" w:eastAsia="Nunito Sans" w:hAnsi="Nunito Sans"/>
          <w:color w:val="102E3B"/>
          <w:sz w:val="20"/>
          <w:szCs w:val="20"/>
        </w:rPr>
        <w:t xml:space="preserve">Neither party is liable for loss of profits, revenue or goodwill, or for indirect or consequential loss, </w:t>
      </w:r>
      <w:r>
        <w:rPr>
          <w:rFonts w:ascii="Nunito Sans" w:cs="Nunito Sans" w:eastAsia="Nunito Sans" w:hAnsi="Nunito Sans"/>
          <w:color w:val="102E3B"/>
          <w:sz w:val="20"/>
          <w:szCs w:val="20"/>
          <w:highlight w:val="yellow"/>
        </w:rPr>
        <w:t xml:space="preserve">[except that the Client may recover any amount it must repay to a funder as a direct result of the Provider's breach]</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Subject to clauses 15.1 and 15.4, each party's total liability under this agreement is limited to </w:t>
      </w:r>
      <w:r>
        <w:rPr>
          <w:rFonts w:ascii="Nunito Sans" w:cs="Nunito Sans" w:eastAsia="Nunito Sans" w:hAnsi="Nunito Sans"/>
          <w:color w:val="102E3B"/>
          <w:sz w:val="20"/>
          <w:szCs w:val="20"/>
          <w:highlight w:val="yellow"/>
        </w:rPr>
        <w:t xml:space="preserve">[100% / 150%]</w:t>
      </w:r>
      <w:r>
        <w:rPr>
          <w:rFonts w:ascii="Nunito Sans" w:cs="Nunito Sans" w:eastAsia="Nunito Sans" w:hAnsi="Nunito Sans"/>
          <w:color w:val="102E3B"/>
          <w:sz w:val="20"/>
          <w:szCs w:val="20"/>
        </w:rPr>
        <w:t xml:space="preserve"> of the total Charges paid and payable.</w:t>
      </w:r>
    </w:p>
    <w:p>
      <w:pPr>
        <w:pStyle w:val="ListParagraph"/>
        <w:numPr>
          <w:ilvl w:val="0"/>
          <w:numId w:val="18"/>
        </w:numPr>
        <w:spacing w:after="80" w:line="290"/>
      </w:pPr>
      <w:r>
        <w:rPr>
          <w:rFonts w:ascii="Nunito Sans" w:cs="Nunito Sans" w:eastAsia="Nunito Sans" w:hAnsi="Nunito Sans"/>
          <w:color w:val="102E3B"/>
          <w:sz w:val="20"/>
          <w:szCs w:val="20"/>
        </w:rPr>
        <w:t xml:space="preserve">This limit does not apply to the Client's duty to pay the Charges. </w:t>
      </w:r>
      <w:r>
        <w:rPr>
          <w:rFonts w:ascii="Nunito Sans" w:cs="Nunito Sans" w:eastAsia="Nunito Sans" w:hAnsi="Nunito Sans"/>
          <w:color w:val="102E3B"/>
          <w:sz w:val="20"/>
          <w:szCs w:val="20"/>
          <w:highlight w:val="yellow"/>
        </w:rPr>
        <w:t xml:space="preserve">[For breach of clause 11 or clause 12 and Schedule 3, the limit is amount and currency.]</w:t>
      </w:r>
    </w:p>
    <w:p>
      <w:pPr>
        <w:pStyle w:val="Heading2"/>
        <w:keepNext/>
        <w:spacing w:after="120" w:before="280"/>
      </w:pPr>
      <w:r>
        <w:rPr>
          <w:rFonts w:ascii="DM Serif Display" w:cs="DM Serif Display" w:eastAsia="DM Serif Display" w:hAnsi="DM Serif Display"/>
          <w:color w:val="123C48"/>
          <w:sz w:val="28"/>
          <w:szCs w:val="28"/>
        </w:rPr>
        <w:t xml:space="preserve">16. Indemnities</w:t>
      </w:r>
    </w:p>
    <w:p>
      <w:pPr>
        <w:pStyle w:val="ListParagraph"/>
        <w:numPr>
          <w:ilvl w:val="0"/>
          <w:numId w:val="19"/>
        </w:numPr>
        <w:spacing w:after="80" w:line="290"/>
      </w:pPr>
      <w:r>
        <w:rPr>
          <w:rFonts w:ascii="Nunito Sans" w:cs="Nunito Sans" w:eastAsia="Nunito Sans" w:hAnsi="Nunito Sans"/>
          <w:color w:val="102E3B"/>
          <w:sz w:val="20"/>
          <w:szCs w:val="20"/>
        </w:rPr>
        <w:t xml:space="preserve">The Provider will indemnify the Client against losses, costs and reasonable legal fees arising from any third-party claim that a Deliverable infringes their Intellectual Property Rights, except where the claim arises from the Client's materials or changes.</w:t>
      </w:r>
    </w:p>
    <w:p>
      <w:pPr>
        <w:pStyle w:val="ListParagraph"/>
        <w:numPr>
          <w:ilvl w:val="0"/>
          <w:numId w:val="19"/>
        </w:numPr>
        <w:spacing w:after="80" w:line="290"/>
      </w:pPr>
      <w:r>
        <w:rPr>
          <w:rFonts w:ascii="Nunito Sans" w:cs="Nunito Sans" w:eastAsia="Nunito Sans" w:hAnsi="Nunito Sans"/>
          <w:color w:val="102E3B"/>
          <w:sz w:val="20"/>
          <w:szCs w:val="20"/>
          <w:highlight w:val="yellow"/>
        </w:rPr>
        <w:t xml:space="preserve">[Optional: The Provider will indemnify the Client against third-party claims for personal injury or damage to property caused by the negligence of the Provider's Personnel.]</w:t>
      </w:r>
    </w:p>
    <w:p>
      <w:pPr>
        <w:pStyle w:val="ListParagraph"/>
        <w:numPr>
          <w:ilvl w:val="0"/>
          <w:numId w:val="19"/>
        </w:numPr>
        <w:spacing w:after="80" w:line="290"/>
      </w:pPr>
      <w:r>
        <w:rPr>
          <w:rFonts w:ascii="Nunito Sans" w:cs="Nunito Sans" w:eastAsia="Nunito Sans" w:hAnsi="Nunito Sans"/>
          <w:color w:val="102E3B"/>
          <w:sz w:val="20"/>
          <w:szCs w:val="20"/>
        </w:rPr>
        <w:t xml:space="preserve">A party claiming under an indemnity must tell the other promptly, not admit liability, and let the other control the defence.</w:t>
      </w:r>
    </w:p>
    <w:p>
      <w:pPr>
        <w:pStyle w:val="ListParagraph"/>
        <w:numPr>
          <w:ilvl w:val="0"/>
          <w:numId w:val="19"/>
        </w:numPr>
        <w:spacing w:after="80" w:line="290"/>
      </w:pPr>
      <w:r>
        <w:rPr>
          <w:rFonts w:ascii="Nunito Sans" w:cs="Nunito Sans" w:eastAsia="Nunito Sans" w:hAnsi="Nunito Sans"/>
          <w:color w:val="102E3B"/>
          <w:sz w:val="20"/>
          <w:szCs w:val="20"/>
        </w:rPr>
        <w:t xml:space="preserve">These indemnities are subject to the limit in clause 15.3.</w:t>
      </w:r>
    </w:p>
    <w:p>
      <w:pPr>
        <w:pStyle w:val="Heading2"/>
        <w:keepNext/>
        <w:spacing w:after="120" w:before="280"/>
      </w:pPr>
      <w:r>
        <w:rPr>
          <w:rFonts w:ascii="DM Serif Display" w:cs="DM Serif Display" w:eastAsia="DM Serif Display" w:hAnsi="DM Serif Display"/>
          <w:color w:val="123C48"/>
          <w:sz w:val="28"/>
          <w:szCs w:val="28"/>
        </w:rPr>
        <w:t xml:space="preserve">17. Insurance</w:t>
      </w:r>
    </w:p>
    <w:p>
      <w:pPr>
        <w:pStyle w:val="ListParagraph"/>
        <w:numPr>
          <w:ilvl w:val="0"/>
          <w:numId w:val="20"/>
        </w:numPr>
        <w:spacing w:after="80" w:line="290"/>
      </w:pPr>
      <w:r>
        <w:rPr>
          <w:rFonts w:ascii="Nunito Sans" w:cs="Nunito Sans" w:eastAsia="Nunito Sans" w:hAnsi="Nunito Sans"/>
          <w:color w:val="102E3B"/>
          <w:sz w:val="20"/>
          <w:szCs w:val="20"/>
        </w:rPr>
        <w:t xml:space="preserve">During this agreement and for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 after it, the Provider will hold professional indemnity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public liability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insurance the law requires for its employees. It will show evidence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 INDEMNITIES AND INSURANCE</w:t>
            </w:r>
          </w:p>
          <w:p>
            <w:pPr>
              <w:spacing w:after="120" w:before="0" w:line="300"/>
            </w:pPr>
            <w:r>
              <w:rPr>
                <w:rFonts w:ascii="Nunito Sans" w:cs="Nunito Sans" w:eastAsia="Nunito Sans" w:hAnsi="Nunito Sans"/>
                <w:b/>
                <w:bCs/>
                <w:color w:val="102E3B"/>
                <w:sz w:val="19"/>
                <w:szCs w:val="19"/>
              </w:rPr>
              <w:t xml:space="preserve">The cap:</w:t>
            </w:r>
            <w:r>
              <w:rPr>
                <w:rFonts w:ascii="Nunito Sans" w:cs="Nunito Sans" w:eastAsia="Nunito Sans" w:hAnsi="Nunito Sans"/>
                <w:color w:val="102E3B"/>
                <w:sz w:val="19"/>
                <w:szCs w:val="19"/>
              </w:rPr>
              <w:t xml:space="preserve"> 100% of the fees is common for small contracts; clients with more at stake may ask for 150–200%.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funder-repayment wording in clause 15.2: a grant you must repay might otherwise count as excluded "lost revenue".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never accept unlimited liability, and match the cap to your insurance.</w:t>
            </w:r>
          </w:p>
          <w:p>
            <w:pPr>
              <w:spacing w:after="120" w:before="0" w:line="300"/>
            </w:pPr>
            <w:r>
              <w:rPr>
                <w:rFonts w:ascii="Nunito Sans" w:cs="Nunito Sans" w:eastAsia="Nunito Sans" w:hAnsi="Nunito Sans"/>
                <w:b/>
                <w:bCs/>
                <w:color w:val="102E3B"/>
                <w:sz w:val="19"/>
                <w:szCs w:val="19"/>
              </w:rPr>
              <w:t xml:space="preserve">Indemnities</w:t>
            </w:r>
            <w:r>
              <w:rPr>
                <w:rFonts w:ascii="Nunito Sans" w:cs="Nunito Sans" w:eastAsia="Nunito Sans" w:hAnsi="Nunito Sans"/>
                <w:color w:val="102E3B"/>
                <w:sz w:val="19"/>
                <w:szCs w:val="19"/>
              </w:rPr>
              <w:t xml:space="preserve"> are promises to pay specific losses, often whether or not they could be claimed as damages, so they can cost far more than the contract is worth. Keep them narrow and under the cap. Refuse wording such as "indemnify against all losses arising from this agreement", and check whether your insurance covers liability taken on by contract: often it does not. If a small provider cannot buy professional indemnity insurance, reduce or delete clause 17.</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UK, limits in standard business terms must pass the reasonableness test of the Unfair Contract Terms Act 1977. In many civil-law countries, liability for wilful misconduct or gross negligence cannot be limited, and indemnities may be treated differently from English-style contracts.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Personnel and subcontracting</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is an independent contractor. This agreement creates no employment, partnership, agency or joint venture. The Provider alone is responsible for its Personnel's pay, taxes, social security, insurance and benefits.</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will not subcontract any part of the Services without the Client's prior written consent. It remains responsible for subcontractors and will pass on to them the duties in clauses 11 to 14.</w:t>
      </w:r>
    </w:p>
    <w:p>
      <w:pPr>
        <w:pStyle w:val="Heading2"/>
        <w:keepNext/>
        <w:spacing w:after="120" w:before="280"/>
      </w:pPr>
      <w:r>
        <w:rPr>
          <w:rFonts w:ascii="DM Serif Display" w:cs="DM Serif Display" w:eastAsia="DM Serif Display" w:hAnsi="DM Serif Display"/>
          <w:color w:val="123C48"/>
          <w:sz w:val="28"/>
          <w:szCs w:val="28"/>
        </w:rPr>
        <w:t xml:space="preserve">19. Force majeure and termination</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Force majeure.</w:t>
      </w:r>
      <w:r>
        <w:rPr>
          <w:rFonts w:ascii="Nunito Sans" w:cs="Nunito Sans" w:eastAsia="Nunito Sans" w:hAnsi="Nunito Sans"/>
          <w:color w:val="102E3B"/>
          <w:sz w:val="20"/>
          <w:szCs w:val="20"/>
        </w:rPr>
        <w:t xml:space="preserve"> Neither party is in breach for a delay caused by events beyond its reasonable control, such as natural disasters, epidemics, war, civil unrest or government action, but not a shortage of money. The affected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limit the effect; deadlines are extended accordingly. If the event lasts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either party may end this agreement by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convenience.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[Either party / The Client]</w:t>
      </w:r>
      <w:r>
        <w:rPr>
          <w:rFonts w:ascii="Nunito Sans" w:cs="Nunito Sans" w:eastAsia="Nunito Sans" w:hAnsi="Nunito Sans"/>
          <w:color w:val="102E3B"/>
          <w:sz w:val="20"/>
          <w:szCs w:val="20"/>
        </w:rPr>
        <w:t xml:space="preserve"> may end this agreement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cause.</w:t>
      </w:r>
      <w:r>
        <w:rPr>
          <w:rFonts w:ascii="Nunito Sans" w:cs="Nunito Sans" w:eastAsia="Nunito Sans" w:hAnsi="Nunito Sans"/>
          <w:color w:val="102E3B"/>
          <w:sz w:val="20"/>
          <w:szCs w:val="20"/>
        </w:rPr>
        <w:t xml:space="preserve"> Either party may end this agreement at once by written notice if the other party:</w:t>
      </w:r>
    </w:p>
    <w:p>
      <w:pPr>
        <w:pStyle w:val="ListParagraph"/>
        <w:numPr>
          <w:ilvl w:val="1"/>
          <w:numId w:val="22"/>
        </w:numPr>
        <w:spacing w:after="80" w:line="290"/>
      </w:pPr>
      <w:r>
        <w:rPr>
          <w:rFonts w:ascii="Nunito Sans" w:cs="Nunito Sans" w:eastAsia="Nunito Sans" w:hAnsi="Nunito Sans"/>
          <w:color w:val="102E3B"/>
          <w:sz w:val="20"/>
          <w:szCs w:val="20"/>
        </w:rPr>
        <w:t xml:space="preserve">commits a material breach that cannot be remedied, or that it does not remedy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of written notice;</w:t>
      </w:r>
    </w:p>
    <w:p>
      <w:pPr>
        <w:pStyle w:val="ListParagraph"/>
        <w:numPr>
          <w:ilvl w:val="1"/>
          <w:numId w:val="22"/>
        </w:numPr>
        <w:spacing w:after="80" w:line="290"/>
      </w:pPr>
      <w:r>
        <w:rPr>
          <w:rFonts w:ascii="Nunito Sans" w:cs="Nunito Sans" w:eastAsia="Nunito Sans" w:hAnsi="Nunito Sans"/>
          <w:color w:val="102E3B"/>
          <w:sz w:val="20"/>
          <w:szCs w:val="20"/>
        </w:rPr>
        <w:t xml:space="preserve">becomes insolvent, enters liquidation, is deregistered or stops operating; or</w:t>
      </w:r>
    </w:p>
    <w:p>
      <w:pPr>
        <w:pStyle w:val="ListParagraph"/>
        <w:numPr>
          <w:ilvl w:val="1"/>
          <w:numId w:val="22"/>
        </w:numPr>
        <w:spacing w:after="80" w:line="290"/>
      </w:pPr>
      <w:r>
        <w:rPr>
          <w:rFonts w:ascii="Nunito Sans" w:cs="Nunito Sans" w:eastAsia="Nunito Sans" w:hAnsi="Nunito Sans"/>
          <w:color w:val="102E3B"/>
          <w:sz w:val="20"/>
          <w:szCs w:val="20"/>
        </w:rPr>
        <w:t xml:space="preserve">commits a serious breach of clause 14.</w:t>
      </w:r>
    </w:p>
    <w:p>
      <w:pPr>
        <w:pStyle w:val="ListParagraph"/>
        <w:numPr>
          <w:ilvl w:val="0"/>
          <w:numId w:val="22"/>
        </w:numPr>
        <w:spacing w:after="80" w:line="290"/>
      </w:pPr>
      <w:r>
        <w:rPr>
          <w:rFonts w:ascii="Nunito Sans" w:cs="Nunito Sans" w:eastAsia="Nunito Sans" w:hAnsi="Nunito Sans"/>
          <w:b/>
          <w:bCs/>
          <w:color w:val="102E3B"/>
          <w:sz w:val="20"/>
          <w:szCs w:val="20"/>
        </w:rPr>
        <w:t xml:space="preserve">Loss of funding.</w:t>
      </w:r>
      <w:r>
        <w:rPr>
          <w:rFonts w:ascii="Nunito Sans" w:cs="Nunito Sans" w:eastAsia="Nunito Sans" w:hAnsi="Nunito Sans"/>
          <w:color w:val="102E3B"/>
          <w:sz w:val="20"/>
          <w:szCs w:val="20"/>
        </w:rPr>
        <w:t xml:space="preserve"> If the Client's funding for the Services is withdrawn, suspended or reduced, the Client may end this agreement or reduce the Services by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Non-payment.</w:t>
      </w:r>
      <w:r>
        <w:rPr>
          <w:rFonts w:ascii="Nunito Sans" w:cs="Nunito Sans" w:eastAsia="Nunito Sans" w:hAnsi="Nunito Sans"/>
          <w:color w:val="102E3B"/>
          <w:sz w:val="20"/>
          <w:szCs w:val="20"/>
        </w:rPr>
        <w:t xml:space="preserve"> If an undisputed invoice is unpaid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a written reminder, the Provider may suspend the Services on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written notice until it is paid.</w:t>
      </w:r>
    </w:p>
    <w:p>
      <w:pPr>
        <w:pStyle w:val="ListParagraph"/>
        <w:numPr>
          <w:ilvl w:val="0"/>
          <w:numId w:val="22"/>
        </w:numPr>
        <w:spacing w:after="80" w:line="290"/>
      </w:pPr>
      <w:r>
        <w:rPr>
          <w:rFonts w:ascii="Nunito Sans" w:cs="Nunito Sans" w:eastAsia="Nunito Sans" w:hAnsi="Nunito Sans"/>
          <w:b/>
          <w:bCs/>
          <w:color w:val="102E3B"/>
          <w:sz w:val="20"/>
          <w:szCs w:val="20"/>
        </w:rPr>
        <w:t xml:space="preserve">On ending.</w:t>
      </w:r>
      <w:r>
        <w:rPr>
          <w:rFonts w:ascii="Nunito Sans" w:cs="Nunito Sans" w:eastAsia="Nunito Sans" w:hAnsi="Nunito Sans"/>
          <w:color w:val="102E3B"/>
          <w:sz w:val="20"/>
          <w:szCs w:val="20"/>
        </w:rPr>
        <w:t xml:space="preserve"> The Client will pay for Services properly performed up to the end date, plus approved costs the Provider cannot cancel, but not for rejected work. The Provider will refund any unearned advance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hand over all work, and return or delete the Client's materials and personal data.</w:t>
      </w:r>
    </w:p>
    <w:p>
      <w:pPr>
        <w:pStyle w:val="ListParagraph"/>
        <w:numPr>
          <w:ilvl w:val="0"/>
          <w:numId w:val="22"/>
        </w:numPr>
        <w:spacing w:after="80" w:line="290"/>
      </w:pPr>
      <w:r>
        <w:rPr>
          <w:rFonts w:ascii="Nunito Sans" w:cs="Nunito Sans" w:eastAsia="Nunito Sans" w:hAnsi="Nunito Sans"/>
          <w:color w:val="102E3B"/>
          <w:sz w:val="20"/>
          <w:szCs w:val="20"/>
        </w:rPr>
        <w:t xml:space="preserve">Clauses 11 to 16, 19.6, 20 and 21 survive the end of this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THE AGREEMENT</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loss-of-funding clause. Grant-funded organisations often cannot pay when a funder pulls out, and this lets you end cleanly while paying for work done.</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 cancellation fee (for example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the remaining Charges) for time you have reserved. Some countries treat a long contract with one main client as employment or agency, with notice rights.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Disputes and governing law</w:t>
      </w:r>
    </w:p>
    <w:p>
      <w:pPr>
        <w:pStyle w:val="ListParagraph"/>
        <w:numPr>
          <w:ilvl w:val="0"/>
          <w:numId w:val="23"/>
        </w:numPr>
        <w:spacing w:after="80" w:line="290"/>
      </w:pPr>
      <w:r>
        <w:rPr>
          <w:rFonts w:ascii="Nunito Sans" w:cs="Nunito Sans" w:eastAsia="Nunito Sans" w:hAnsi="Nunito Sans"/>
          <w:color w:val="102E3B"/>
          <w:sz w:val="20"/>
          <w:szCs w:val="20"/>
        </w:rPr>
        <w:t xml:space="preserve">The contract managers, and then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will each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it is still unresolved, the parties </w:t>
      </w:r>
      <w:r>
        <w:rPr>
          <w:rFonts w:ascii="Nunito Sans" w:cs="Nunito Sans" w:eastAsia="Nunito Sans" w:hAnsi="Nunito Sans"/>
          <w:color w:val="102E3B"/>
          <w:sz w:val="20"/>
          <w:szCs w:val="20"/>
          <w:highlight w:val="yellow"/>
        </w:rPr>
        <w:t xml:space="preserve">[will / may]</w:t>
      </w:r>
      <w:r>
        <w:rPr>
          <w:rFonts w:ascii="Nunito Sans" w:cs="Nunito Sans" w:eastAsia="Nunito Sans" w:hAnsi="Nunito Sans"/>
          <w:color w:val="102E3B"/>
          <w:sz w:val="20"/>
          <w:szCs w:val="20"/>
        </w:rPr>
        <w:t xml:space="preserve"> try mediation through </w:t>
      </w:r>
      <w:r>
        <w:rPr>
          <w:rFonts w:ascii="Nunito Sans" w:cs="Nunito Sans" w:eastAsia="Nunito Sans" w:hAnsi="Nunito Sans"/>
          <w:color w:val="102E3B"/>
          <w:sz w:val="20"/>
          <w:szCs w:val="20"/>
          <w:highlight w:val="yellow"/>
        </w:rPr>
        <w:t xml:space="preserve">[mediator or mediation centre]</w:t>
      </w:r>
      <w:r>
        <w:rPr>
          <w:rFonts w:ascii="Nunito Sans" w:cs="Nunito Sans" w:eastAsia="Nunito Sans" w:hAnsi="Nunito Sans"/>
          <w:color w:val="102E3B"/>
          <w:sz w:val="20"/>
          <w:szCs w:val="20"/>
        </w:rPr>
        <w:t xml:space="preserve">, sharing the costs equally.</w:t>
      </w:r>
    </w:p>
    <w:p>
      <w:pPr>
        <w:pStyle w:val="ListParagraph"/>
        <w:numPr>
          <w:ilvl w:val="0"/>
          <w:numId w:val="23"/>
        </w:numPr>
        <w:spacing w:after="80" w:line="290"/>
      </w:pPr>
      <w:r>
        <w:rPr>
          <w:rFonts w:ascii="Nunito Sans" w:cs="Nunito Sans" w:eastAsia="Nunito Sans" w:hAnsi="Nunito Sans"/>
          <w:color w:val="102E3B"/>
          <w:sz w:val="20"/>
          <w:szCs w:val="20"/>
        </w:rPr>
        <w:t xml:space="preserve">If mediation fails, the dispute will be settled by </w:t>
      </w:r>
      <w:r>
        <w:rPr>
          <w:rFonts w:ascii="Nunito Sans" w:cs="Nunito Sans" w:eastAsia="Nunito Sans" w:hAnsi="Nunito Sans"/>
          <w:color w:val="102E3B"/>
          <w:sz w:val="20"/>
          <w:szCs w:val="20"/>
          <w:highlight w:val="yellow"/>
        </w:rPr>
        <w:t xml:space="preserve">[the courts of country or city, which have exclusive jurisdiction / arbitration under the rules of named institution, with one arbitrator, seated in city, in English]</w:t>
      </w:r>
      <w:r>
        <w:rPr>
          <w:rFonts w:ascii="Nunito Sans" w:cs="Nunito Sans" w:eastAsia="Nunito Sans" w:hAnsi="Nunito Sans"/>
          <w:color w:val="102E3B"/>
          <w:sz w:val="20"/>
          <w:szCs w:val="20"/>
        </w:rPr>
        <w:t xml:space="preserve">. Either party may still ask a court for urgent interim relief.</w:t>
      </w:r>
    </w:p>
    <w:p>
      <w:pPr>
        <w:pStyle w:val="ListParagraph"/>
        <w:numPr>
          <w:ilvl w:val="0"/>
          <w:numId w:val="23"/>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21. Notices and general terms</w:t>
      </w:r>
    </w:p>
    <w:p>
      <w:pPr>
        <w:pStyle w:val="ListParagraph"/>
        <w:numPr>
          <w:ilvl w:val="0"/>
          <w:numId w:val="24"/>
        </w:numPr>
        <w:spacing w:after="80" w:line="290"/>
      </w:pPr>
      <w:r>
        <w:rPr>
          <w:rFonts w:ascii="Nunito Sans" w:cs="Nunito Sans" w:eastAsia="Nunito Sans" w:hAnsi="Nunito Sans"/>
          <w:color w:val="102E3B"/>
          <w:sz w:val="20"/>
          <w:szCs w:val="20"/>
        </w:rPr>
        <w:t xml:space="preserve">Formal notices must be emailed to the other party's contract manager. Notices of breach, termination or dispute must also go by hand or courier to the registered address. An email sent in the recipient's business hours is received when sent; otherwise on the next Business Day.</w:t>
      </w:r>
    </w:p>
    <w:p>
      <w:pPr>
        <w:pStyle w:val="ListParagraph"/>
        <w:numPr>
          <w:ilvl w:val="0"/>
          <w:numId w:val="24"/>
        </w:numPr>
        <w:spacing w:after="80" w:line="290"/>
      </w:pPr>
      <w:r>
        <w:rPr>
          <w:rFonts w:ascii="Nunito Sans" w:cs="Nunito Sans" w:eastAsia="Nunito Sans" w:hAnsi="Nunito Sans"/>
          <w:color w:val="102E3B"/>
          <w:sz w:val="20"/>
          <w:szCs w:val="20"/>
        </w:rPr>
        <w:t xml:space="preserve">This is the whole agreement about the Services. Changes are valid only in writing signed by both parties.</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may transfer its rights or duties without the other's written consent. Failing to enforce a right does not waive it. If any part is invalid, the rest continues.</w:t>
      </w:r>
    </w:p>
    <w:p>
      <w:pPr>
        <w:pStyle w:val="ListParagraph"/>
        <w:numPr>
          <w:ilvl w:val="0"/>
          <w:numId w:val="24"/>
        </w:numPr>
        <w:spacing w:after="80" w:line="290"/>
      </w:pPr>
      <w:r>
        <w:rPr>
          <w:rFonts w:ascii="Nunito Sans" w:cs="Nunito Sans" w:eastAsia="Nunito Sans" w:hAnsi="Nunito Sans"/>
          <w:color w:val="102E3B"/>
          <w:sz w:val="20"/>
          <w:szCs w:val="20"/>
        </w:rPr>
        <w:t xml:space="preserve">No one else has rights under this agreement, </w:t>
      </w:r>
      <w:r>
        <w:rPr>
          <w:rFonts w:ascii="Nunito Sans" w:cs="Nunito Sans" w:eastAsia="Nunito Sans" w:hAnsi="Nunito Sans"/>
          <w:color w:val="102E3B"/>
          <w:sz w:val="20"/>
          <w:szCs w:val="20"/>
          <w:highlight w:val="yellow"/>
        </w:rPr>
        <w:t xml:space="preserve">[except the Client's funders and their auditors under clause 14.6]</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will use the other's name or logo without consent, </w:t>
      </w:r>
      <w:r>
        <w:rPr>
          <w:rFonts w:ascii="Nunito Sans" w:cs="Nunito Sans" w:eastAsia="Nunito Sans" w:hAnsi="Nunito Sans"/>
          <w:color w:val="102E3B"/>
          <w:sz w:val="20"/>
          <w:szCs w:val="20"/>
          <w:highlight w:val="yellow"/>
        </w:rPr>
        <w:t xml:space="preserve">[except that the Provider may list the Client as a client]</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 If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DISPUTES AND SIGNING</w:t>
            </w:r>
          </w:p>
          <w:p>
            <w:pPr>
              <w:spacing w:after="120" w:before="0" w:line="300"/>
            </w:pPr>
            <w:r>
              <w:rPr>
                <w:rFonts w:ascii="Nunito Sans" w:cs="Nunito Sans" w:eastAsia="Nunito Sans" w:hAnsi="Nunito Sans"/>
                <w:b/>
                <w:bCs/>
                <w:color w:val="102E3B"/>
                <w:sz w:val="19"/>
                <w:szCs w:val="19"/>
              </w:rPr>
              <w:t xml:space="preserve">Governing law:</w:t>
            </w:r>
            <w:r>
              <w:rPr>
                <w:rFonts w:ascii="Nunito Sans" w:cs="Nunito Sans" w:eastAsia="Nunito Sans" w:hAnsi="Nunito Sans"/>
                <w:color w:val="102E3B"/>
                <w:sz w:val="19"/>
                <w:szCs w:val="19"/>
              </w:rPr>
              <w:t xml:space="preserve"> usually the law where one of you is registered and the Services are delivered. </w:t>
            </w:r>
            <w:r>
              <w:rPr>
                <w:rFonts w:ascii="Nunito Sans" w:cs="Nunito Sans" w:eastAsia="Nunito Sans" w:hAnsi="Nunito Sans"/>
                <w:b/>
                <w:bCs/>
                <w:color w:val="102E3B"/>
                <w:sz w:val="19"/>
                <w:szCs w:val="19"/>
              </w:rPr>
              <w:t xml:space="preserve">Courts or arbitration:</w:t>
            </w:r>
            <w:r>
              <w:rPr>
                <w:rFonts w:ascii="Nunito Sans" w:cs="Nunito Sans" w:eastAsia="Nunito Sans" w:hAnsi="Nunito Sans"/>
                <w:color w:val="102E3B"/>
                <w:sz w:val="19"/>
                <w:szCs w:val="19"/>
              </w:rPr>
              <w:t xml:space="preserve"> a court judgment is often hard to enforce abroad. Arbitration awards are enforceable in most countries under the 1958 New York Convention, but arbitration can cost more than a small contract is worth. UN agencies usually require arbitration under the UNCITRAL Arbitration Rules.</w:t>
            </w:r>
          </w:p>
          <w:p>
            <w:pPr>
              <w:spacing w:after="120" w:before="0" w:line="300"/>
            </w:pPr>
            <w:r>
              <w:rPr>
                <w:rFonts w:ascii="Nunito Sans" w:cs="Nunito Sans" w:eastAsia="Nunito Sans" w:hAnsi="Nunito Sans"/>
                <w:b/>
                <w:bCs/>
                <w:color w:val="102E3B"/>
                <w:sz w:val="19"/>
                <w:szCs w:val="19"/>
              </w:rPr>
              <w:t xml:space="preserve">Formalities:</w:t>
            </w:r>
            <w:r>
              <w:rPr>
                <w:rFonts w:ascii="Nunito Sans" w:cs="Nunito Sans" w:eastAsia="Nunito Sans" w:hAnsi="Nunito Sans"/>
                <w:color w:val="102E3B"/>
                <w:sz w:val="19"/>
                <w:szCs w:val="19"/>
              </w:rPr>
              <w:t xml:space="preserve"> check whether the contract needs a stamp or seal, witnesses or stamp duty to be valid or used as evidence (for example, stamp duty in many Indian states, or the meterai duty stamp in Indonesia), and whether electronic signatures are accepted.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Services and Deliverables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Services should achieve; attach any terms of reference]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Scope of the Services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Provider will do, step by step]</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included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translation]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Key Personnel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and roles]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 inputs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[Documents, contacts, staff time and approvals, with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Background IP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[Tools or materials the Provider keeps, e.g. its training curriculum]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The Provider will process personal data for the Client: Schedule 3 applies]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[Whether and how the Client may publish the Deliverables, and author credits]</w:t>
            </w:r>
          </w:p>
        </w:tc>
      </w:tr>
    </w:tbl>
    <w:p>
      <w:pPr>
        <w:spacing w:after="120"/>
      </w:pPr>
    </w:p>
    <w:p>
      <w:pPr>
        <w:spacing w:after="120" w:before="0" w:line="300"/>
      </w:pPr>
      <w:r>
        <w:rPr>
          <w:rFonts w:ascii="Nunito Sans" w:cs="Nunito Sans" w:eastAsia="Nunito Sans" w:hAnsi="Nunito Sans"/>
          <w:color w:val="102E3B"/>
          <w:sz w:val="20"/>
          <w:szCs w:val="20"/>
        </w:rPr>
        <w:t xml:space="preserve">Deliverables (the rows below are examples;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
        <w:gridCol w:w="2857"/>
        <w:gridCol w:w="3238"/>
        <w:gridCol w:w="1428"/>
        <w:gridCol w:w="1430"/>
      </w:tblGrid>
      <w:tr>
        <w:trPr>
          <w:cantSplit/>
          <w:tblHeader/>
        </w:trPr>
        <w:tc>
          <w:tcPr>
            <w:tcW w:type="dxa" w:w="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inception report</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Methodology, workplan and tools as in the terms of reference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draft report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Answers all evaluation questions; no more than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pages plus annexes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final report and presentation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Client's consolidated comments addressed; summary in </w:t>
            </w:r>
            <w:r>
              <w:rPr>
                <w:rFonts w:ascii="Nunito Sans" w:cs="Nunito Sans" w:eastAsia="Nunito Sans" w:hAnsi="Nunito Sans"/>
                <w:color w:val="102E3B"/>
                <w:sz w:val="18"/>
                <w:szCs w:val="18"/>
                <w:highlight w:val="yellow"/>
              </w:rPr>
              <w:t xml:space="preserve">[language]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Charges and 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Pricing basis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price / daily rate of amount for up to number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Maximum total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[excluding / including]</w:t>
            </w:r>
            <w:r>
              <w:rPr>
                <w:rFonts w:ascii="Nunito Sans" w:cs="Nunito Sans" w:eastAsia="Nunito Sans" w:hAnsi="Nunito Sans"/>
                <w:color w:val="102E3B"/>
                <w:sz w:val="18"/>
                <w:szCs w:val="18"/>
              </w:rPr>
              <w:t xml:space="preserve"> VAT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bank account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[Account name (the Provider's legal name), bank, account number, SWIFT or branch code]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Reimbursable expenses and per diems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economy flights, accommodation up to amount per night, per diems as in the Client's Expenses and Per Diem Policy; or none]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[Fees gross / net of withholding tax at X%; VAT treatment]</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Change number and date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and reason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changes and why]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Deliverables and dates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[New or changed Deliverables and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the Charges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[Change and new maximum total]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for each party</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roles, signatures, dates]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Data processing terms</w:t>
      </w:r>
    </w:p>
    <w:p>
      <w:pPr>
        <w:spacing w:after="120" w:before="0" w:line="300"/>
      </w:pPr>
      <w:r>
        <w:rPr>
          <w:rFonts w:ascii="Nunito Sans" w:cs="Nunito Sans" w:eastAsia="Nunito Sans" w:hAnsi="Nunito Sans"/>
          <w:color w:val="102E3B"/>
          <w:sz w:val="20"/>
          <w:szCs w:val="20"/>
        </w:rPr>
        <w:t xml:space="preserve">This schedule applies only where Schedule 1 states that the Provider will process personal data on the Client's behalf.</w:t>
      </w:r>
    </w:p>
    <w:p>
      <w:pPr>
        <w:keepNext/>
        <w:spacing w:after="80" w:before="120"/>
      </w:pPr>
      <w:r>
        <w:rPr>
          <w:rFonts w:ascii="Nunito Sans" w:cs="Nunito Sans" w:eastAsia="Nunito Sans" w:hAnsi="Nunito Sans"/>
          <w:b/>
          <w:bCs/>
          <w:color w:val="16746E"/>
          <w:spacing w:val="30"/>
          <w:sz w:val="15"/>
          <w:szCs w:val="15"/>
        </w:rPr>
        <w:t xml:space="preserve">PART A: DETAILS OF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Subject matter, nature and purpose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recording, transcribing and analysing interviews for the evaluation]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the Effective Date until deletion under paragraph 8]</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Types of 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names, phone numbers, age group, interview answers; any sensitive data such as health information]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the data is about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programme participants aged 18 and over]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sub-processors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cloud storage or transcription software provider]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the data is held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[Countries, and any transfers]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THE PROVIDER'S DUTIES AS PROCESSOR</w:t>
      </w:r>
    </w:p>
    <w:p>
      <w:pPr>
        <w:spacing w:after="120" w:before="0" w:line="300"/>
      </w:pPr>
      <w:r>
        <w:rPr>
          <w:rFonts w:ascii="Nunito Sans" w:cs="Nunito Sans" w:eastAsia="Nunito Sans" w:hAnsi="Nunito Sans"/>
          <w:color w:val="102E3B"/>
          <w:sz w:val="20"/>
          <w:szCs w:val="20"/>
        </w:rPr>
        <w:t xml:space="preserve">When it processes personal data for the Client, the Provider will:</w:t>
      </w:r>
    </w:p>
    <w:p>
      <w:pPr>
        <w:pStyle w:val="ListParagraph"/>
        <w:numPr>
          <w:ilvl w:val="0"/>
          <w:numId w:val="25"/>
        </w:numPr>
        <w:spacing w:after="80" w:line="290"/>
      </w:pPr>
      <w:r>
        <w:rPr>
          <w:rFonts w:ascii="Nunito Sans" w:cs="Nunito Sans" w:eastAsia="Nunito Sans" w:hAnsi="Nunito Sans"/>
          <w:color w:val="102E3B"/>
          <w:sz w:val="20"/>
          <w:szCs w:val="20"/>
        </w:rPr>
        <w:t xml:space="preserve">process it only on the Client's documented instructions (this agreement and this schedule), including on transfers, unless the law requires otherwise, in which case it will tell the Client first if lawful;</w:t>
      </w:r>
    </w:p>
    <w:p>
      <w:pPr>
        <w:pStyle w:val="ListParagraph"/>
        <w:numPr>
          <w:ilvl w:val="0"/>
          <w:numId w:val="25"/>
        </w:numPr>
        <w:spacing w:after="80" w:line="290"/>
      </w:pPr>
      <w:r>
        <w:rPr>
          <w:rFonts w:ascii="Nunito Sans" w:cs="Nunito Sans" w:eastAsia="Nunito Sans" w:hAnsi="Nunito Sans"/>
          <w:color w:val="102E3B"/>
          <w:sz w:val="20"/>
          <w:szCs w:val="20"/>
        </w:rPr>
        <w:t xml:space="preserve">make sure everyone authorised to process the data is bound by confidentiality;</w:t>
      </w:r>
    </w:p>
    <w:p>
      <w:pPr>
        <w:pStyle w:val="ListParagraph"/>
        <w:numPr>
          <w:ilvl w:val="0"/>
          <w:numId w:val="25"/>
        </w:numPr>
        <w:spacing w:after="80" w:line="290"/>
      </w:pPr>
      <w:r>
        <w:rPr>
          <w:rFonts w:ascii="Nunito Sans" w:cs="Nunito Sans" w:eastAsia="Nunito Sans" w:hAnsi="Nunito Sans"/>
          <w:color w:val="102E3B"/>
          <w:sz w:val="20"/>
          <w:szCs w:val="20"/>
        </w:rPr>
        <w:t xml:space="preserve">take appropriate technical and organisational security measures, including at least </w:t>
      </w:r>
      <w:r>
        <w:rPr>
          <w:rFonts w:ascii="Nunito Sans" w:cs="Nunito Sans" w:eastAsia="Nunito Sans" w:hAnsi="Nunito Sans"/>
          <w:color w:val="102E3B"/>
          <w:sz w:val="20"/>
          <w:szCs w:val="20"/>
          <w:highlight w:val="yellow"/>
        </w:rPr>
        <w:t xml:space="preserve">[access limited to named Personnel, multi-factor authentication, encrypted devices and transfers, and secure backups]</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not use a sub-processor without the Client's prior written authorisation, give it the same duties in writing, and remain responsible for it;</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respond to people exercising their data rights, forwarding any request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with security, breach notification, data protection impact assessments and consultation with regulators;</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of any personal data breach without undue delay, and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of becoming aware of it, with the information the Client needs;</w:t>
      </w:r>
    </w:p>
    <w:p>
      <w:pPr>
        <w:pStyle w:val="ListParagraph"/>
        <w:numPr>
          <w:ilvl w:val="0"/>
          <w:numId w:val="25"/>
        </w:numPr>
        <w:spacing w:after="80" w:line="290"/>
      </w:pPr>
      <w:r>
        <w:rPr>
          <w:rFonts w:ascii="Nunito Sans" w:cs="Nunito Sans" w:eastAsia="Nunito Sans" w:hAnsi="Nunito Sans"/>
          <w:color w:val="102E3B"/>
          <w:sz w:val="20"/>
          <w:szCs w:val="20"/>
        </w:rPr>
        <w:t xml:space="preserve">at the end of the Services, at the Client's choice, delete or return all the personal data and delete copies, unless the law requires it to keep them, and confirm this in writing;</w:t>
      </w:r>
    </w:p>
    <w:p>
      <w:pPr>
        <w:pStyle w:val="ListParagraph"/>
        <w:numPr>
          <w:ilvl w:val="0"/>
          <w:numId w:val="25"/>
        </w:numPr>
        <w:spacing w:after="80" w:line="290"/>
      </w:pPr>
      <w:r>
        <w:rPr>
          <w:rFonts w:ascii="Nunito Sans" w:cs="Nunito Sans" w:eastAsia="Nunito Sans" w:hAnsi="Nunito Sans"/>
          <w:color w:val="102E3B"/>
          <w:sz w:val="20"/>
          <w:szCs w:val="20"/>
        </w:rPr>
        <w:t xml:space="preserve">show compliance on request, and allow audits by the Client or its auditor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at once if it believes an instruction breaks Data Protection Law;</w:t>
      </w:r>
    </w:p>
    <w:p>
      <w:pPr>
        <w:pStyle w:val="ListParagraph"/>
        <w:numPr>
          <w:ilvl w:val="0"/>
          <w:numId w:val="25"/>
        </w:numPr>
        <w:spacing w:after="80" w:line="290"/>
      </w:pPr>
      <w:r>
        <w:rPr>
          <w:rFonts w:ascii="Nunito Sans" w:cs="Nunito Sans" w:eastAsia="Nunito Sans" w:hAnsi="Nunito Sans"/>
          <w:color w:val="102E3B"/>
          <w:sz w:val="20"/>
          <w:szCs w:val="20"/>
        </w:rPr>
        <w:t xml:space="preserve">not transfer the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the Client's written consent and the safeguards Data Protection Law requires; and</w:t>
      </w:r>
    </w:p>
    <w:p>
      <w:pPr>
        <w:pStyle w:val="ListParagraph"/>
        <w:numPr>
          <w:ilvl w:val="0"/>
          <w:numId w:val="25"/>
        </w:numPr>
        <w:spacing w:after="80" w:line="290"/>
      </w:pPr>
      <w:r>
        <w:rPr>
          <w:rFonts w:ascii="Nunito Sans" w:cs="Nunito Sans" w:eastAsia="Nunito Sans" w:hAnsi="Nunito Sans"/>
          <w:color w:val="102E3B"/>
          <w:sz w:val="20"/>
          <w:szCs w:val="20"/>
        </w:rPr>
        <w:t xml:space="preserve">not use the data for its own purposes, such as marketing or training AI models.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CLIENT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[Client's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PROVIDER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[Provider's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5C3BFB9-5944-7BE3-3D2B-7DB0A6F3A60A}"/>
  </w:font>
  <w:font w:name="DM Serif Display">
    <w:family w:val="auto"/>
    <w:pitch w:val="variable"/>
    <w:sig w:usb0="E0002AFF" w:usb1="C000247B" w:usb2="00000009" w:usb3="00000000" w:csb0="000001FF" w:csb1="00000000"/>
    <w:embedRegular r:id="rId2" w:fontKey="{C9F7DE57-D3AD-94EA-48DE-1DDE1432E44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Services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dc:title>
  <dc:creator>Method into Impact</dc:creator>
  <dc:description>A clear contract for paid services between [[Organisation name]] and another organisation. It works both ways: when we buy services from a supplier, and when we sell our own services to a client.</dc:description>
  <cp:lastModifiedBy>Un-named</cp:lastModifiedBy>
  <cp:revision>1</cp:revision>
  <dcterms:created xsi:type="dcterms:W3CDTF">2026-10-29T04:56:21.792Z</dcterms:created>
  <dcterms:modified xsi:type="dcterms:W3CDTF">2026-10-29T04:56:21.792Z</dcterms:modified>
</cp:coreProperties>
</file>

<file path=docProps/custom.xml><?xml version="1.0" encoding="utf-8"?>
<Properties xmlns="http://schemas.openxmlformats.org/officeDocument/2006/custom-properties" xmlns:vt="http://schemas.openxmlformats.org/officeDocument/2006/docPropsVTypes"/>
</file>