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Respuesta ante Brechas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 que hace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en la primera hora, el primer día y los tres primeros días después de que se pierda, se robe, quede expuesta o se envíe a la persona equivocada información personal.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brechas en las organizaciones pequeñas son accidentes corrientes: un teléfono perdido, un correo electrónico enviado a la persona equivocada, una bolsa de formularios en papel robada. Lo que importa es una respuesta rápida y serena que proteja a las personas afectadas y cumpla los plazos legales, que pueden ser de solo 72 horas. Este procedimiento indica a todo el mundo qué hacer y ofrece a la persona responsable de protección de datos una lista de verificación, un registro y textos de notificación.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en procesos de debida diligencia y en acuerdos de subvención y de intercambio de datos; autoridades de protección de datos; aseguradoras;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Política de TI y Seguridad de la Información · Procedimiento de Notificación de Incidentes · Política y Procedimiento de Salvaguarda · Acuerdo de Intercambio de Datos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Respuesta ante Brechas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contratistas que tratan información personal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para avisos urgentes]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Registre cada brecha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es una brecha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Ejemplo: Teléfono perdido con contactos de participantes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 Comuníquelo de inmediato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Plazos de un vistazo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2: Contenga la brecha en la primera hora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3: Evalúe el riesgo para las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4: Decida sobre la notificación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brechas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5: Comunique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Preguntas para evaluar el riesgo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6: Recupere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Textos de notificación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7: Aprenda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No tenemos un departamento de TI, así que este procedimiento se basa en avisar rápido y decidir con claridad.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protección de datos y dirige la respuesta ante brechas</w:t>
            </w:r>
            <w:r>
              <w:rPr>
                <w:rFonts w:ascii="Nunito Sans" w:cs="Nunito Sans" w:eastAsia="Nunito Sans" w:hAnsi="Nunito Sans"/>
                <w:color w:val="102E3B"/>
                <w:sz w:val="19"/>
                <w:szCs w:val="19"/>
              </w:rPr>
              <w:t xml:space="preserve"> (la "persona responsable de brechas" en este procedimiento). Se hace cargo de cada brecha, decide sobre la contención y la notificación, y lleva el registro de brechas.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su suplente.</w:t>
            </w:r>
            <w:r>
              <w:rPr>
                <w:rFonts w:ascii="Nunito Sans" w:cs="Nunito Sans" w:eastAsia="Nunito Sans" w:hAnsi="Nunito Sans"/>
                <w:color w:val="102E3B"/>
                <w:sz w:val="19"/>
                <w:szCs w:val="19"/>
              </w:rPr>
              <w:t xml:space="preserve"> Dirige la respuesta cuando no se puede localizar a la persona responsable de brechas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o cuando esta está implicada en la brecha.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una vez al año, después de cada brecha grave y cuando cambia la ley.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asegúrate de que ambas puedan ser localizadas por teléfono fuera del horario de oficina. La persona suplente debe poder actuar sin el permiso de la persona fundadora; por ejemplo, un miembro del órgano de gobierno. Añade tu apoyo externo: la persona o empresa que gestiona tu TI, la línea de asistencia ante brechas de tu aseguradora si tienes un ciberseguro, y una abogada o un abogado al que puedas llamar. Si tienes una persona delegada de protección de datos, debe ser informada de cada brecha.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Una brecha es cualquier incidente en el que se pierde, se roba, queda expuesta, se modifica o deja de estar disponible información personal sin autorización.</w:t>
            </w:r>
          </w:p>
          <w:p>
            <w:pPr>
              <w:pStyle w:val="ListParagraph"/>
              <w:numPr>
                <w:ilvl w:val="0"/>
                <w:numId w:val="3"/>
              </w:numPr>
              <w:spacing w:after="80" w:line="290"/>
            </w:pPr>
            <w:r>
              <w:rPr>
                <w:rFonts w:ascii="Nunito Sans" w:cs="Nunito Sans" w:eastAsia="Nunito Sans" w:hAnsi="Nunito Sans"/>
                <w:color w:val="102E3B"/>
                <w:sz w:val="19"/>
                <w:szCs w:val="19"/>
              </w:rPr>
              <w:t xml:space="preserve">Comunique cualquier sospecha de brecha a la persona responsable de brechas en un plazo de </w:t>
            </w:r>
            <w:r>
              <w:rPr>
                <w:rFonts w:ascii="Nunito Sans" w:cs="Nunito Sans" w:eastAsia="Nunito Sans" w:hAnsi="Nunito Sans"/>
                <w:color w:val="102E3B"/>
                <w:sz w:val="19"/>
                <w:szCs w:val="19"/>
                <w:highlight w:val="yellow"/>
              </w:rPr>
              <w:t xml:space="preserve">[1 hora]</w:t>
            </w:r>
            <w:r>
              <w:rPr>
                <w:rFonts w:ascii="Nunito Sans" w:cs="Nunito Sans" w:eastAsia="Nunito Sans" w:hAnsi="Nunito Sans"/>
                <w:color w:val="102E3B"/>
                <w:sz w:val="19"/>
                <w:szCs w:val="19"/>
              </w:rPr>
              <w:t xml:space="preserve"> desde que la detecte, por teléfono. Comuníquela aunque no esté seguro.</w:t>
            </w:r>
          </w:p>
          <w:p>
            <w:pPr>
              <w:pStyle w:val="ListParagraph"/>
              <w:numPr>
                <w:ilvl w:val="0"/>
                <w:numId w:val="3"/>
              </w:numPr>
              <w:spacing w:after="80" w:line="290"/>
            </w:pPr>
            <w:r>
              <w:rPr>
                <w:rFonts w:ascii="Nunito Sans" w:cs="Nunito Sans" w:eastAsia="Nunito Sans" w:hAnsi="Nunito Sans"/>
                <w:color w:val="102E3B"/>
                <w:sz w:val="19"/>
                <w:szCs w:val="19"/>
              </w:rPr>
              <w:t xml:space="preserve">En la primera hora, la contenemos: bloqueamos o borramos el dispositivo, recuperamos el correo electrónico, cambiamos contraseñas, protegemos los archivos.</w:t>
            </w:r>
          </w:p>
          <w:p>
            <w:pPr>
              <w:pStyle w:val="ListParagraph"/>
              <w:numPr>
                <w:ilvl w:val="0"/>
                <w:numId w:val="3"/>
              </w:numPr>
              <w:spacing w:after="80" w:line="290"/>
            </w:pPr>
            <w:r>
              <w:rPr>
                <w:rFonts w:ascii="Nunito Sans" w:cs="Nunito Sans" w:eastAsia="Nunito Sans" w:hAnsi="Nunito Sans"/>
                <w:color w:val="102E3B"/>
                <w:sz w:val="19"/>
                <w:szCs w:val="19"/>
              </w:rPr>
              <w:t xml:space="preserve">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evaluamos el riesgo para las personas afectadas.</w:t>
            </w:r>
          </w:p>
          <w:p>
            <w:pPr>
              <w:pStyle w:val="ListParagraph"/>
              <w:numPr>
                <w:ilvl w:val="0"/>
                <w:numId w:val="3"/>
              </w:numPr>
              <w:spacing w:after="80" w:line="290"/>
            </w:pPr>
            <w:r>
              <w:rPr>
                <w:rFonts w:ascii="Nunito Sans" w:cs="Nunito Sans" w:eastAsia="Nunito Sans" w:hAnsi="Nunito Sans"/>
                <w:color w:val="102E3B"/>
                <w:sz w:val="19"/>
                <w:szCs w:val="19"/>
              </w:rPr>
              <w:t xml:space="preserve">En un plazo de </w:t>
            </w:r>
            <w:r>
              <w:rPr>
                <w:rFonts w:ascii="Nunito Sans" w:cs="Nunito Sans" w:eastAsia="Nunito Sans" w:hAnsi="Nunito Sans"/>
                <w:color w:val="102E3B"/>
                <w:sz w:val="19"/>
                <w:szCs w:val="19"/>
                <w:highlight w:val="yellow"/>
              </w:rPr>
              <w:t xml:space="preserve">[72 horas]</w:t>
            </w:r>
            <w:r>
              <w:rPr>
                <w:rFonts w:ascii="Nunito Sans" w:cs="Nunito Sans" w:eastAsia="Nunito Sans" w:hAnsi="Nunito Sans"/>
                <w:color w:val="102E3B"/>
                <w:sz w:val="19"/>
                <w:szCs w:val="19"/>
              </w:rPr>
              <w:t xml:space="preserve"> desde que tenemos conocimiento, decidimos si informar a la autoridad de control y, cuando sea obligatorio, se lo notificamos. Informamos a las personas afectadas sin dilación indebida si el riesgo para ellas es alto.</w:t>
            </w:r>
          </w:p>
          <w:p>
            <w:pPr>
              <w:pStyle w:val="ListParagraph"/>
              <w:numPr>
                <w:ilvl w:val="0"/>
                <w:numId w:val="3"/>
              </w:numPr>
              <w:spacing w:after="80" w:line="290"/>
            </w:pPr>
            <w:r>
              <w:rPr>
                <w:rFonts w:ascii="Nunito Sans" w:cs="Nunito Sans" w:eastAsia="Nunito Sans" w:hAnsi="Nunito Sans"/>
                <w:color w:val="102E3B"/>
                <w:sz w:val="19"/>
                <w:szCs w:val="19"/>
              </w:rPr>
              <w:t xml:space="preserve">Informamos a financiadores y socios según lo exijan nuestros acuerdos.</w:t>
            </w:r>
          </w:p>
          <w:p>
            <w:pPr>
              <w:pStyle w:val="ListParagraph"/>
              <w:numPr>
                <w:ilvl w:val="0"/>
                <w:numId w:val="3"/>
              </w:numPr>
              <w:spacing w:after="80" w:line="290"/>
            </w:pPr>
            <w:r>
              <w:rPr>
                <w:rFonts w:ascii="Nunito Sans" w:cs="Nunito Sans" w:eastAsia="Nunito Sans" w:hAnsi="Nunito Sans"/>
                <w:color w:val="102E3B"/>
                <w:sz w:val="19"/>
                <w:szCs w:val="19"/>
              </w:rPr>
              <w:t xml:space="preserve">Registramos cada brecha y cada cuasi incidente, aunque no lo notifiquemos a nadie, y aprendemos de ello.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se aplica a la información personal que conserva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que otras personas o entidades conservan para nosotros, en cualquier formato: teléfonos, equipos portátiles, sistemas en la nube, correo electrónico, aplicaciones de mensajería, hojas de cálculo, archivos en papel y fotos. También se aplica cuando un socio o un proveedor de servicios sufre una brecha que afecta a información que compartimos con él.</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Cumplimos </w:t>
      </w:r>
      <w:r>
        <w:rPr>
          <w:rFonts w:ascii="Nunito Sans" w:cs="Nunito Sans" w:eastAsia="Nunito Sans" w:hAnsi="Nunito Sans"/>
          <w:color w:val="102E3B"/>
          <w:sz w:val="20"/>
          <w:szCs w:val="20"/>
          <w:highlight w:val="yellow"/>
        </w:rPr>
        <w:t xml:space="preserve">[nombre y año de la ley nacional de protección de datos]</w:t>
      </w:r>
      <w:r>
        <w:rPr>
          <w:rFonts w:ascii="Nunito Sans" w:cs="Nunito Sans" w:eastAsia="Nunito Sans" w:hAnsi="Nunito Sans"/>
          <w:color w:val="102E3B"/>
          <w:sz w:val="20"/>
          <w:szCs w:val="20"/>
        </w:rPr>
        <w:t xml:space="preserve"> y las normas de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Cuando conservamos información sobre personas de otros países, cumplimos también la ley que se aplica allí. Usamos el Reglamento General de Protección de Datos (RGPD) como referencia. Cuando las normas difieren, aplicamos la más estricta.</w:t>
      </w:r>
    </w:p>
    <w:p>
      <w:pPr>
        <w:pStyle w:val="Heading1"/>
        <w:keepNext/>
        <w:spacing w:after="160" w:before="360"/>
      </w:pPr>
      <w:r>
        <w:rPr>
          <w:rFonts w:ascii="DM Serif Display" w:cs="DM Serif Display" w:eastAsia="DM Serif Display" w:hAnsi="DM Serif Display"/>
          <w:color w:val="123C48"/>
          <w:sz w:val="40"/>
          <w:szCs w:val="40"/>
        </w:rPr>
        <w:t xml:space="preserve">Qué es una brecha</w:t>
      </w:r>
    </w:p>
    <w:p>
      <w:pPr>
        <w:spacing w:after="120" w:before="0" w:line="300"/>
      </w:pPr>
      <w:r>
        <w:rPr>
          <w:rFonts w:ascii="Nunito Sans" w:cs="Nunito Sans" w:eastAsia="Nunito Sans" w:hAnsi="Nunito Sans"/>
          <w:color w:val="102E3B"/>
          <w:sz w:val="20"/>
          <w:szCs w:val="20"/>
        </w:rPr>
        <w:t xml:space="preserve">Una brecha de datos personales es un incidente de seguridad que provoca que información personal se pierda, se destruya, se modifique, se divulgue o se consulte sin autorización, o que deje de estar disponible. Puede ser accidental o deliberada. Ejemplos:</w:t>
      </w:r>
    </w:p>
    <w:p>
      <w:pPr>
        <w:pStyle w:val="ListParagraph"/>
        <w:numPr>
          <w:ilvl w:val="0"/>
          <w:numId w:val="3"/>
        </w:numPr>
        <w:spacing w:after="80" w:line="290"/>
      </w:pPr>
      <w:r>
        <w:rPr>
          <w:rFonts w:ascii="Nunito Sans" w:cs="Nunito Sans" w:eastAsia="Nunito Sans" w:hAnsi="Nunito Sans"/>
          <w:color w:val="102E3B"/>
          <w:sz w:val="20"/>
          <w:szCs w:val="20"/>
        </w:rPr>
        <w:t xml:space="preserve">Se pierde o se roba un teléfono de trabajo con los contactos de participantes y grupos de WhatsApp.</w:t>
      </w:r>
    </w:p>
    <w:p>
      <w:pPr>
        <w:pStyle w:val="ListParagraph"/>
        <w:numPr>
          <w:ilvl w:val="0"/>
          <w:numId w:val="3"/>
        </w:numPr>
        <w:spacing w:after="80" w:line="290"/>
      </w:pPr>
      <w:r>
        <w:rPr>
          <w:rFonts w:ascii="Nunito Sans" w:cs="Nunito Sans" w:eastAsia="Nunito Sans" w:hAnsi="Nunito Sans"/>
          <w:color w:val="102E3B"/>
          <w:sz w:val="20"/>
          <w:szCs w:val="20"/>
        </w:rPr>
        <w:t xml:space="preserve">Un correo electrónico llega a la persona equivocada, o un correo colectivo muestra la dirección de todas las personas en el campo "Para" en lugar de "CCO".</w:t>
      </w:r>
    </w:p>
    <w:p>
      <w:pPr>
        <w:pStyle w:val="ListParagraph"/>
        <w:numPr>
          <w:ilvl w:val="0"/>
          <w:numId w:val="3"/>
        </w:numPr>
        <w:spacing w:after="80" w:line="290"/>
      </w:pPr>
      <w:r>
        <w:rPr>
          <w:rFonts w:ascii="Nunito Sans" w:cs="Nunito Sans" w:eastAsia="Nunito Sans" w:hAnsi="Nunito Sans"/>
          <w:color w:val="102E3B"/>
          <w:sz w:val="20"/>
          <w:szCs w:val="20"/>
        </w:rPr>
        <w:t xml:space="preserve">Un ransomware, un tipo de software malicioso, bloquea nuestros archivos y exige un pago.</w:t>
      </w:r>
    </w:p>
    <w:p>
      <w:pPr>
        <w:pStyle w:val="ListParagraph"/>
        <w:numPr>
          <w:ilvl w:val="0"/>
          <w:numId w:val="3"/>
        </w:numPr>
        <w:spacing w:after="80" w:line="290"/>
      </w:pPr>
      <w:r>
        <w:rPr>
          <w:rFonts w:ascii="Nunito Sans" w:cs="Nunito Sans" w:eastAsia="Nunito Sans" w:hAnsi="Nunito Sans"/>
          <w:color w:val="102E3B"/>
          <w:sz w:val="20"/>
          <w:szCs w:val="20"/>
        </w:rPr>
        <w:t xml:space="preserve">Se olvidan formularios de inscripción en papel en un autobús, o los roban de una oficina de terreno.</w:t>
      </w:r>
    </w:p>
    <w:p>
      <w:pPr>
        <w:pStyle w:val="ListParagraph"/>
        <w:numPr>
          <w:ilvl w:val="0"/>
          <w:numId w:val="3"/>
        </w:numPr>
        <w:spacing w:after="80" w:line="290"/>
      </w:pPr>
      <w:r>
        <w:rPr>
          <w:rFonts w:ascii="Nunito Sans" w:cs="Nunito Sans" w:eastAsia="Nunito Sans" w:hAnsi="Nunito Sans"/>
          <w:color w:val="102E3B"/>
          <w:sz w:val="20"/>
          <w:szCs w:val="20"/>
        </w:rPr>
        <w:t xml:space="preserve">Alguien se apodera de la cuenta de correo de una persona después de un mensaje de phishing, un correo falso que engaña a las personas para que entreguen sus contraseñas.</w:t>
      </w:r>
    </w:p>
    <w:p>
      <w:pPr>
        <w:pStyle w:val="ListParagraph"/>
        <w:numPr>
          <w:ilvl w:val="0"/>
          <w:numId w:val="3"/>
        </w:numPr>
        <w:spacing w:after="80" w:line="290"/>
      </w:pPr>
      <w:r>
        <w:rPr>
          <w:rFonts w:ascii="Nunito Sans" w:cs="Nunito Sans" w:eastAsia="Nunito Sans" w:hAnsi="Nunito Sans"/>
          <w:color w:val="102E3B"/>
          <w:sz w:val="20"/>
          <w:szCs w:val="20"/>
        </w:rPr>
        <w:t xml:space="preserve">El enlace de una carpeta compartida está configurado como "cualquier persona con el enlace" y se reenvía.</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del personal consulta expedientes que no tiene motivo para ver.</w:t>
      </w:r>
    </w:p>
    <w:p>
      <w:pPr>
        <w:pStyle w:val="ListParagraph"/>
        <w:numPr>
          <w:ilvl w:val="0"/>
          <w:numId w:val="3"/>
        </w:numPr>
        <w:spacing w:after="80" w:line="290"/>
      </w:pPr>
      <w:r>
        <w:rPr>
          <w:rFonts w:ascii="Nunito Sans" w:cs="Nunito Sans" w:eastAsia="Nunito Sans" w:hAnsi="Nunito Sans"/>
          <w:color w:val="102E3B"/>
          <w:sz w:val="20"/>
          <w:szCs w:val="20"/>
        </w:rPr>
        <w:t xml:space="preserve">Se publica una foto o una historia que revela dónde vive alguien.</w:t>
      </w:r>
    </w:p>
    <w:p>
      <w:pPr>
        <w:pStyle w:val="ListParagraph"/>
        <w:numPr>
          <w:ilvl w:val="0"/>
          <w:numId w:val="3"/>
        </w:numPr>
        <w:spacing w:after="80" w:line="290"/>
      </w:pPr>
      <w:r>
        <w:rPr>
          <w:rFonts w:ascii="Nunito Sans" w:cs="Nunito Sans" w:eastAsia="Nunito Sans" w:hAnsi="Nunito Sans"/>
          <w:color w:val="102E3B"/>
          <w:sz w:val="20"/>
          <w:szCs w:val="20"/>
        </w:rPr>
        <w:t xml:space="preserve">Un proveedor o un socio que conserva nuestros datos sufre una brecha.</w:t>
      </w:r>
    </w:p>
    <w:p>
      <w:pPr>
        <w:pStyle w:val="ListParagraph"/>
        <w:numPr>
          <w:ilvl w:val="0"/>
          <w:numId w:val="3"/>
        </w:numPr>
        <w:spacing w:after="80" w:line="290"/>
      </w:pPr>
      <w:r>
        <w:rPr>
          <w:rFonts w:ascii="Nunito Sans" w:cs="Nunito Sans" w:eastAsia="Nunito Sans" w:hAnsi="Nunito Sans"/>
          <w:color w:val="102E3B"/>
          <w:sz w:val="20"/>
          <w:szCs w:val="20"/>
        </w:rPr>
        <w:t xml:space="preserve">Se borran registros por error y no hay copia de seguridad.</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cuasi incidente</w:t>
      </w:r>
      <w:r>
        <w:rPr>
          <w:rFonts w:ascii="Nunito Sans" w:cs="Nunito Sans" w:eastAsia="Nunito Sans" w:hAnsi="Nunito Sans"/>
          <w:color w:val="102E3B"/>
          <w:sz w:val="20"/>
          <w:szCs w:val="20"/>
        </w:rPr>
        <w:t xml:space="preserve"> es un incidente que podría haber provocado una brecha pero no lo hizo, por ejemplo un equipo portátil perdido que se encuentra sin abrir una hora después. También registramos los cuasi incidentes.</w:t>
      </w:r>
    </w:p>
    <w:p>
      <w:pPr>
        <w:pStyle w:val="Heading1"/>
        <w:keepNext/>
        <w:spacing w:after="160" w:before="360"/>
      </w:pPr>
      <w:r>
        <w:rPr>
          <w:rFonts w:ascii="DM Serif Display" w:cs="DM Serif Display" w:eastAsia="DM Serif Display" w:hAnsi="DM Serif Display"/>
          <w:color w:val="123C48"/>
          <w:sz w:val="40"/>
          <w:szCs w:val="40"/>
        </w:rPr>
        <w:t xml:space="preserve">Paso 1: Comuníquelo de inmediato</w:t>
      </w:r>
    </w:p>
    <w:p>
      <w:pPr>
        <w:spacing w:after="120" w:before="0" w:line="300"/>
      </w:pPr>
      <w:r>
        <w:rPr>
          <w:rFonts w:ascii="Nunito Sans" w:cs="Nunito Sans" w:eastAsia="Nunito Sans" w:hAnsi="Nunito Sans"/>
          <w:color w:val="102E3B"/>
          <w:sz w:val="20"/>
          <w:szCs w:val="20"/>
        </w:rPr>
        <w:t xml:space="preserve">Si descubre o sospecha una brecha, en cualquier momento y la haya causado quien la haya causado:</w:t>
      </w:r>
    </w:p>
    <w:p>
      <w:pPr>
        <w:pStyle w:val="ListParagraph"/>
        <w:numPr>
          <w:ilvl w:val="0"/>
          <w:numId w:val="4"/>
        </w:numPr>
        <w:spacing w:after="80" w:line="290"/>
      </w:pPr>
      <w:r>
        <w:rPr>
          <w:rFonts w:ascii="Nunito Sans" w:cs="Nunito Sans" w:eastAsia="Nunito Sans" w:hAnsi="Nunito Sans"/>
          <w:color w:val="102E3B"/>
          <w:sz w:val="20"/>
          <w:szCs w:val="20"/>
        </w:rPr>
        <w:t xml:space="preserve">Llame a la persona responsable de brechas al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Si no consigue localizarla en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 llame a la persona suplente al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Después, envíe los detalles por correo electrónico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Explique qué ocurrió, cuándo, qué información está afectada y qué ha hecho ya.</w:t>
      </w:r>
    </w:p>
    <w:p>
      <w:pPr>
        <w:pStyle w:val="ListParagraph"/>
        <w:numPr>
          <w:ilvl w:val="0"/>
          <w:numId w:val="4"/>
        </w:numPr>
        <w:spacing w:after="80" w:line="290"/>
      </w:pPr>
      <w:r>
        <w:rPr>
          <w:rFonts w:ascii="Nunito Sans" w:cs="Nunito Sans" w:eastAsia="Nunito Sans" w:hAnsi="Nunito Sans"/>
          <w:color w:val="102E3B"/>
          <w:sz w:val="20"/>
          <w:szCs w:val="20"/>
        </w:rPr>
        <w:t xml:space="preserve">No borre nada, no intente investigar y no se ponga en contacto usted mismo con las personas afectadas.</w:t>
      </w:r>
    </w:p>
    <w:p>
      <w:pPr>
        <w:pStyle w:val="ListParagraph"/>
        <w:numPr>
          <w:ilvl w:val="0"/>
          <w:numId w:val="4"/>
        </w:numPr>
        <w:spacing w:after="80" w:line="290"/>
      </w:pPr>
      <w:r>
        <w:rPr>
          <w:rFonts w:ascii="Nunito Sans" w:cs="Nunito Sans" w:eastAsia="Nunito Sans" w:hAnsi="Nunito Sans"/>
          <w:color w:val="102E3B"/>
          <w:sz w:val="20"/>
          <w:szCs w:val="20"/>
        </w:rPr>
        <w:t xml:space="preserve">Si a consecuencia de la brecha alguien puede estar en peligro, siga al mismo tiempo la Política y Procedimiento de Salvaguarda.</w:t>
      </w:r>
    </w:p>
    <w:p>
      <w:pPr>
        <w:spacing w:after="120" w:before="0" w:line="300"/>
      </w:pPr>
      <w:r>
        <w:rPr>
          <w:rFonts w:ascii="Nunito Sans" w:cs="Nunito Sans" w:eastAsia="Nunito Sans" w:hAnsi="Nunito Sans"/>
          <w:color w:val="102E3B"/>
          <w:sz w:val="20"/>
          <w:szCs w:val="20"/>
        </w:rPr>
        <w:t xml:space="preserve">Comuníquelo aunque haya sido usted quien causó la brecha. Tratamos los errores cometidos de buena fe como una oportunidad para aprender. Ocultar una brecha, o retrasar su comunicación, es un asunto grave.</w:t>
      </w:r>
    </w:p>
    <w:p>
      <w:pPr>
        <w:pStyle w:val="Heading1"/>
        <w:keepNext/>
        <w:spacing w:after="160" w:before="360"/>
      </w:pPr>
      <w:r>
        <w:rPr>
          <w:rFonts w:ascii="DM Serif Display" w:cs="DM Serif Display" w:eastAsia="DM Serif Display" w:hAnsi="DM Serif Display"/>
          <w:color w:val="123C48"/>
          <w:sz w:val="40"/>
          <w:szCs w:val="40"/>
        </w:rPr>
        <w:t xml:space="preserve">Paso 2: Contenga la brecha en la primera hora</w:t>
      </w:r>
    </w:p>
    <w:p>
      <w:pPr>
        <w:spacing w:after="120" w:before="0" w:line="300"/>
      </w:pPr>
      <w:r>
        <w:rPr>
          <w:rFonts w:ascii="Nunito Sans" w:cs="Nunito Sans" w:eastAsia="Nunito Sans" w:hAnsi="Nunito Sans"/>
          <w:color w:val="102E3B"/>
          <w:sz w:val="20"/>
          <w:szCs w:val="20"/>
        </w:rPr>
        <w:t xml:space="preserve">La persona responsable de brechas se hace cargo y abre una entrada en el registro de brechas (Anexo A). Anota la hora en que tuvimos conocimiento: los plazos legales suelen contar desde ese momento. A continuación, actúa para detener la brecha y limitar el daño.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 perdido o robado: bloquearlo, localizarlo o borrarlo a distancia; cerrar la sesión del dispositivo en las cuentas de correo, nube y mensajería; cambiar las contraseñas; retirarlo de los grupos de WhatsApp.</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Destinatario de correo equivocado: intentar recuperar el mensaje; contactar con quien lo recibió, pedirle que lo borre y que lo confirme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tomada por un tercero: cambiar la contraseña, cerrar todas las sesiones, activar la verificación en dos pasos, revisar las reglas de reenvío.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Ransomware o software malicioso: desconectar los dispositivos afectados de internet y de la red; no pagar ningún rescate sin asesoramiento; llamar al soporte de TI.</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Archivos en papel perdidos o robados: buscar en el último lugar conocido; denunciar el robo a la policía; proteger los archivos restantes.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Enlace compartido o acceso indebido: eliminar el enlace o el acceso y comprobar quién abrió el archivo.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Brecha de un proveedor o socio: pedir los detalles por escrito y saber qué están haciendo.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Conservar las pruebas: registros, capturas de pantalla, correos electrónicos y notas de lo que se hizo, con las horas.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HERRAMIENTAS DE CONTENCIÓN</w:t>
            </w:r>
          </w:p>
          <w:p>
            <w:pPr>
              <w:spacing w:after="120" w:before="0" w:line="300"/>
            </w:pPr>
            <w:r>
              <w:rPr>
                <w:rFonts w:ascii="Nunito Sans" w:cs="Nunito Sans" w:eastAsia="Nunito Sans" w:hAnsi="Nunito Sans"/>
                <w:color w:val="102E3B"/>
                <w:sz w:val="19"/>
                <w:szCs w:val="19"/>
              </w:rPr>
              <w:t xml:space="preserve">Comprueba ahora, antes de que ocurra una brecha, que puedes hacer estas cosas. ¿Puedes borrar a distancia los teléfonos de trabajo? ¿Quién tiene la contraseña de administración de las cuentas de correo y de la nube? ¿Se guardan las copias de seguridad separadas del sistema principal, para que un ransomware no pueda alcanzarlas? Escribe aquí los pasos para tus propias herramientas y añade una breve lista de contactos del soporte de TI y de tu aseguradora. La Política de TI y Seguridad de la Información debe establecer los controles de base.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3: Evalúe el riesgo para las personas</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la persona responsable de brechas evalúa el efecto probable sobre las personas cuya información está afectada, con las preguntas del Anexo B. La cuestión no es cuánto nos avergüenza la brecha. Es qué les podría pasar a las personas afectadas. Los daños incluyen daño físico, discriminación, usurpación de identidad, pérdidas económicas, daño a la reputación, pérdida de confidencialidad y angustia.</w:t>
      </w:r>
    </w:p>
    <w:p>
      <w:pPr>
        <w:spacing w:after="120" w:before="0" w:line="300"/>
      </w:pPr>
      <w:r>
        <w:rPr>
          <w:rFonts w:ascii="Nunito Sans" w:cs="Nunito Sans" w:eastAsia="Nunito Sans" w:hAnsi="Nunito Sans"/>
          <w:color w:val="102E3B"/>
          <w:sz w:val="20"/>
          <w:szCs w:val="20"/>
        </w:rPr>
        <w:t xml:space="preserve">Clasifica la brecha:</w:t>
      </w:r>
    </w:p>
    <w:p>
      <w:pPr>
        <w:pStyle w:val="ListParagraph"/>
        <w:numPr>
          <w:ilvl w:val="0"/>
          <w:numId w:val="3"/>
        </w:numPr>
        <w:spacing w:after="80" w:line="290"/>
      </w:pPr>
      <w:r>
        <w:rPr>
          <w:rFonts w:ascii="Nunito Sans" w:cs="Nunito Sans" w:eastAsia="Nunito Sans" w:hAnsi="Nunito Sans"/>
          <w:b/>
          <w:bCs/>
          <w:color w:val="102E3B"/>
          <w:sz w:val="20"/>
          <w:szCs w:val="20"/>
        </w:rPr>
        <w:t xml:space="preserve">Sin riesgo probable:</w:t>
      </w:r>
      <w:r>
        <w:rPr>
          <w:rFonts w:ascii="Nunito Sans" w:cs="Nunito Sans" w:eastAsia="Nunito Sans" w:hAnsi="Nunito Sans"/>
          <w:color w:val="102E3B"/>
          <w:sz w:val="20"/>
          <w:szCs w:val="20"/>
        </w:rPr>
        <w:t xml:space="preserve"> por ejemplo, la pérdida de un equipo portátil cifrado con una contraseña segura, o una lista de direcciones de correo públicas enviada a un socio que la borró.</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w:t>
      </w:r>
      <w:r>
        <w:rPr>
          <w:rFonts w:ascii="Nunito Sans" w:cs="Nunito Sans" w:eastAsia="Nunito Sans" w:hAnsi="Nunito Sans"/>
          <w:color w:val="102E3B"/>
          <w:sz w:val="20"/>
          <w:szCs w:val="20"/>
        </w:rPr>
        <w:t xml:space="preserve"> es posible algún daño, pero no grave o no probable.</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 alto:</w:t>
      </w:r>
      <w:r>
        <w:rPr>
          <w:rFonts w:ascii="Nunito Sans" w:cs="Nunito Sans" w:eastAsia="Nunito Sans" w:hAnsi="Nunito Sans"/>
          <w:color w:val="102E3B"/>
          <w:sz w:val="20"/>
          <w:szCs w:val="20"/>
        </w:rPr>
        <w:t xml:space="preserve"> es probable un daño grave, por ejemplo cuando quedan expuestos datos de salud, estado serológico respecto del VIH, orientación sexual, situación migratoria, información sobre personas sobrevivientes o de salvaguarda, datos de niñas y niños, la ubicación de personas en riesgo o datos bancarios.</w:t>
      </w:r>
    </w:p>
    <w:p>
      <w:pPr>
        <w:spacing w:after="120" w:before="0" w:line="300"/>
      </w:pPr>
      <w:r>
        <w:rPr>
          <w:rFonts w:ascii="Nunito Sans" w:cs="Nunito Sans" w:eastAsia="Nunito Sans" w:hAnsi="Nunito Sans"/>
          <w:color w:val="102E3B"/>
          <w:sz w:val="20"/>
          <w:szCs w:val="20"/>
        </w:rPr>
        <w:t xml:space="preserve">En las brechas graves o de riesgo alto, la persona responsable de brechas reúne un pequeño equipo de respuesta: </w:t>
      </w:r>
      <w:r>
        <w:rPr>
          <w:rFonts w:ascii="Nunito Sans" w:cs="Nunito Sans" w:eastAsia="Nunito Sans" w:hAnsi="Nunito Sans"/>
          <w:color w:val="102E3B"/>
          <w:sz w:val="20"/>
          <w:szCs w:val="20"/>
          <w:highlight w:val="yellow"/>
        </w:rPr>
        <w:t xml:space="preserve">[dirección / persona fundadora]</w:t>
      </w:r>
      <w:r>
        <w:rPr>
          <w:rFonts w:ascii="Nunito Sans" w:cs="Nunito Sans" w:eastAsia="Nunito Sans" w:hAnsi="Nunito Sans"/>
          <w:color w:val="102E3B"/>
          <w:sz w:val="20"/>
          <w:szCs w:val="20"/>
        </w:rPr>
        <w:t xml:space="preserve">, la persona responsable de salvaguarda, el soporte de TI y, cuando sea necesario, una abogada o un abogado y la aseguradora.</w:t>
      </w:r>
    </w:p>
    <w:p>
      <w:pPr>
        <w:pStyle w:val="Heading1"/>
        <w:keepNext/>
        <w:spacing w:after="160" w:before="360"/>
      </w:pPr>
      <w:r>
        <w:rPr>
          <w:rFonts w:ascii="DM Serif Display" w:cs="DM Serif Display" w:eastAsia="DM Serif Display" w:hAnsi="DM Serif Display"/>
          <w:color w:val="123C48"/>
          <w:sz w:val="40"/>
          <w:szCs w:val="40"/>
        </w:rPr>
        <w:t xml:space="preserve">Paso 4: Decida sobre la notificación</w:t>
      </w:r>
    </w:p>
    <w:p>
      <w:pPr>
        <w:spacing w:after="120" w:before="0" w:line="300"/>
      </w:pPr>
      <w:r>
        <w:rPr>
          <w:rFonts w:ascii="Nunito Sans" w:cs="Nunito Sans" w:eastAsia="Nunito Sans" w:hAnsi="Nunito Sans"/>
          <w:color w:val="102E3B"/>
          <w:sz w:val="20"/>
          <w:szCs w:val="20"/>
        </w:rPr>
        <w:t xml:space="preserve">La persona responsable de brechas decide a quién hay que informar y deja constancia de los motivos de cada decisión, incluidas las decisiones de no notificar.</w:t>
      </w:r>
    </w:p>
    <w:p>
      <w:pPr>
        <w:pStyle w:val="Heading2"/>
        <w:keepNext/>
        <w:spacing w:after="120" w:before="280"/>
      </w:pPr>
      <w:r>
        <w:rPr>
          <w:rFonts w:ascii="DM Serif Display" w:cs="DM Serif Display" w:eastAsia="DM Serif Display" w:hAnsi="DM Serif Display"/>
          <w:color w:val="123C48"/>
          <w:sz w:val="28"/>
          <w:szCs w:val="28"/>
        </w:rPr>
        <w:t xml:space="preserve">La autoridad de control</w:t>
      </w:r>
    </w:p>
    <w:p>
      <w:pPr>
        <w:spacing w:after="120" w:before="0" w:line="300"/>
      </w:pPr>
      <w:r>
        <w:rPr>
          <w:rFonts w:ascii="Nunito Sans" w:cs="Nunito Sans" w:eastAsia="Nunito Sans" w:hAnsi="Nunito Sans"/>
          <w:color w:val="102E3B"/>
          <w:sz w:val="20"/>
          <w:szCs w:val="20"/>
        </w:rPr>
        <w:t xml:space="preserve">Según el RGPD, debemos notificar a la autoridad de control en un plazo de 72 horas desde que tenemos conocimiento de una brecha, salvo que sea improbable que suponga un riesgo para las personas. Si no tenemos todos los datos, notificamos lo que sabemos y enviamos el resto después. Notificamos a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[su formulario en línea / 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[72 horas]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Las personas afectadas</w:t>
      </w:r>
    </w:p>
    <w:p>
      <w:pPr>
        <w:spacing w:after="120" w:before="0" w:line="300"/>
      </w:pPr>
      <w:r>
        <w:rPr>
          <w:rFonts w:ascii="Nunito Sans" w:cs="Nunito Sans" w:eastAsia="Nunito Sans" w:hAnsi="Nunito Sans"/>
          <w:color w:val="102E3B"/>
          <w:sz w:val="20"/>
          <w:szCs w:val="20"/>
        </w:rPr>
        <w:t xml:space="preserve">Informamos a las personas afectadas sin dilación indebida cuando es probable que la brecha suponga un riesgo alto para ellas, para que puedan protegerse. También podemos informarles cuando el riesgo es menor, si eso les ayuda. Usamos un lenguaje sencillo, su propio idioma y un canal que les llegue de forma segura: una llamada o una visita puede ser mejor que una carta para personas con bajo nivel de alfabetización o donde el correo postal no es privado.</w:t>
      </w:r>
    </w:p>
    <w:p>
      <w:pPr>
        <w:pStyle w:val="Heading2"/>
        <w:keepNext/>
        <w:spacing w:after="120" w:before="280"/>
      </w:pPr>
      <w:r>
        <w:rPr>
          <w:rFonts w:ascii="DM Serif Display" w:cs="DM Serif Display" w:eastAsia="DM Serif Display" w:hAnsi="DM Serif Display"/>
          <w:color w:val="123C48"/>
          <w:sz w:val="28"/>
          <w:szCs w:val="28"/>
        </w:rPr>
        <w:t xml:space="preserve">Financiadores, socios y 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muchos acuerdos de subvención exigen comunicar una brecha de datos en un plazo determinado, a menudo de </w:t>
      </w:r>
      <w:r>
        <w:rPr>
          <w:rFonts w:ascii="Nunito Sans" w:cs="Nunito Sans" w:eastAsia="Nunito Sans" w:hAnsi="Nunito Sans"/>
          <w:color w:val="102E3B"/>
          <w:sz w:val="20"/>
          <w:szCs w:val="20"/>
          <w:highlight w:val="yellow"/>
        </w:rPr>
        <w:t xml:space="preserve">[24 a 72 horas]</w:t>
      </w:r>
      <w:r>
        <w:rPr>
          <w:rFonts w:ascii="Nunito Sans" w:cs="Nunito Sans" w:eastAsia="Nunito Sans" w:hAnsi="Nunito Sans"/>
          <w:color w:val="102E3B"/>
          <w:sz w:val="20"/>
          <w:szCs w:val="20"/>
        </w:rPr>
        <w:t xml:space="preserve">. Revise cada acuerdo.</w:t>
      </w:r>
    </w:p>
    <w:p>
      <w:pPr>
        <w:pStyle w:val="ListParagraph"/>
        <w:numPr>
          <w:ilvl w:val="0"/>
          <w:numId w:val="3"/>
        </w:numPr>
        <w:spacing w:after="80" w:line="290"/>
      </w:pPr>
      <w:r>
        <w:rPr>
          <w:rFonts w:ascii="Nunito Sans" w:cs="Nunito Sans" w:eastAsia="Nunito Sans" w:hAnsi="Nunito Sans"/>
          <w:b/>
          <w:bCs/>
          <w:color w:val="102E3B"/>
          <w:sz w:val="20"/>
          <w:szCs w:val="20"/>
        </w:rPr>
        <w:t xml:space="preserve">Socios:</w:t>
      </w:r>
      <w:r>
        <w:rPr>
          <w:rFonts w:ascii="Nunito Sans" w:cs="Nunito Sans" w:eastAsia="Nunito Sans" w:hAnsi="Nunito Sans"/>
          <w:color w:val="102E3B"/>
          <w:sz w:val="20"/>
          <w:szCs w:val="20"/>
        </w:rPr>
        <w:t xml:space="preserve"> si un socio compartió los datos con nosotros, nuestro Acuerdo de Intercambio de Datos indica con qué rapidez debemos informarle. Si actuamos en su nombre, es el socio quien toma las decisiones de notificación y nosotros le apoyamos.</w:t>
      </w:r>
    </w:p>
    <w:p>
      <w:pPr>
        <w:pStyle w:val="ListParagraph"/>
        <w:numPr>
          <w:ilvl w:val="0"/>
          <w:numId w:val="3"/>
        </w:numPr>
        <w:spacing w:after="80" w:line="290"/>
      </w:pPr>
      <w:r>
        <w:rPr>
          <w:rFonts w:ascii="Nunito Sans" w:cs="Nunito Sans" w:eastAsia="Nunito Sans" w:hAnsi="Nunito Sans"/>
          <w:b/>
          <w:bCs/>
          <w:color w:val="102E3B"/>
          <w:sz w:val="20"/>
          <w:szCs w:val="20"/>
        </w:rPr>
        <w:t xml:space="preserve">Policía:</w:t>
      </w:r>
      <w:r>
        <w:rPr>
          <w:rFonts w:ascii="Nunito Sans" w:cs="Nunito Sans" w:eastAsia="Nunito Sans" w:hAnsi="Nunito Sans"/>
          <w:color w:val="102E3B"/>
          <w:sz w:val="20"/>
          <w:szCs w:val="20"/>
        </w:rPr>
        <w:t xml:space="preserve"> en casos de robo, fraude, extorsión o ransomware.</w:t>
      </w:r>
    </w:p>
    <w:p>
      <w:pPr>
        <w:pStyle w:val="ListParagraph"/>
        <w:numPr>
          <w:ilvl w:val="0"/>
          <w:numId w:val="3"/>
        </w:numPr>
        <w:spacing w:after="80" w:line="290"/>
      </w:pPr>
      <w:r>
        <w:rPr>
          <w:rFonts w:ascii="Nunito Sans" w:cs="Nunito Sans" w:eastAsia="Nunito Sans" w:hAnsi="Nunito Sans"/>
          <w:b/>
          <w:bCs/>
          <w:color w:val="102E3B"/>
          <w:sz w:val="20"/>
          <w:szCs w:val="20"/>
        </w:rPr>
        <w:t xml:space="preserve">Banco:</w:t>
      </w:r>
      <w:r>
        <w:rPr>
          <w:rFonts w:ascii="Nunito Sans" w:cs="Nunito Sans" w:eastAsia="Nunito Sans" w:hAnsi="Nunito Sans"/>
          <w:color w:val="102E3B"/>
          <w:sz w:val="20"/>
          <w:szCs w:val="20"/>
        </w:rPr>
        <w:t xml:space="preserve"> si están afectados datos financieros o cuentas.</w:t>
      </w:r>
    </w:p>
    <w:p>
      <w:pPr>
        <w:pStyle w:val="ListParagraph"/>
        <w:numPr>
          <w:ilvl w:val="0"/>
          <w:numId w:val="3"/>
        </w:numPr>
        <w:spacing w:after="80" w:line="290"/>
      </w:pPr>
      <w:r>
        <w:rPr>
          <w:rFonts w:ascii="Nunito Sans" w:cs="Nunito Sans" w:eastAsia="Nunito Sans" w:hAnsi="Nunito Sans"/>
          <w:b/>
          <w:bCs/>
          <w:color w:val="102E3B"/>
          <w:sz w:val="20"/>
          <w:szCs w:val="20"/>
        </w:rPr>
        <w:t xml:space="preserve">Aseguradora:</w:t>
      </w:r>
      <w:r>
        <w:rPr>
          <w:rFonts w:ascii="Nunito Sans" w:cs="Nunito Sans" w:eastAsia="Nunito Sans" w:hAnsi="Nunito Sans"/>
          <w:color w:val="102E3B"/>
          <w:sz w:val="20"/>
          <w:szCs w:val="20"/>
        </w:rPr>
        <w:t xml:space="preserve"> según exija la póliza, a menudo antes de tomar otras medidas.</w:t>
      </w:r>
    </w:p>
    <w:p>
      <w:pPr>
        <w:pStyle w:val="ListParagraph"/>
        <w:numPr>
          <w:ilvl w:val="0"/>
          <w:numId w:val="3"/>
        </w:numPr>
        <w:spacing w:after="80" w:line="290"/>
      </w:pPr>
      <w:r>
        <w:rPr>
          <w:rFonts w:ascii="Nunito Sans" w:cs="Nunito Sans" w:eastAsia="Nunito Sans" w:hAnsi="Nunito Sans"/>
          <w:b/>
          <w:bCs/>
          <w:color w:val="102E3B"/>
          <w:sz w:val="20"/>
          <w:szCs w:val="20"/>
        </w:rPr>
        <w:t xml:space="preserve">Órgano de gobierno:</w:t>
      </w:r>
      <w:r>
        <w:rPr>
          <w:rFonts w:ascii="Nunito Sans" w:cs="Nunito Sans" w:eastAsia="Nunito Sans" w:hAnsi="Nunito Sans"/>
          <w:color w:val="102E3B"/>
          <w:sz w:val="20"/>
          <w:szCs w:val="20"/>
        </w:rPr>
        <w:t xml:space="preserve"> se informa a la presidencia de cada brecha de riesgo alto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DE NOTIFICACIÓN POR PAÍS</w:t>
            </w:r>
          </w:p>
          <w:p>
            <w:pPr>
              <w:spacing w:after="120" w:before="0" w:line="300"/>
            </w:pPr>
            <w:r>
              <w:rPr>
                <w:rFonts w:ascii="Nunito Sans" w:cs="Nunito Sans" w:eastAsia="Nunito Sans" w:hAnsi="Nunito Sans"/>
                <w:color w:val="102E3B"/>
                <w:sz w:val="19"/>
                <w:szCs w:val="19"/>
              </w:rPr>
              <w:t xml:space="preserve">Comprueba los plazos y umbrales que se te aplican. RGPD y UK GDPR: a la autoridad de control en un plazo de 72 horas, salvo que sea improbable que suponga un riesgo; a las personas afectadas sin dilación indebida si el riesgo es alto. Kenia, Data Protection Act 2019: al Data Commissioner en un plazo de 72 horas, y a las personas afectadas en un plazo razonablemente factible. Nigeria, Data Protection Act 2023: a la Nigeria Data Protection Commission en un plazo de 72 horas, y a las personas afectadas de inmediato si el riesgo es alto. Sudáfrica, POPIA: al Information Regulator y a las personas afectadas tan pronto como sea razonablemente posible, sin un número fijo de horas. Brasil, LGPD: a la ANPD y a las personas afectadas cuando exista un riesgo relevante; la Resolución ANPD 15/2024 fija 3 días hábiles desde que se tiene conocimiento, plazo que se duplica para los agentes de tratamiento de pequeño tamaño. India, DPDP Act 2023 y su reglamento de 2025 (Rules): a la Data Protection Board y a cada persona afectada, con un informe detallado a la Board en un plazo de 72 horas; estas normas debían aplicarse 18 meses después de su publicación en noviembre de 2025, así que comprueba si están en vigor. Indonesia, Ley 27 de 2022: notificación por escrito a las personas afectadas y a la autoridad en un plazo de 3 x 24 horas. Perú, Ley 29733 y su reglamento de 2024: a la autoridad nacional en un plazo de 48 horas desde la detección del incidente. Argentina: comprueba las normas vigentes, que han ido cambiando. Si conservas datos de donantes en Estados Unidos, también pueden aplicarse las leyes estatales sobre brechas de seguridad.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5: Comunique</w:t>
      </w:r>
    </w:p>
    <w:p>
      <w:pPr>
        <w:pStyle w:val="ListParagraph"/>
        <w:numPr>
          <w:ilvl w:val="0"/>
          <w:numId w:val="3"/>
        </w:numPr>
        <w:spacing w:after="80" w:line="290"/>
      </w:pPr>
      <w:r>
        <w:rPr>
          <w:rFonts w:ascii="Nunito Sans" w:cs="Nunito Sans" w:eastAsia="Nunito Sans" w:hAnsi="Nunito Sans"/>
          <w:color w:val="102E3B"/>
          <w:sz w:val="20"/>
          <w:szCs w:val="20"/>
        </w:rPr>
        <w:t xml:space="preserve">Solo la persona responsable de brechas, o alguien a quien ella autorice, habla de una brecha fuera de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implicadas mantienen la confidencialidad de los detalles, también en sus redes sociales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Los mensajes a las personas afectadas explican qué ocurrió, qué información está afectada, qué daño podría derivarse, qué hemos hecho, qué pueden hacer ellas y a quién contactar. El Anexo C incluye textos modelo.</w:t>
      </w:r>
    </w:p>
    <w:p>
      <w:pPr>
        <w:pStyle w:val="ListParagraph"/>
        <w:numPr>
          <w:ilvl w:val="0"/>
          <w:numId w:val="3"/>
        </w:numPr>
        <w:spacing w:after="80" w:line="290"/>
      </w:pPr>
      <w:r>
        <w:rPr>
          <w:rFonts w:ascii="Nunito Sans" w:cs="Nunito Sans" w:eastAsia="Nunito Sans" w:hAnsi="Nunito Sans"/>
          <w:color w:val="102E3B"/>
          <w:sz w:val="20"/>
          <w:szCs w:val="20"/>
        </w:rPr>
        <w:t xml:space="preserve">Si los medios de comunicación preguntan, usamos una breve declaración provisional y honesta aprobada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no nombramos a ninguna persona afectada.</w:t>
      </w:r>
    </w:p>
    <w:p>
      <w:pPr>
        <w:pStyle w:val="ListParagraph"/>
        <w:numPr>
          <w:ilvl w:val="0"/>
          <w:numId w:val="3"/>
        </w:numPr>
        <w:spacing w:after="80" w:line="290"/>
      </w:pPr>
      <w:r>
        <w:rPr>
          <w:rFonts w:ascii="Nunito Sans" w:cs="Nunito Sans" w:eastAsia="Nunito Sans" w:hAnsi="Nunito Sans"/>
          <w:color w:val="102E3B"/>
          <w:sz w:val="20"/>
          <w:szCs w:val="20"/>
        </w:rPr>
        <w:t xml:space="preserve">Cuando las personas puedan correr riesgo de daño físico, la persona responsable de salvaguarda decide cómo y cuándo se les informa, para que el propio mensaje no las ponga en peligro.</w:t>
      </w:r>
    </w:p>
    <w:p>
      <w:pPr>
        <w:pStyle w:val="Heading1"/>
        <w:keepNext/>
        <w:spacing w:after="160" w:before="360"/>
      </w:pPr>
      <w:r>
        <w:rPr>
          <w:rFonts w:ascii="DM Serif Display" w:cs="DM Serif Display" w:eastAsia="DM Serif Display" w:hAnsi="DM Serif Display"/>
          <w:color w:val="123C48"/>
          <w:sz w:val="40"/>
          <w:szCs w:val="40"/>
        </w:rPr>
        <w:t xml:space="preserve">Paso 6: Recupere</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[2 semanas]</w:t>
      </w:r>
      <w:r>
        <w:rPr>
          <w:rFonts w:ascii="Nunito Sans" w:cs="Nunito Sans" w:eastAsia="Nunito Sans" w:hAnsi="Nunito Sans"/>
          <w:color w:val="102E3B"/>
          <w:sz w:val="20"/>
          <w:szCs w:val="20"/>
        </w:rPr>
        <w:t xml:space="preserve">, o antes en las brechas graves, la persona responsable de brechas se asegura de que:</w:t>
      </w:r>
    </w:p>
    <w:p>
      <w:pPr>
        <w:pStyle w:val="ListParagraph"/>
        <w:numPr>
          <w:ilvl w:val="0"/>
          <w:numId w:val="3"/>
        </w:numPr>
        <w:spacing w:after="80" w:line="290"/>
      </w:pPr>
      <w:r>
        <w:rPr>
          <w:rFonts w:ascii="Nunito Sans" w:cs="Nunito Sans" w:eastAsia="Nunito Sans" w:hAnsi="Nunito Sans"/>
          <w:color w:val="102E3B"/>
          <w:sz w:val="20"/>
          <w:szCs w:val="20"/>
        </w:rPr>
        <w:t xml:space="preserve">los sistemas se restauran a partir de copias de seguridad limpias y se comprueban;</w:t>
      </w:r>
    </w:p>
    <w:p>
      <w:pPr>
        <w:pStyle w:val="ListParagraph"/>
        <w:numPr>
          <w:ilvl w:val="0"/>
          <w:numId w:val="3"/>
        </w:numPr>
        <w:spacing w:after="80" w:line="290"/>
      </w:pPr>
      <w:r>
        <w:rPr>
          <w:rFonts w:ascii="Nunito Sans" w:cs="Nunito Sans" w:eastAsia="Nunito Sans" w:hAnsi="Nunito Sans"/>
          <w:color w:val="102E3B"/>
          <w:sz w:val="20"/>
          <w:szCs w:val="20"/>
        </w:rPr>
        <w:t xml:space="preserve">las contraseñas y los accesos se restablecen, y los dispositivos perdidos se sustituyen y se configuran de forma segura;</w:t>
      </w:r>
    </w:p>
    <w:p>
      <w:pPr>
        <w:pStyle w:val="ListParagraph"/>
        <w:numPr>
          <w:ilvl w:val="0"/>
          <w:numId w:val="3"/>
        </w:numPr>
        <w:spacing w:after="80" w:line="290"/>
      </w:pPr>
      <w:r>
        <w:rPr>
          <w:rFonts w:ascii="Nunito Sans" w:cs="Nunito Sans" w:eastAsia="Nunito Sans" w:hAnsi="Nunito Sans"/>
          <w:color w:val="102E3B"/>
          <w:sz w:val="20"/>
          <w:szCs w:val="20"/>
        </w:rPr>
        <w:t xml:space="preserve">quienes recibieron los datos han confirmado su eliminación, y hemos comprobado si ha habido algún uso indebido de los datos;</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afectadas reciben el apoyo que les prometimos, como una llamada de un miembro del personal al que conocen.</w:t>
      </w:r>
    </w:p>
    <w:p>
      <w:pPr>
        <w:pStyle w:val="Heading1"/>
        <w:keepNext/>
        <w:spacing w:after="160" w:before="360"/>
      </w:pPr>
      <w:r>
        <w:rPr>
          <w:rFonts w:ascii="DM Serif Display" w:cs="DM Serif Display" w:eastAsia="DM Serif Display" w:hAnsi="DM Serif Display"/>
          <w:color w:val="123C48"/>
          <w:sz w:val="40"/>
          <w:szCs w:val="40"/>
        </w:rPr>
        <w:t xml:space="preserve">Paso 7: Aprenda</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la persona responsable de brechas revisa lo ocurrido con las personas implicadas. La revisión analiza qué causó la brecha, qué funcionó y qué no, y qué vamos a cambiar. Las acciones se anotan en el registro con una persona responsable y una fecha, y se añaden al Registro de Riesgos cuando corresponda. El órgano de gobierno recibe un resumen de todas las brechas </w:t>
      </w:r>
      <w:r>
        <w:rPr>
          <w:rFonts w:ascii="Nunito Sans" w:cs="Nunito Sans" w:eastAsia="Nunito Sans" w:hAnsi="Nunito Sans"/>
          <w:color w:val="102E3B"/>
          <w:sz w:val="20"/>
          <w:szCs w:val="20"/>
          <w:highlight w:val="yellow"/>
        </w:rPr>
        <w:t xml:space="preserve">[cada seis meses / una vez al año]</w:t>
      </w:r>
      <w:r>
        <w:rPr>
          <w:rFonts w:ascii="Nunito Sans" w:cs="Nunito Sans" w:eastAsia="Nunito Sans" w:hAnsi="Nunito Sans"/>
          <w:color w:val="102E3B"/>
          <w:sz w:val="20"/>
          <w:szCs w:val="20"/>
        </w:rPr>
        <w:t xml:space="preserve">, y un informe completo de cualquier brecha de riesgo alto.</w:t>
      </w:r>
    </w:p>
    <w:p>
      <w:pPr>
        <w:pStyle w:val="Heading1"/>
        <w:keepNext/>
        <w:spacing w:after="160" w:before="360"/>
      </w:pPr>
      <w:r>
        <w:rPr>
          <w:rFonts w:ascii="DM Serif Display" w:cs="DM Serif Display" w:eastAsia="DM Serif Display" w:hAnsi="DM Serif Display"/>
          <w:color w:val="123C48"/>
          <w:sz w:val="40"/>
          <w:szCs w:val="40"/>
        </w:rPr>
        <w:t xml:space="preserve">Registre cada brecha</w:t>
      </w:r>
    </w:p>
    <w:p>
      <w:pPr>
        <w:spacing w:after="120" w:before="0" w:line="300"/>
      </w:pPr>
      <w:r>
        <w:rPr>
          <w:rFonts w:ascii="Nunito Sans" w:cs="Nunito Sans" w:eastAsia="Nunito Sans" w:hAnsi="Nunito Sans"/>
          <w:color w:val="102E3B"/>
          <w:sz w:val="20"/>
          <w:szCs w:val="20"/>
        </w:rPr>
        <w:t xml:space="preserve">La persona responsable de brechas anota cada brecha y cada cuasi incidente en el registro de brechas, se notifique o no a alguien. El registro recoge los hechos, los efectos, las medidas adoptadas y los motivos de cada decisión de notificación. Las autoridades de control pueden pedir verlo. El registro se conserva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y solo pueden verlo la persona responsable de brechas, la persona suplente y la dirección.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GUARDAR EL REGISTRO DE BRECHAS</w:t>
            </w:r>
          </w:p>
          <w:p>
            <w:pPr>
              <w:spacing w:after="120" w:before="0" w:line="300"/>
            </w:pPr>
            <w:r>
              <w:rPr>
                <w:rFonts w:ascii="Nunito Sans" w:cs="Nunito Sans" w:eastAsia="Nunito Sans" w:hAnsi="Nunito Sans"/>
                <w:color w:val="102E3B"/>
                <w:sz w:val="19"/>
                <w:szCs w:val="19"/>
              </w:rPr>
              <w:t xml:space="preserve">Guarda el registro en un lugar que sobreviva a la brecha; por ejemplo, no en el equipo portátil robado ni en la cuenta hackeada. Para un equipo pequeño sirve una hoja de cálculo protegida en una cuenta separada, o un registro en papel en un cajón cerrado con llave. Ajusta el plazo de conservación a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Ejemplo: Teléfono perdido con contactos de participantes</w:t>
      </w:r>
    </w:p>
    <w:p>
      <w:pPr>
        <w:spacing w:after="120" w:before="0" w:line="300"/>
      </w:pPr>
      <w:r>
        <w:rPr>
          <w:rFonts w:ascii="Nunito Sans" w:cs="Nunito Sans" w:eastAsia="Nunito Sans" w:hAnsi="Nunito Sans"/>
          <w:color w:val="102E3B"/>
          <w:sz w:val="20"/>
          <w:szCs w:val="20"/>
        </w:rPr>
        <w:t xml:space="preserve">Un técnico de terreno olvida un teléfono de trabajo en un taxi el viernes a las 17:00. Contiene los nombres y números de 40 participantes del programa y un grupo de WhatsApp de un grupo de apoyo a personas sobrevivientes de violencia.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5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17:40</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técnico se da cuenta, intenta llamar al teléfono y después llama a la persona responsable de brechas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Técnico de terreno</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17:50</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brechas abre una entrada en el registro; pregunta si el teléfono tenía bloqueo de pantalla (sí, PIN de 4 dígitos)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18:00</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teléfono se localiza a distancia y después se bloquea y se borra; se cierran las sesiones de las cuentas del técnico y se cambian sus contraseñas; otra persona administradora retira el número del técnico del grupo de WhatsApp</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 soporte de TI</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Sábado</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riesgo se evalúa como alto: un grupo de personas sobrevivientes podría revelar quiénes lo integran, y un PIN es una protección débil. Se incorpora la persona responsable de salvaguarda</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 persona responsable de salvaguarda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Domingo</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 la presidencia. Se decide notificar a la autoridad de control y al financiador. La persona responsable de salvaguarda planifica cómo informar a los miembros del grupo de forma segura</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Lunes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notifica a la autoridad de control en un plazo de 72 horas; se notifica al financiador según exige la subvención; se denuncia el robo o la pérdida a la policía para obtener un número de referencia</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Lun–mar</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salvaguarda y una facilitadora de confianza llaman a cada miembro del grupo de forma individual, se lo explican y acuerdan las medidas de seguridad necesarias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30 días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todos los teléfonos de trabajo pasan a tener PIN de 6 dígitos y borrado a distancia; los grupos delicados pasan a una configuración en la que los miembros no pueden ver los números de los demás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PROPIO EJEMPLO</w:t>
            </w:r>
          </w:p>
          <w:p>
            <w:pPr>
              <w:spacing w:after="120" w:before="0" w:line="300"/>
            </w:pPr>
            <w:r>
              <w:rPr>
                <w:rFonts w:ascii="Nunito Sans" w:cs="Nunito Sans" w:eastAsia="Nunito Sans" w:hAnsi="Nunito Sans"/>
                <w:color w:val="102E3B"/>
                <w:sz w:val="19"/>
                <w:szCs w:val="19"/>
              </w:rPr>
              <w:t xml:space="preserve">Sustituye este ejemplo por uno que se ajuste a tu trabajo; por ejemplo, formularios en papel de una encuesta de salud comunitaria, o una hoja de cálculo de donantes enviada al socio equivocado. Practícalo una vez al año con el equipo como un ejercicio de mesa de 30 minutos.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Plazos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 una sospecha de brecha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desde que se detecta</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Contener la brecha y abrir el registro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primera hora desde la comunicación</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Evaluar el riesgo para las personas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presidencia de una brecha de riesgo alto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y, cuando sea obligatorio, notificar a la autoridad de control</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[72 horas]</w:t>
            </w:r>
            <w:r>
              <w:rPr>
                <w:rFonts w:ascii="Nunito Sans" w:cs="Nunito Sans" w:eastAsia="Nunito Sans" w:hAnsi="Nunito Sans"/>
                <w:color w:val="102E3B"/>
                <w:sz w:val="18"/>
                <w:szCs w:val="18"/>
              </w:rPr>
              <w:t xml:space="preserve"> desde que se tiene conocimiento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las personas afectadas cuando el riesgo es alto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dilación indebida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financiadores y socios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cada acuerdo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Recuperar</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semanas]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y lecciones aprendidas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Comunican las sospechas de brecha en un plazo de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siguen las instrucciones de contención; mantienen la confidencialidad de los detalles.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respuesta; lleva el registro; evalúa el riesgo; decide y realiza las notificaciones; dirige la revisión.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respuesta cuando la persona responsable de brechas no está disponible o está implicada.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cuando las personas podrían sufrir daño y dirige el contacto con las personas en riesgo.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información sobre las brechas de riesgo alto; revisa el resumen de brechas; comprueba que se actúa conforme a las lecciones aprendidas.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Acuerdo de Intercambio de Datos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brechas</w:t>
      </w:r>
    </w:p>
    <w:p>
      <w:pPr>
        <w:spacing w:after="120" w:before="0" w:line="300"/>
      </w:pPr>
      <w:r>
        <w:rPr>
          <w:rFonts w:ascii="Nunito Sans" w:cs="Nunito Sans" w:eastAsia="Nunito Sans" w:hAnsi="Nunito Sans"/>
          <w:color w:val="102E3B"/>
          <w:sz w:val="20"/>
          <w:szCs w:val="20"/>
        </w:rPr>
        <w:t xml:space="preserve">Copie esta tabla para cada brecha. Guarde el registro separado de los sistemas que registra.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[DB-2026-01]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en que tuvimos conocimiento; quién lo comunicó</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cuándo empezó y cuándo terminó</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y personas afectadas (tipos, número, países)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¿Hay información delicada afectada? (salud, salvaguarda, niñas y niños, ubicación, datos financieros)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Sistemas, proveedores o socios implicados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Medidas de contención, con las horas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Clasificación del riesgo (sin riesgo probable / riesgo / riesgo alto) y motivos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notificó a la autoridad de control? Cuándo, referencia, o motivo para no hacerlo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informó a las personas afectadas? Cuándo, cómo, o motivo para no hacerlo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informó a financiadores, socios, policía, aseguradora? Cuándo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Lecciones, acciones, persona responsable y fecha límite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cierre; aprobado por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Preguntas para evaluar el riesgo</w:t>
      </w:r>
    </w:p>
    <w:p>
      <w:pPr>
        <w:pStyle w:val="ListParagraph"/>
        <w:numPr>
          <w:ilvl w:val="0"/>
          <w:numId w:val="5"/>
        </w:numPr>
        <w:spacing w:after="80" w:line="290"/>
      </w:pPr>
      <w:r>
        <w:rPr>
          <w:rFonts w:ascii="Nunito Sans" w:cs="Nunito Sans" w:eastAsia="Nunito Sans" w:hAnsi="Nunito Sans"/>
          <w:color w:val="102E3B"/>
          <w:sz w:val="20"/>
          <w:szCs w:val="20"/>
        </w:rPr>
        <w:t xml:space="preserve">¿Qué información está afectada? ¿Hay información delicada: salud, vida sexual, origen étnico, religión, opiniones políticas, antecedentes penales, situación migratoria, información de salvaguarda o sobre personas sobrevivientes, datos biométricos, datos bancarios?</w:t>
      </w:r>
    </w:p>
    <w:p>
      <w:pPr>
        <w:pStyle w:val="ListParagraph"/>
        <w:numPr>
          <w:ilvl w:val="0"/>
          <w:numId w:val="5"/>
        </w:numPr>
        <w:spacing w:after="80" w:line="290"/>
      </w:pPr>
      <w:r>
        <w:rPr>
          <w:rFonts w:ascii="Nunito Sans" w:cs="Nunito Sans" w:eastAsia="Nunito Sans" w:hAnsi="Nunito Sans"/>
          <w:color w:val="102E3B"/>
          <w:sz w:val="20"/>
          <w:szCs w:val="20"/>
        </w:rPr>
        <w:t xml:space="preserve">¿De quién es la información? ¿De niñas y niños, personas adultas en riesgo, personas en situación de conflicto o desplazamiento, activistas u otras personas que podrían ser objeto de ataques?</w:t>
      </w:r>
    </w:p>
    <w:p>
      <w:pPr>
        <w:pStyle w:val="ListParagraph"/>
        <w:numPr>
          <w:ilvl w:val="0"/>
          <w:numId w:val="5"/>
        </w:numPr>
        <w:spacing w:after="80" w:line="290"/>
      </w:pPr>
      <w:r>
        <w:rPr>
          <w:rFonts w:ascii="Nunito Sans" w:cs="Nunito Sans" w:eastAsia="Nunito Sans" w:hAnsi="Nunito Sans"/>
          <w:color w:val="102E3B"/>
          <w:sz w:val="20"/>
          <w:szCs w:val="20"/>
        </w:rPr>
        <w:t xml:space="preserve">¿Cuántas personas están afectadas?</w:t>
      </w:r>
    </w:p>
    <w:p>
      <w:pPr>
        <w:pStyle w:val="ListParagraph"/>
        <w:numPr>
          <w:ilvl w:val="0"/>
          <w:numId w:val="5"/>
        </w:numPr>
        <w:spacing w:after="80" w:line="290"/>
      </w:pPr>
      <w:r>
        <w:rPr>
          <w:rFonts w:ascii="Nunito Sans" w:cs="Nunito Sans" w:eastAsia="Nunito Sans" w:hAnsi="Nunito Sans"/>
          <w:color w:val="102E3B"/>
          <w:sz w:val="20"/>
          <w:szCs w:val="20"/>
        </w:rPr>
        <w:t xml:space="preserve">¿Estaba protegida la información, por ejemplo mediante cifrado o una contraseña segura?</w:t>
      </w:r>
    </w:p>
    <w:p>
      <w:pPr>
        <w:pStyle w:val="ListParagraph"/>
        <w:numPr>
          <w:ilvl w:val="0"/>
          <w:numId w:val="5"/>
        </w:numPr>
        <w:spacing w:after="80" w:line="290"/>
      </w:pPr>
      <w:r>
        <w:rPr>
          <w:rFonts w:ascii="Nunito Sans" w:cs="Nunito Sans" w:eastAsia="Nunito Sans" w:hAnsi="Nunito Sans"/>
          <w:color w:val="102E3B"/>
          <w:sz w:val="20"/>
          <w:szCs w:val="20"/>
        </w:rPr>
        <w:t xml:space="preserve">¿Quién la tiene ahora? ¿Un socio de confianza que la borró, un desconocido o alguien que podría hacer un uso indebido de ella?</w:t>
      </w:r>
    </w:p>
    <w:p>
      <w:pPr>
        <w:pStyle w:val="ListParagraph"/>
        <w:numPr>
          <w:ilvl w:val="0"/>
          <w:numId w:val="5"/>
        </w:numPr>
        <w:spacing w:after="80" w:line="290"/>
      </w:pPr>
      <w:r>
        <w:rPr>
          <w:rFonts w:ascii="Nunito Sans" w:cs="Nunito Sans" w:eastAsia="Nunito Sans" w:hAnsi="Nunito Sans"/>
          <w:color w:val="102E3B"/>
          <w:sz w:val="20"/>
          <w:szCs w:val="20"/>
        </w:rPr>
        <w:t xml:space="preserve">¿Se puede recuperar o revertir la exposición?</w:t>
      </w:r>
    </w:p>
    <w:p>
      <w:pPr>
        <w:pStyle w:val="ListParagraph"/>
        <w:numPr>
          <w:ilvl w:val="0"/>
          <w:numId w:val="5"/>
        </w:numPr>
        <w:spacing w:after="80" w:line="290"/>
      </w:pPr>
      <w:r>
        <w:rPr>
          <w:rFonts w:ascii="Nunito Sans" w:cs="Nunito Sans" w:eastAsia="Nunito Sans" w:hAnsi="Nunito Sans"/>
          <w:color w:val="102E3B"/>
          <w:sz w:val="20"/>
          <w:szCs w:val="20"/>
        </w:rPr>
        <w:t xml:space="preserve">¿Se podría identificar a las personas a partir de ella, por sí sola o combinada con otra información?</w:t>
      </w:r>
    </w:p>
    <w:p>
      <w:pPr>
        <w:pStyle w:val="ListParagraph"/>
        <w:numPr>
          <w:ilvl w:val="0"/>
          <w:numId w:val="5"/>
        </w:numPr>
        <w:spacing w:after="80" w:line="290"/>
      </w:pPr>
      <w:r>
        <w:rPr>
          <w:rFonts w:ascii="Nunito Sans" w:cs="Nunito Sans" w:eastAsia="Nunito Sans" w:hAnsi="Nunito Sans"/>
          <w:color w:val="102E3B"/>
          <w:sz w:val="20"/>
          <w:szCs w:val="20"/>
        </w:rPr>
        <w:t xml:space="preserve">¿Qué daño podría derivarse, y con qué probabilidad y gravedad?</w:t>
      </w:r>
    </w:p>
    <w:p>
      <w:pPr>
        <w:pStyle w:val="ListParagraph"/>
        <w:numPr>
          <w:ilvl w:val="0"/>
          <w:numId w:val="5"/>
        </w:numPr>
        <w:spacing w:after="80" w:line="290"/>
      </w:pPr>
      <w:r>
        <w:rPr>
          <w:rFonts w:ascii="Nunito Sans" w:cs="Nunito Sans" w:eastAsia="Nunito Sans" w:hAnsi="Nunito Sans"/>
          <w:color w:val="102E3B"/>
          <w:sz w:val="20"/>
          <w:szCs w:val="20"/>
        </w:rPr>
        <w:t xml:space="preserve">¿Afecta la brecha a nuestra capacidad de prestar servicios, por ejemplo por la pérdida de expedientes?</w:t>
      </w:r>
    </w:p>
    <w:p>
      <w:pPr>
        <w:pStyle w:val="ListParagraph"/>
        <w:numPr>
          <w:ilvl w:val="0"/>
          <w:numId w:val="5"/>
        </w:numPr>
        <w:spacing w:after="80" w:line="290"/>
      </w:pPr>
      <w:r>
        <w:rPr>
          <w:rFonts w:ascii="Nunito Sans" w:cs="Nunito Sans" w:eastAsia="Nunito Sans" w:hAnsi="Nunito Sans"/>
          <w:color w:val="102E3B"/>
          <w:sz w:val="20"/>
          <w:szCs w:val="20"/>
        </w:rPr>
        <w:t xml:space="preserve">¿Establece alguna ley, acuerdo con financiadores o acuerdo de intercambio de datos obligaciones específicas?</w:t>
      </w:r>
    </w:p>
    <w:p>
      <w:pPr>
        <w:pStyle w:val="Heading1"/>
        <w:keepNext/>
        <w:spacing w:after="160" w:before="360"/>
      </w:pPr>
      <w:r>
        <w:rPr>
          <w:rFonts w:ascii="DM Serif Display" w:cs="DM Serif Display" w:eastAsia="DM Serif Display" w:hAnsi="DM Serif Display"/>
          <w:color w:val="123C48"/>
          <w:sz w:val="40"/>
          <w:szCs w:val="40"/>
        </w:rPr>
        <w:t xml:space="preserve">Anexo C: Textos de notificación</w:t>
      </w:r>
    </w:p>
    <w:p>
      <w:pPr>
        <w:pStyle w:val="Heading3"/>
        <w:keepNext/>
        <w:spacing w:after="80" w:before="200"/>
      </w:pPr>
      <w:r>
        <w:rPr>
          <w:rFonts w:ascii="Nunito Sans" w:cs="Nunito Sans" w:eastAsia="Nunito Sans" w:hAnsi="Nunito Sans"/>
          <w:b/>
          <w:bCs/>
          <w:color w:val="16746E"/>
          <w:sz w:val="21"/>
          <w:szCs w:val="21"/>
        </w:rPr>
        <w:t xml:space="preserve">A la autoridad de control</w:t>
      </w:r>
    </w:p>
    <w:p>
      <w:pPr>
        <w:spacing w:after="120" w:before="0" w:line="300"/>
      </w:pPr>
      <w:r>
        <w:rPr>
          <w:rFonts w:ascii="Nunito Sans" w:cs="Nunito Sans" w:eastAsia="Nunito Sans" w:hAnsi="Nunito Sans"/>
          <w:color w:val="102E3B"/>
          <w:sz w:val="20"/>
          <w:szCs w:val="20"/>
        </w:rPr>
        <w:t xml:space="preserve">La mayoría de las autoridades de control tienen un formulario en línea. Tenga preparado lo siguiente: nuestro nombre y datos de contacto; el nombre de la persona responsable de brechas; qué ocurrió y cuándo; cuándo tuvimos conocimiento; los tipos y el número aproximado de personas y registros; las consecuencias probables; las medidas adoptadas y previstas; si se ha informado a las personas afectadas; y, si la notificación es tardía, los motivos del retraso.</w:t>
      </w:r>
    </w:p>
    <w:p>
      <w:pPr>
        <w:pStyle w:val="Heading3"/>
        <w:keepNext/>
        <w:spacing w:after="80" w:before="200"/>
      </w:pPr>
      <w:r>
        <w:rPr>
          <w:rFonts w:ascii="Nunito Sans" w:cs="Nunito Sans" w:eastAsia="Nunito Sans" w:hAnsi="Nunito Sans"/>
          <w:b/>
          <w:bCs/>
          <w:color w:val="16746E"/>
          <w:sz w:val="21"/>
          <w:szCs w:val="21"/>
        </w:rPr>
        <w:t xml:space="preserve">A las personas afectadas</w:t>
      </w:r>
    </w:p>
    <w:p>
      <w:pPr>
        <w:spacing w:after="120" w:before="0" w:line="300"/>
      </w:pPr>
      <w:r>
        <w:rPr>
          <w:rFonts w:ascii="Nunito Sans" w:cs="Nunito Sans" w:eastAsia="Nunito Sans" w:hAnsi="Nunito Sans"/>
          <w:color w:val="102E3B"/>
          <w:sz w:val="20"/>
          <w:szCs w:val="20"/>
        </w:rPr>
        <w:t xml:space="preserve">Estimada/Estimado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Le escribimos para informarle de un incidente que afecta a su información personal.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lo ocurrido en una o dos frases sencillas]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 información afectada fue </w:t>
      </w:r>
      <w:r>
        <w:rPr>
          <w:rFonts w:ascii="Nunito Sans" w:cs="Nunito Sans" w:eastAsia="Nunito Sans" w:hAnsi="Nunito Sans"/>
          <w:color w:val="102E3B"/>
          <w:sz w:val="20"/>
          <w:szCs w:val="20"/>
          <w:highlight w:val="yellow"/>
        </w:rPr>
        <w:t xml:space="preserve">[lista]</w:t>
      </w:r>
      <w:r>
        <w:rPr>
          <w:rFonts w:ascii="Nunito Sans" w:cs="Nunito Sans" w:eastAsia="Nunito Sans" w:hAnsi="Nunito Sans"/>
          <w:color w:val="102E3B"/>
          <w:sz w:val="20"/>
          <w:szCs w:val="20"/>
        </w:rPr>
        <w:t xml:space="preserve">. No creemos que </w:t>
      </w:r>
      <w:r>
        <w:rPr>
          <w:rFonts w:ascii="Nunito Sans" w:cs="Nunito Sans" w:eastAsia="Nunito Sans" w:hAnsi="Nunito Sans"/>
          <w:color w:val="102E3B"/>
          <w:sz w:val="20"/>
          <w:szCs w:val="20"/>
          <w:highlight w:val="yellow"/>
        </w:rPr>
        <w:t xml:space="preserve">[otra información]</w:t>
      </w:r>
      <w:r>
        <w:rPr>
          <w:rFonts w:ascii="Nunito Sans" w:cs="Nunito Sans" w:eastAsia="Nunito Sans" w:hAnsi="Nunito Sans"/>
          <w:color w:val="102E3B"/>
          <w:sz w:val="20"/>
          <w:szCs w:val="20"/>
        </w:rPr>
        <w:t xml:space="preserve"> se haya visto afectada.</w:t>
      </w:r>
    </w:p>
    <w:p>
      <w:pPr>
        <w:spacing w:after="120" w:before="0" w:line="300"/>
      </w:pPr>
      <w:r>
        <w:rPr>
          <w:rFonts w:ascii="Nunito Sans" w:cs="Nunito Sans" w:eastAsia="Nunito Sans" w:hAnsi="Nunito Sans"/>
          <w:color w:val="102E3B"/>
          <w:sz w:val="20"/>
          <w:szCs w:val="20"/>
        </w:rPr>
        <w:t xml:space="preserve">En cuanto lo supimos, </w:t>
      </w:r>
      <w:r>
        <w:rPr>
          <w:rFonts w:ascii="Nunito Sans" w:cs="Nunito Sans" w:eastAsia="Nunito Sans" w:hAnsi="Nunito Sans"/>
          <w:color w:val="102E3B"/>
          <w:sz w:val="20"/>
          <w:szCs w:val="20"/>
          <w:highlight w:val="yellow"/>
        </w:rPr>
        <w:t xml:space="preserve">[medidas adoptadas]</w:t>
      </w:r>
      <w:r>
        <w:rPr>
          <w:rFonts w:ascii="Nunito Sans" w:cs="Nunito Sans" w:eastAsia="Nunito Sans" w:hAnsi="Nunito Sans"/>
          <w:color w:val="102E3B"/>
          <w:sz w:val="20"/>
          <w:szCs w:val="20"/>
        </w:rPr>
        <w:t xml:space="preserve">. Lo hemos </w:t>
      </w:r>
      <w:r>
        <w:rPr>
          <w:rFonts w:ascii="Nunito Sans" w:cs="Nunito Sans" w:eastAsia="Nunito Sans" w:hAnsi="Nunito Sans"/>
          <w:color w:val="102E3B"/>
          <w:sz w:val="20"/>
          <w:szCs w:val="20"/>
          <w:highlight w:val="yellow"/>
        </w:rPr>
        <w:t xml:space="preserve">[comunicado a nombre de la autoridad de control / la policía]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Esto podría significar que </w:t>
      </w:r>
      <w:r>
        <w:rPr>
          <w:rFonts w:ascii="Nunito Sans" w:cs="Nunito Sans" w:eastAsia="Nunito Sans" w:hAnsi="Nunito Sans"/>
          <w:color w:val="102E3B"/>
          <w:sz w:val="20"/>
          <w:szCs w:val="20"/>
          <w:highlight w:val="yellow"/>
        </w:rPr>
        <w:t xml:space="preserve">[posible efecto]</w:t>
      </w:r>
      <w:r>
        <w:rPr>
          <w:rFonts w:ascii="Nunito Sans" w:cs="Nunito Sans" w:eastAsia="Nunito Sans" w:hAnsi="Nunito Sans"/>
          <w:color w:val="102E3B"/>
          <w:sz w:val="20"/>
          <w:szCs w:val="20"/>
        </w:rPr>
        <w:t xml:space="preserve">. Para protegerse, le sugerimos que </w:t>
      </w:r>
      <w:r>
        <w:rPr>
          <w:rFonts w:ascii="Nunito Sans" w:cs="Nunito Sans" w:eastAsia="Nunito Sans" w:hAnsi="Nunito Sans"/>
          <w:color w:val="102E3B"/>
          <w:sz w:val="20"/>
          <w:szCs w:val="20"/>
          <w:highlight w:val="yellow"/>
        </w:rPr>
        <w:t xml:space="preserve">[medidas prácticas, por ejemplo: desconfíe de las llamadas que le pidan datos personales; cambie su contraseña]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Lamentamos mucho lo ocurrido. Si tiene alguna pregunta o inquietud, contacte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 También puede contactar con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A financiadores y socios</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color w:val="102E3B"/>
          <w:sz w:val="20"/>
          <w:szCs w:val="20"/>
          <w:highlight w:val="yellow"/>
        </w:rPr>
        <w:t xml:space="preserve">[fecha y hora]</w:t>
      </w:r>
      <w:r>
        <w:rPr>
          <w:rFonts w:ascii="Nunito Sans" w:cs="Nunito Sans" w:eastAsia="Nunito Sans" w:hAnsi="Nunito Sans"/>
          <w:color w:val="102E3B"/>
          <w:sz w:val="20"/>
          <w:szCs w:val="20"/>
        </w:rPr>
        <w:t xml:space="preserve"> tuvimos conocimiento de una brecha de datos que afecta a </w:t>
      </w:r>
      <w:r>
        <w:rPr>
          <w:rFonts w:ascii="Nunito Sans" w:cs="Nunito Sans" w:eastAsia="Nunito Sans" w:hAnsi="Nunito Sans"/>
          <w:color w:val="102E3B"/>
          <w:sz w:val="20"/>
          <w:szCs w:val="20"/>
          <w:highlight w:val="yellow"/>
        </w:rPr>
        <w:t xml:space="preserve">[información]</w:t>
      </w:r>
      <w:r>
        <w:rPr>
          <w:rFonts w:ascii="Nunito Sans" w:cs="Nunito Sans" w:eastAsia="Nunito Sans" w:hAnsi="Nunito Sans"/>
          <w:color w:val="102E3B"/>
          <w:sz w:val="20"/>
          <w:szCs w:val="20"/>
        </w:rPr>
        <w:t xml:space="preserve"> relacionada con </w:t>
      </w:r>
      <w:r>
        <w:rPr>
          <w:rFonts w:ascii="Nunito Sans" w:cs="Nunito Sans" w:eastAsia="Nunito Sans" w:hAnsi="Nunito Sans"/>
          <w:color w:val="102E3B"/>
          <w:sz w:val="20"/>
          <w:szCs w:val="20"/>
          <w:highlight w:val="yellow"/>
        </w:rPr>
        <w:t xml:space="preserve">[proyecto o acuerdo]</w:t>
      </w:r>
      <w:r>
        <w:rPr>
          <w:rFonts w:ascii="Nunito Sans" w:cs="Nunito Sans" w:eastAsia="Nunito Sans" w:hAnsi="Nunito Sans"/>
          <w:color w:val="102E3B"/>
          <w:sz w:val="20"/>
          <w:szCs w:val="20"/>
        </w:rPr>
        <w:t xml:space="preserve">. Hemos </w:t>
      </w:r>
      <w:r>
        <w:rPr>
          <w:rFonts w:ascii="Nunito Sans" w:cs="Nunito Sans" w:eastAsia="Nunito Sans" w:hAnsi="Nunito Sans"/>
          <w:color w:val="102E3B"/>
          <w:sz w:val="20"/>
          <w:szCs w:val="20"/>
          <w:highlight w:val="yellow"/>
        </w:rPr>
        <w:t xml:space="preserve">[medidas de contención]</w:t>
      </w:r>
      <w:r>
        <w:rPr>
          <w:rFonts w:ascii="Nunito Sans" w:cs="Nunito Sans" w:eastAsia="Nunito Sans" w:hAnsi="Nunito Sans"/>
          <w:color w:val="102E3B"/>
          <w:sz w:val="20"/>
          <w:szCs w:val="20"/>
        </w:rPr>
        <w:t xml:space="preserve"> y hemos evaluado el riesgo para las personas como </w:t>
      </w:r>
      <w:r>
        <w:rPr>
          <w:rFonts w:ascii="Nunito Sans" w:cs="Nunito Sans" w:eastAsia="Nunito Sans" w:hAnsi="Nunito Sans"/>
          <w:color w:val="102E3B"/>
          <w:sz w:val="20"/>
          <w:szCs w:val="20"/>
          <w:highlight w:val="yellow"/>
        </w:rPr>
        <w:t xml:space="preserve">[clasificación]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[Hemos / No hemos]</w:t>
      </w:r>
      <w:r>
        <w:rPr>
          <w:rFonts w:ascii="Nunito Sans" w:cs="Nunito Sans" w:eastAsia="Nunito Sans" w:hAnsi="Nunito Sans"/>
          <w:color w:val="102E3B"/>
          <w:sz w:val="20"/>
          <w:szCs w:val="20"/>
        </w:rPr>
        <w:t xml:space="preserve"> notificado a </w:t>
      </w:r>
      <w:r>
        <w:rPr>
          <w:rFonts w:ascii="Nunito Sans" w:cs="Nunito Sans" w:eastAsia="Nunito Sans" w:hAnsi="Nunito Sans"/>
          <w:color w:val="102E3B"/>
          <w:sz w:val="20"/>
          <w:szCs w:val="20"/>
          <w:highlight w:val="yellow"/>
        </w:rPr>
        <w:t xml:space="preserve">[autoridad de control]</w:t>
      </w:r>
      <w:r>
        <w:rPr>
          <w:rFonts w:ascii="Nunito Sans" w:cs="Nunito Sans" w:eastAsia="Nunito Sans" w:hAnsi="Nunito Sans"/>
          <w:color w:val="102E3B"/>
          <w:sz w:val="20"/>
          <w:szCs w:val="20"/>
        </w:rPr>
        <w:t xml:space="preserve"> y a </w:t>
      </w:r>
      <w:r>
        <w:rPr>
          <w:rFonts w:ascii="Nunito Sans" w:cs="Nunito Sans" w:eastAsia="Nunito Sans" w:hAnsi="Nunito Sans"/>
          <w:color w:val="102E3B"/>
          <w:sz w:val="20"/>
          <w:szCs w:val="20"/>
          <w:highlight w:val="yellow"/>
        </w:rPr>
        <w:t xml:space="preserve">[las personas afectadas]</w:t>
      </w:r>
      <w:r>
        <w:rPr>
          <w:rFonts w:ascii="Nunito Sans" w:cs="Nunito Sans" w:eastAsia="Nunito Sans" w:hAnsi="Nunito Sans"/>
          <w:color w:val="102E3B"/>
          <w:sz w:val="20"/>
          <w:szCs w:val="20"/>
        </w:rPr>
        <w:t xml:space="preserve">. Enviaremos una actualización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Contacto: </w:t>
      </w:r>
      <w:r>
        <w:rPr>
          <w:rFonts w:ascii="Nunito Sans" w:cs="Nunito Sans" w:eastAsia="Nunito Sans" w:hAnsi="Nunito Sans"/>
          <w:color w:val="102E3B"/>
          <w:sz w:val="20"/>
          <w:szCs w:val="20"/>
          <w:highlight w:val="yellow"/>
        </w:rPr>
        <w:t xml:space="preserve">[Nombre, cargo, teléfono]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Respuesta ante Brechas de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D51CB08-9809-CAD0-914A-4320D5E4586D}"/>
  </w:font>
  <w:font w:name="DM Serif Display">
    <w:family w:val="auto"/>
    <w:pitch w:val="variable"/>
    <w:sig w:usb0="E0002AFF" w:usb1="C000247B" w:usb2="00000009" w:usb3="00000000" w:csb0="000001FF" w:csb1="00000000"/>
    <w:embedRegular r:id="rId2" w:fontKey="{7197C144-0557-AC0C-5F3C-FCFC5CF588D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Respuesta ante Brechas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RESPUESTA ANTE BRECHAS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Respuesta ante Brechas de Datos</dc:title>
  <dc:creator>Method into Impact</dc:creator>
  <dc:description>Lo que hace [[Nombre de la organización]] en la primera hora, el primer día y los tres primeros días después de que se pierda, se robe, quede expuesta o se envíe a la persona equivocada información personal.</dc:description>
  <cp:lastModifiedBy>Un-named</cp:lastModifiedBy>
  <cp:revision>1</cp:revision>
  <dcterms:created xsi:type="dcterms:W3CDTF">2026-10-29T06:02:51.447Z</dcterms:created>
  <dcterms:modified xsi:type="dcterms:W3CDTF">2026-10-29T06:02:51.447Z</dcterms:modified>
</cp:coreProperties>
</file>

<file path=docProps/custom.xml><?xml version="1.0" encoding="utf-8"?>
<Properties xmlns="http://schemas.openxmlformats.org/officeDocument/2006/custom-properties" xmlns:vt="http://schemas.openxmlformats.org/officeDocument/2006/docPropsVTypes"/>
</file>