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PROCEDIMIENTO · PERSONAS Y EMPLEO</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Procedimiento Disciplinario y de Reclamaciones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aborda de forma justa las inquietudes sobre la conducta de una persona empleada, y cómo el personal puede plantear un problema sobre su propio trabajo y recibir una respuesta justa y a tiempo.</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 procedimiento disciplinario y de reclamaciones claro permite abordar los problemas a tiempo, de forma coherente y conforme a la ley, y garantiza que nadie reciba una amonestación ni sea despedido sin conocer la acusación y sin tener una oportunidad justa de responder. Su Código de Conducta, su Política y Procedimiento de Salvaguarda y su Contrato de Trabajo dependen de él. En muchos países, un despido sin un procedimiento justo es ilegal aunque el motivo sea válido.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Autoridades laborales y tribunales laborales; financiadores y ONG internacionales aliadas en procesos de debida diligencia; personal de nueva incorporación; su órgano de gobierno; auditores que revisan casos de salvaguarda y fraude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3 a 4 horas para adaptarlo, más una revisión jurídica local de las etapas y plazos disciplinarios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4 (personas y cultura); 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Contrato de Trabajo · Código de Conducta · Política y Procedimiento de Salvaguarda · Política y Procedimiento contra el Acoso, la Intimidación y el Hostigamiento · Política y Procedimiento de Denuncia de Irregularidades · Política y Procedimiento contra el Fraude, el Soborno y la Corrupción · Nota sobre el Rol de Contacto Independiente · Acuerdo de Voluntariado · Contrato de Prestación de Servicios Independientes · Matriz de Delegación de Autoridad · Calendario de Conservación de Registros · Política de Protección de Datos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Procedimiento Disciplinario y de Reclamaciones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empleado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incluso durante el período de prueba. La persona voluntaria, las personas en prácticas, los miembros del órgano de gobierno y las personas contratistas quedan cubiertos según lo indicado en "A quién se aplica este 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[rrhh@tuorganizacion.org]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[Nombre, cargo]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este procedimiento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Principios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Convocatoria a una reunión de investigación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Parte A: Procedimiento disciplinario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Convocatoria a una audiencia disciplinaria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Parte B: Procedimiento de reclamaciones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C: Carta de resultado disciplinario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D: Carta de resultado de la apelación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E: Formulario de reclamación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F: Acta de audiencia</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organización pequeña de X personas / una organización emergente dirigida por sus fundadores]</w:t>
            </w:r>
            <w:r>
              <w:rPr>
                <w:rFonts w:ascii="Nunito Sans" w:cs="Nunito Sans" w:eastAsia="Nunito Sans" w:hAnsi="Nunito Sans"/>
                <w:color w:val="102E3B"/>
                <w:sz w:val="19"/>
                <w:szCs w:val="19"/>
              </w:rPr>
              <w:t xml:space="preserve">. Esta es nuestra </w:t>
            </w:r>
            <w:r>
              <w:rPr>
                <w:rFonts w:ascii="Nunito Sans" w:cs="Nunito Sans" w:eastAsia="Nunito Sans" w:hAnsi="Nunito Sans"/>
                <w:color w:val="102E3B"/>
                <w:sz w:val="19"/>
                <w:szCs w:val="19"/>
                <w:highlight w:val="yellow"/>
              </w:rPr>
              <w:t xml:space="preserve">[primera]</w:t>
            </w:r>
            <w:r>
              <w:rPr>
                <w:rFonts w:ascii="Nunito Sans" w:cs="Nunito Sans" w:eastAsia="Nunito Sans" w:hAnsi="Nunito Sans"/>
                <w:color w:val="102E3B"/>
                <w:sz w:val="19"/>
                <w:szCs w:val="19"/>
              </w:rPr>
              <w:t xml:space="preserve"> versión de este procedimiento. La ampliaremos a medida que crezcamos. Mientras tanto: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personas.</w:t>
            </w:r>
            <w:r>
              <w:rPr>
                <w:rFonts w:ascii="Nunito Sans" w:cs="Nunito Sans" w:eastAsia="Nunito Sans" w:hAnsi="Nunito Sans"/>
                <w:color w:val="102E3B"/>
                <w:sz w:val="19"/>
                <w:szCs w:val="19"/>
              </w:rPr>
              <w:t xml:space="preserve"> Asesora a quienes dirigen equipos, vela por que se siga este procedimiento, organiza las investigaciones y custodia los registros.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toma las decisiones disciplinarias</w:t>
            </w:r>
            <w:r>
              <w:rPr>
                <w:rFonts w:ascii="Nunito Sans" w:cs="Nunito Sans" w:eastAsia="Nunito Sans" w:hAnsi="Nunito Sans"/>
                <w:color w:val="102E3B"/>
                <w:sz w:val="19"/>
                <w:szCs w:val="19"/>
              </w:rPr>
              <w:t xml:space="preserve"> y atiende las reclamaciones formales, salvo que esté involucrada en el asunto.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 por ejemplo la presidencia del órgano de gobierno]</w:t>
            </w:r>
            <w:r>
              <w:rPr>
                <w:rFonts w:ascii="Nunito Sans" w:cs="Nunito Sans" w:eastAsia="Nunito Sans" w:hAnsi="Nunito Sans"/>
                <w:b/>
                <w:bCs/>
                <w:color w:val="102E3B"/>
                <w:sz w:val="19"/>
                <w:szCs w:val="19"/>
              </w:rPr>
              <w:t xml:space="preserve"> resuelve las apelaciones</w:t>
            </w:r>
            <w:r>
              <w:rPr>
                <w:rFonts w:ascii="Nunito Sans" w:cs="Nunito Sans" w:eastAsia="Nunito Sans" w:hAnsi="Nunito Sans"/>
                <w:color w:val="102E3B"/>
                <w:sz w:val="19"/>
                <w:szCs w:val="19"/>
              </w:rPr>
              <w:t xml:space="preserve"> y gestiona cualquier asunto disciplinario o reclamación relativa a la dirección o a la persona fundadora, con el apoyo de nuestro contacto independiente cuando sea necesario.</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este procedimiento</w:t>
            </w:r>
            <w:r>
              <w:rPr>
                <w:rFonts w:ascii="Nunito Sans" w:cs="Nunito Sans" w:eastAsia="Nunito Sans" w:hAnsi="Nunito Sans"/>
                <w:color w:val="102E3B"/>
                <w:sz w:val="19"/>
                <w:szCs w:val="19"/>
              </w:rPr>
              <w:t xml:space="preserve"> al menos una vez al año, después de cualquier despido o reclamación formal, y cuando cambia la legislación laboral.</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En un equipo de tres a diez personas, normalmente la dirección decide los casos disciplinarios y atiende las reclamaciones, y un miembro del órgano de gobierno resuelve las apelaciones. Nadie debe investigar, decidir y resolver la apelación en el mismo caso. Si no puedes mantener estos roles separados internamente, acuerda de antemano a quién recurrirás: un miembro del órgano de gobierno, tu contacto independiente (consulta la Nota sobre el Rol de Contacto Independiente), una persona asesora externa de recursos humanos o una persona abogada laboralista. Comprueba que tu Matriz de Delegación de Autoridad indique quién puede despedir.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La mayoría de los problemas se resuelven pronto mediante una conversación honesta, apoyo y expectativas claras.</w:t>
            </w:r>
          </w:p>
          <w:p>
            <w:pPr>
              <w:pStyle w:val="ListParagraph"/>
              <w:numPr>
                <w:ilvl w:val="0"/>
                <w:numId w:val="3"/>
              </w:numPr>
              <w:spacing w:after="80" w:line="290"/>
            </w:pPr>
            <w:r>
              <w:rPr>
                <w:rFonts w:ascii="Nunito Sans" w:cs="Nunito Sans" w:eastAsia="Nunito Sans" w:hAnsi="Nunito Sans"/>
                <w:color w:val="102E3B"/>
                <w:sz w:val="19"/>
                <w:szCs w:val="19"/>
              </w:rPr>
              <w:t xml:space="preserve">Antes de cualquier medida formal, se le comunica la acusación por escrito, puede ver las pruebas y tiene una oportunidad justa de responder en una reunión.</w:t>
            </w:r>
          </w:p>
          <w:p>
            <w:pPr>
              <w:pStyle w:val="ListParagraph"/>
              <w:numPr>
                <w:ilvl w:val="0"/>
                <w:numId w:val="3"/>
              </w:numPr>
              <w:spacing w:after="80" w:line="290"/>
            </w:pPr>
            <w:r>
              <w:rPr>
                <w:rFonts w:ascii="Nunito Sans" w:cs="Nunito Sans" w:eastAsia="Nunito Sans" w:hAnsi="Nunito Sans"/>
                <w:color w:val="102E3B"/>
                <w:sz w:val="19"/>
                <w:szCs w:val="19"/>
              </w:rPr>
              <w:t xml:space="preserve">Puede acudir a las reuniones formales acompañado por </w:t>
            </w:r>
            <w:r>
              <w:rPr>
                <w:rFonts w:ascii="Nunito Sans" w:cs="Nunito Sans" w:eastAsia="Nunito Sans" w:hAnsi="Nunito Sans"/>
                <w:color w:val="102E3B"/>
                <w:sz w:val="19"/>
                <w:szCs w:val="19"/>
                <w:highlight w:val="yellow"/>
              </w:rPr>
              <w:t xml:space="preserve">[un compañero o compañera de trabajo o una persona representante sindical]</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Nadie decide un caso en el que esté involucrado. La investigación y la decisión se mantienen separadas siempre que sea posible.</w:t>
            </w:r>
          </w:p>
          <w:p>
            <w:pPr>
              <w:pStyle w:val="ListParagraph"/>
              <w:numPr>
                <w:ilvl w:val="0"/>
                <w:numId w:val="3"/>
              </w:numPr>
              <w:spacing w:after="80" w:line="290"/>
            </w:pPr>
            <w:r>
              <w:rPr>
                <w:rFonts w:ascii="Nunito Sans" w:cs="Nunito Sans" w:eastAsia="Nunito Sans" w:hAnsi="Nunito Sans"/>
                <w:color w:val="102E3B"/>
                <w:sz w:val="19"/>
                <w:szCs w:val="19"/>
              </w:rPr>
              <w:t xml:space="preserve">La suspensión es con sueldo completo, no implica una conclusión de falta y se mantiene lo más breve posible.</w:t>
            </w:r>
          </w:p>
          <w:p>
            <w:pPr>
              <w:pStyle w:val="ListParagraph"/>
              <w:numPr>
                <w:ilvl w:val="0"/>
                <w:numId w:val="3"/>
              </w:numPr>
              <w:spacing w:after="80" w:line="290"/>
            </w:pPr>
            <w:r>
              <w:rPr>
                <w:rFonts w:ascii="Nunito Sans" w:cs="Nunito Sans" w:eastAsia="Nunito Sans" w:hAnsi="Nunito Sans"/>
                <w:color w:val="102E3B"/>
                <w:sz w:val="19"/>
                <w:szCs w:val="19"/>
              </w:rPr>
              <w:t xml:space="preserve">La explotación, el abuso y el acoso sexuales, el fraude y las brechas de datos graves constituyen faltas muy graves.</w:t>
            </w:r>
          </w:p>
          <w:p>
            <w:pPr>
              <w:pStyle w:val="ListParagraph"/>
              <w:numPr>
                <w:ilvl w:val="0"/>
                <w:numId w:val="3"/>
              </w:numPr>
              <w:spacing w:after="80" w:line="290"/>
            </w:pPr>
            <w:r>
              <w:rPr>
                <w:rFonts w:ascii="Nunito Sans" w:cs="Nunito Sans" w:eastAsia="Nunito Sans" w:hAnsi="Nunito Sans"/>
                <w:color w:val="102E3B"/>
                <w:sz w:val="19"/>
                <w:szCs w:val="19"/>
              </w:rPr>
              <w:t xml:space="preserve">Acusamos recibo de una reclamación formal en un plazo de </w:t>
            </w:r>
            <w:r>
              <w:rPr>
                <w:rFonts w:ascii="Nunito Sans" w:cs="Nunito Sans" w:eastAsia="Nunito Sans" w:hAnsi="Nunito Sans"/>
                <w:color w:val="102E3B"/>
                <w:sz w:val="19"/>
                <w:szCs w:val="19"/>
                <w:highlight w:val="yellow"/>
              </w:rPr>
              <w:t xml:space="preserve">[2 días hábiles]</w:t>
            </w:r>
            <w:r>
              <w:rPr>
                <w:rFonts w:ascii="Nunito Sans" w:cs="Nunito Sans" w:eastAsia="Nunito Sans" w:hAnsi="Nunito Sans"/>
                <w:color w:val="102E3B"/>
                <w:sz w:val="19"/>
                <w:szCs w:val="19"/>
              </w:rPr>
              <w:t xml:space="preserve"> y nos reunimos con usted en un plazo de </w:t>
            </w:r>
            <w:r>
              <w:rPr>
                <w:rFonts w:ascii="Nunito Sans" w:cs="Nunito Sans" w:eastAsia="Nunito Sans" w:hAnsi="Nunito Sans"/>
                <w:color w:val="102E3B"/>
                <w:sz w:val="19"/>
                <w:szCs w:val="19"/>
                <w:highlight w:val="yellow"/>
              </w:rPr>
              <w:t xml:space="preserve">[10 días hábiles]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Puede apelar cualquier decisión formal en un plazo de </w:t>
            </w:r>
            <w:r>
              <w:rPr>
                <w:rFonts w:ascii="Nunito Sans" w:cs="Nunito Sans" w:eastAsia="Nunito Sans" w:hAnsi="Nunito Sans"/>
                <w:color w:val="102E3B"/>
                <w:sz w:val="19"/>
                <w:szCs w:val="19"/>
                <w:highlight w:val="yellow"/>
              </w:rPr>
              <w:t xml:space="preserve">[10 días hábiles]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Las reclamaciones sobre la dirección se dirigen a </w:t>
            </w:r>
            <w:r>
              <w:rPr>
                <w:rFonts w:ascii="Nunito Sans" w:cs="Nunito Sans" w:eastAsia="Nunito Sans" w:hAnsi="Nunito Sans"/>
                <w:color w:val="102E3B"/>
                <w:sz w:val="19"/>
                <w:szCs w:val="19"/>
                <w:highlight w:val="yellow"/>
              </w:rPr>
              <w:t xml:space="preserve">[Nombre, cargo]</w:t>
            </w:r>
            <w:r>
              <w:rPr>
                <w:rFonts w:ascii="Nunito Sans" w:cs="Nunito Sans" w:eastAsia="Nunito Sans" w:hAnsi="Nunito Sans"/>
                <w:color w:val="102E3B"/>
                <w:sz w:val="19"/>
                <w:szCs w:val="19"/>
              </w:rPr>
              <w:t xml:space="preserve">. Las denuncias de acoso siguen la Política y Procedimiento contra el Acoso, la Intimidación y el Hostigamiento.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este procedimiento</w:t>
      </w:r>
    </w:p>
    <w:p>
      <w:pPr>
        <w:spacing w:after="120" w:before="0" w:line="300"/>
      </w:pPr>
      <w:r>
        <w:rPr>
          <w:rFonts w:ascii="Nunito Sans" w:cs="Nunito Sans" w:eastAsia="Nunito Sans" w:hAnsi="Nunito Sans"/>
          <w:color w:val="102E3B"/>
          <w:sz w:val="20"/>
          <w:szCs w:val="20"/>
        </w:rPr>
        <w:t xml:space="preserve">Este procedimiento se aplica a todas las personas empleadas por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incluido el personal a tiempo parcial, con contrato de duración determinada y en período de prueba. La Parte A trata las inquietudes sobre la conducta. La Parte B trata las reclamaciones que el personal plantea sobre su propio trabajo.</w:t>
      </w:r>
    </w:p>
    <w:p>
      <w:pPr>
        <w:spacing w:after="120" w:before="0" w:line="300"/>
      </w:pPr>
      <w:r>
        <w:rPr>
          <w:rFonts w:ascii="Nunito Sans" w:cs="Nunito Sans" w:eastAsia="Nunito Sans" w:hAnsi="Nunito Sans"/>
          <w:color w:val="102E3B"/>
          <w:sz w:val="20"/>
          <w:szCs w:val="20"/>
        </w:rPr>
        <w:t xml:space="preserve">No abarca los despidos por causas económicas u organizativas, la finalización de un contrato de duración determinada ni los problemas de salud, que siguen la ley y un proceso justo propio. El bajo rendimiento se aborda primero mediante apoyo (sección 1).</w:t>
      </w:r>
    </w:p>
    <w:p>
      <w:pPr>
        <w:spacing w:after="120" w:before="0" w:line="300"/>
      </w:pPr>
      <w:r>
        <w:rPr>
          <w:rFonts w:ascii="Nunito Sans" w:cs="Nunito Sans" w:eastAsia="Nunito Sans" w:hAnsi="Nunito Sans"/>
          <w:b/>
          <w:bCs/>
          <w:color w:val="102E3B"/>
          <w:sz w:val="20"/>
          <w:szCs w:val="20"/>
        </w:rPr>
        <w:t xml:space="preserve">En algunos casos, otras políticas tienen prioridad.</w:t>
      </w:r>
      <w:r>
        <w:rPr>
          <w:rFonts w:ascii="Nunito Sans" w:cs="Nunito Sans" w:eastAsia="Nunito Sans" w:hAnsi="Nunito Sans"/>
          <w:color w:val="102E3B"/>
          <w:sz w:val="20"/>
          <w:szCs w:val="20"/>
        </w:rPr>
        <w:t xml:space="preserve"> Las denuncias de acoso, hostigamiento o discriminación siguen la Política y Procedimiento contra el Acoso, la Intimidación y el Hostigamiento. Las inquietudes de salvaguarda se notifican conforme a la Política y Procedimiento de Salvaguarda, y la sospecha de fraude conforme a la Política y Procedimiento contra el Fraude, el Soborno y la Corrupción. Otras irregularidades pueden plantearse conforme a la Política y Procedimiento de Denuncia de Irregularidades. Si uno de esos procesos concluye que hubo una falta, cualquier medida disciplinaria sigue la Parte A. Su informe de investigación sirve como la investigación de la sección 5, de modo que no se pide a la persona que planteó la inquietud que vuelva a dar su versión.</w:t>
      </w:r>
    </w:p>
    <w:p>
      <w:pPr>
        <w:spacing w:after="120" w:before="0" w:line="300"/>
      </w:pPr>
      <w:r>
        <w:rPr>
          <w:rFonts w:ascii="Nunito Sans" w:cs="Nunito Sans" w:eastAsia="Nunito Sans" w:hAnsi="Nunito Sans"/>
          <w:b/>
          <w:bCs/>
          <w:color w:val="102E3B"/>
          <w:sz w:val="20"/>
          <w:szCs w:val="20"/>
        </w:rPr>
        <w:t xml:space="preserve">La persona voluntaria, las personas en prácticas, los miembros del órgano de gobierno y las personas contratistas</w:t>
      </w:r>
      <w:r>
        <w:rPr>
          <w:rFonts w:ascii="Nunito Sans" w:cs="Nunito Sans" w:eastAsia="Nunito Sans" w:hAnsi="Nunito Sans"/>
          <w:color w:val="102E3B"/>
          <w:sz w:val="20"/>
          <w:szCs w:val="20"/>
        </w:rPr>
        <w:t xml:space="preserve"> no son objeto de medidas disciplinarias como si fueran personal empleado. Abordamos con justicia las inquietudes sobre ellas conforme a su propio acuerdo: el Acuerdo de Voluntariado, el Contrato de Prestación de Servicios Independientes, el acuerdo de prácticas o, en el caso de los miembros del órgano de gobierno, nuestro documento constitutivo.</w:t>
      </w:r>
    </w:p>
    <w:p>
      <w:pPr>
        <w:spacing w:after="120" w:before="0" w:line="300"/>
      </w:pPr>
      <w:r>
        <w:rPr>
          <w:rFonts w:ascii="Nunito Sans" w:cs="Nunito Sans" w:eastAsia="Nunito Sans" w:hAnsi="Nunito Sans"/>
          <w:b/>
          <w:bCs/>
          <w:color w:val="102E3B"/>
          <w:sz w:val="20"/>
          <w:szCs w:val="20"/>
        </w:rPr>
        <w:t xml:space="preserve">Legislación.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emplea a personas en </w:t>
      </w:r>
      <w:r>
        <w:rPr>
          <w:rFonts w:ascii="Nunito Sans" w:cs="Nunito Sans" w:eastAsia="Nunito Sans" w:hAnsi="Nunito Sans"/>
          <w:color w:val="102E3B"/>
          <w:sz w:val="20"/>
          <w:szCs w:val="20"/>
          <w:highlight w:val="yellow"/>
        </w:rPr>
        <w:t xml:space="preserve">[país / países]</w:t>
      </w:r>
      <w:r>
        <w:rPr>
          <w:rFonts w:ascii="Nunito Sans" w:cs="Nunito Sans" w:eastAsia="Nunito Sans" w:hAnsi="Nunito Sans"/>
          <w:color w:val="102E3B"/>
          <w:sz w:val="20"/>
          <w:szCs w:val="20"/>
        </w:rPr>
        <w:t xml:space="preserve"> y aplica la legislación laboral del lugar donde trabaja cada persona. Cuando este procedimiento ofrezca menos protección que la ley, se aplica la ley. Nada de lo aquí dispuesto limita el derecho de cualquier persona a acudir a una autoridad laboral, un servicio de conciliación o un tribunal.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LEGISLACIÓN Y PAÍSES</w:t>
            </w:r>
          </w:p>
          <w:p>
            <w:pPr>
              <w:spacing w:after="120" w:before="0" w:line="300"/>
            </w:pPr>
            <w:r>
              <w:rPr>
                <w:rFonts w:ascii="Nunito Sans" w:cs="Nunito Sans" w:eastAsia="Nunito Sans" w:hAnsi="Nunito Sans"/>
                <w:color w:val="102E3B"/>
                <w:sz w:val="19"/>
                <w:szCs w:val="19"/>
              </w:rPr>
              <w:t xml:space="preserve">El derecho en materia de despido es estricto y local: pide a una persona abogada laboralista local que revise este procedimiento. Notas por país que debes confirmar localmente:</w:t>
            </w:r>
          </w:p>
          <w:p>
            <w:pPr>
              <w:pStyle w:val="ListParagraph"/>
              <w:numPr>
                <w:ilvl w:val="0"/>
                <w:numId w:val="3"/>
              </w:numPr>
              <w:spacing w:after="80" w:line="290"/>
            </w:pPr>
            <w:r>
              <w:rPr>
                <w:rFonts w:ascii="Nunito Sans" w:cs="Nunito Sans" w:eastAsia="Nunito Sans" w:hAnsi="Nunito Sans"/>
                <w:b/>
                <w:bCs/>
                <w:color w:val="102E3B"/>
                <w:sz w:val="19"/>
                <w:szCs w:val="19"/>
              </w:rPr>
              <w:t xml:space="preserve">Reino Unido:</w:t>
            </w:r>
            <w:r>
              <w:rPr>
                <w:rFonts w:ascii="Nunito Sans" w:cs="Nunito Sans" w:eastAsia="Nunito Sans" w:hAnsi="Nunito Sans"/>
                <w:color w:val="102E3B"/>
                <w:sz w:val="19"/>
                <w:szCs w:val="19"/>
              </w:rPr>
              <w:t xml:space="preserve"> sigue el Acas Code of Practice on disciplinary and grievance procedures. Los tribunales pueden ajustar las indemnizaciones hasta un 25 % si no se ha seguido sin motivo razonable. Las personas trabajadoras tienen el derecho legal a estar acompañadas en las audiencias formales disciplinarias y de reclamación por un compañero o compañera de trabajo o por una persona representante sindical (Employment Relations Act 1999, sección 10). Acas sometió a consulta un borrador revisado del Código entre julio y septiembre de 2026, que insiste en la resolución informal en primer lugar y limita la suspensión: comprueba qué versión está en vigor. La Employment Rights Act 2025 reduce a seis meses el período mínimo de antigüedad para reclamar por despido improcedente, para los despidos a partir del 1 de enero de 2027.</w:t>
            </w:r>
          </w:p>
          <w:p>
            <w:pPr>
              <w:pStyle w:val="ListParagraph"/>
              <w:numPr>
                <w:ilvl w:val="0"/>
                <w:numId w:val="3"/>
              </w:numPr>
              <w:spacing w:after="80" w:line="290"/>
            </w:pPr>
            <w:r>
              <w:rPr>
                <w:rFonts w:ascii="Nunito Sans" w:cs="Nunito Sans" w:eastAsia="Nunito Sans" w:hAnsi="Nunito Sans"/>
                <w:b/>
                <w:bCs/>
                <w:color w:val="102E3B"/>
                <w:sz w:val="19"/>
                <w:szCs w:val="19"/>
              </w:rPr>
              <w:t xml:space="preserve">Kenia:</w:t>
            </w:r>
            <w:r>
              <w:rPr>
                <w:rFonts w:ascii="Nunito Sans" w:cs="Nunito Sans" w:eastAsia="Nunito Sans" w:hAnsi="Nunito Sans"/>
                <w:color w:val="102E3B"/>
                <w:sz w:val="19"/>
                <w:szCs w:val="19"/>
              </w:rPr>
              <w:t xml:space="preserve"> antes de despedir por falta de conducta, bajo rendimiento o incapacidad física, el empleador debe explicar el motivo en un idioma que la persona empleada entienda, permitir la presencia de otra persona empleada o de una persona representante sindical del centro de trabajo de su elección, y escuchar sus alegaciones (Employment Act 2007, sección 41). Los tribunales consideran que omitir estos pasos convierte el despido en injusto.</w:t>
            </w:r>
          </w:p>
          <w:p>
            <w:pPr>
              <w:pStyle w:val="ListParagraph"/>
              <w:numPr>
                <w:ilvl w:val="0"/>
                <w:numId w:val="3"/>
              </w:numPr>
              <w:spacing w:after="80" w:line="290"/>
            </w:pP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un nuevo Code of Good Practice: Dismissal entró en vigor el 4 de septiembre de 2025, en sustitución del Anexo 8 de la Labour Relations Act 1995 y del código independiente sobre despidos por necesidades operativas. En caso de falta de conducta, se debe comunicar a la persona empleada las acusaciones, darle tiempo para preparar su defensa y la posibilidad de responder, e informarle de la decisión. Los empleadores pequeños pueden usar procesos más sencillos. Sigue siendo prudente celebrar una audiencia si el despido puede impugnarse ante la CCMA.</w:t>
            </w:r>
          </w:p>
          <w:p>
            <w:pPr>
              <w:pStyle w:val="ListParagraph"/>
              <w:numPr>
                <w:ilvl w:val="0"/>
                <w:numId w:val="3"/>
              </w:numPr>
              <w:spacing w:after="80" w:line="290"/>
            </w:pPr>
            <w:r>
              <w:rPr>
                <w:rFonts w:ascii="Nunito Sans" w:cs="Nunito Sans" w:eastAsia="Nunito Sans" w:hAnsi="Nunito Sans"/>
                <w:b/>
                <w:bCs/>
                <w:color w:val="102E3B"/>
                <w:sz w:val="19"/>
                <w:szCs w:val="19"/>
              </w:rPr>
              <w:t xml:space="preserve">Filipinas:</w:t>
            </w:r>
            <w:r>
              <w:rPr>
                <w:rFonts w:ascii="Nunito Sans" w:cs="Nunito Sans" w:eastAsia="Nunito Sans" w:hAnsi="Nunito Sans"/>
                <w:color w:val="102E3B"/>
                <w:sz w:val="19"/>
                <w:szCs w:val="19"/>
              </w:rPr>
              <w:t xml:space="preserve"> el despido por causa justa sigue la regla de la doble notificación (twin-notice rule). Una primera notificación escrita indica los motivos y hechos concretos y concede al menos cinco días naturales para responder. La persona empleada tiene amplia oportunidad de ser escuchada, con una persona representante si lo desea. Una segunda notificación escrita comunica la decisión y sus motivos.</w:t>
            </w:r>
          </w:p>
          <w:p>
            <w:pPr>
              <w:pStyle w:val="ListParagraph"/>
              <w:numPr>
                <w:ilvl w:val="0"/>
                <w:numId w:val="3"/>
              </w:numPr>
              <w:spacing w:after="80" w:line="290"/>
            </w:pPr>
            <w:r>
              <w:rPr>
                <w:rFonts w:ascii="Nunito Sans" w:cs="Nunito Sans" w:eastAsia="Nunito Sans" w:hAnsi="Nunito Sans"/>
                <w:b/>
                <w:bCs/>
                <w:color w:val="102E3B"/>
                <w:sz w:val="19"/>
                <w:szCs w:val="19"/>
              </w:rPr>
              <w:t xml:space="preserve">Uganda:</w:t>
            </w:r>
            <w:r>
              <w:rPr>
                <w:rFonts w:ascii="Nunito Sans" w:cs="Nunito Sans" w:eastAsia="Nunito Sans" w:hAnsi="Nunito Sans"/>
                <w:color w:val="102E3B"/>
                <w:sz w:val="19"/>
                <w:szCs w:val="19"/>
              </w:rPr>
              <w:t xml:space="preserve"> la Employment Act 2006 (sección 66) exige que el empleador explique el motivo en un idioma que la persona empleada entienda, permita la presencia de una persona de su elección y escuche sus alegaciones antes de despedir por falta de conducta o bajo rendimiento.</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los cuatro Códigos Laborales entraron en vigor el 21 de noviembre de 2025. Conforme al Industrial Relations Code 2020, los reglamentos internos (standing orders) se aplican a los establecimientos con 300 o más personas trabajadoras, y los que tienen 20 o más necesitan un mecanismo de atención de reclamaciones. Comprueba las normas vigentes en tu estado.</w:t>
            </w:r>
          </w:p>
          <w:p>
            <w:pPr>
              <w:pStyle w:val="ListParagraph"/>
              <w:numPr>
                <w:ilvl w:val="0"/>
                <w:numId w:val="3"/>
              </w:numPr>
              <w:spacing w:after="80" w:line="290"/>
            </w:pPr>
            <w:r>
              <w:rPr>
                <w:rFonts w:ascii="Nunito Sans" w:cs="Nunito Sans" w:eastAsia="Nunito Sans" w:hAnsi="Nunito Sans"/>
                <w:b/>
                <w:bCs/>
                <w:color w:val="102E3B"/>
                <w:sz w:val="19"/>
                <w:szCs w:val="19"/>
              </w:rPr>
              <w:t xml:space="preserve">Brasil:</w:t>
            </w:r>
            <w:r>
              <w:rPr>
                <w:rFonts w:ascii="Nunito Sans" w:cs="Nunito Sans" w:eastAsia="Nunito Sans" w:hAnsi="Nunito Sans"/>
                <w:color w:val="102E3B"/>
                <w:sz w:val="19"/>
                <w:szCs w:val="19"/>
              </w:rPr>
              <w:t xml:space="preserve"> el despido por causa justa (justa causa) solo es posible por los motivos del artículo 482 de la Consolidação das Leis do Trabalho (CLT), y el empleador debe actuar con prontitud.</w:t>
            </w:r>
          </w:p>
          <w:p>
            <w:pPr>
              <w:pStyle w:val="ListParagraph"/>
              <w:numPr>
                <w:ilvl w:val="0"/>
                <w:numId w:val="3"/>
              </w:numPr>
              <w:spacing w:after="80" w:line="290"/>
            </w:pPr>
            <w:r>
              <w:rPr>
                <w:rFonts w:ascii="Nunito Sans" w:cs="Nunito Sans" w:eastAsia="Nunito Sans" w:hAnsi="Nunito Sans"/>
                <w:b/>
                <w:bCs/>
                <w:color w:val="102E3B"/>
                <w:sz w:val="19"/>
                <w:szCs w:val="19"/>
              </w:rPr>
              <w:t xml:space="preserve">En otros países,</w:t>
            </w:r>
            <w:r>
              <w:rPr>
                <w:rFonts w:ascii="Nunito Sans" w:cs="Nunito Sans" w:eastAsia="Nunito Sans" w:hAnsi="Nunito Sans"/>
                <w:color w:val="102E3B"/>
                <w:sz w:val="19"/>
                <w:szCs w:val="19"/>
              </w:rPr>
              <w:t xml:space="preserve"> por ejemplo Nigeria, Ghana, Indonesia, Perú o Argentina: consulta tu legislación local sobre preaviso antes del despido, audiencias, representación, amonestaciones e indemnizaciones.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PERSONAS VOLUNTARIAS, EN PRÁCTICAS, MIEMBROS DEL ÓRGANO DE GOBIERNO Y CONTRATISTAS</w:t>
            </w:r>
          </w:p>
          <w:p>
            <w:pPr>
              <w:spacing w:after="120" w:before="0" w:line="300"/>
            </w:pPr>
            <w:r>
              <w:rPr>
                <w:rFonts w:ascii="Nunito Sans" w:cs="Nunito Sans" w:eastAsia="Nunito Sans" w:hAnsi="Nunito Sans"/>
                <w:color w:val="102E3B"/>
                <w:sz w:val="19"/>
                <w:szCs w:val="19"/>
              </w:rPr>
              <w:t xml:space="preserve">Mantén a estos grupos fuera del procedimiento disciplinario: las amonestaciones y las audiencias pueden hacer que, a efectos legales, una persona voluntaria o contratista parezca personal empleado. Sus acuerdos deben indicar cómo se plantean las inquietudes y cómo puede suspenderse o terminarse la relación. En algunos países, las personas en prácticas remuneradas pueden considerarse personal empleado: consulta tu legislación local sobre prácticas.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Principios</w:t>
      </w:r>
    </w:p>
    <w:p>
      <w:pPr>
        <w:pStyle w:val="ListParagraph"/>
        <w:numPr>
          <w:ilvl w:val="0"/>
          <w:numId w:val="4"/>
        </w:numPr>
        <w:spacing w:after="80" w:line="290"/>
      </w:pPr>
      <w:r>
        <w:rPr>
          <w:rFonts w:ascii="Nunito Sans" w:cs="Nunito Sans" w:eastAsia="Nunito Sans" w:hAnsi="Nunito Sans"/>
          <w:b/>
          <w:bCs/>
          <w:color w:val="102E3B"/>
          <w:sz w:val="20"/>
          <w:szCs w:val="20"/>
        </w:rPr>
        <w:t xml:space="preserve">Justicia y coherencia.</w:t>
      </w:r>
      <w:r>
        <w:rPr>
          <w:rFonts w:ascii="Nunito Sans" w:cs="Nunito Sans" w:eastAsia="Nunito Sans" w:hAnsi="Nunito Sans"/>
          <w:color w:val="102E3B"/>
          <w:sz w:val="20"/>
          <w:szCs w:val="20"/>
        </w:rPr>
        <w:t xml:space="preserve"> Los casos similares se tratan de forma similar, sin importar quién esté involucrado.</w:t>
      </w:r>
    </w:p>
    <w:p>
      <w:pPr>
        <w:pStyle w:val="ListParagraph"/>
        <w:numPr>
          <w:ilvl w:val="0"/>
          <w:numId w:val="4"/>
        </w:numPr>
        <w:spacing w:after="80" w:line="290"/>
      </w:pPr>
      <w:r>
        <w:rPr>
          <w:rFonts w:ascii="Nunito Sans" w:cs="Nunito Sans" w:eastAsia="Nunito Sans" w:hAnsi="Nunito Sans"/>
          <w:b/>
          <w:bCs/>
          <w:color w:val="102E3B"/>
          <w:sz w:val="20"/>
          <w:szCs w:val="20"/>
        </w:rPr>
        <w:t xml:space="preserve">Proporcionalidad.</w:t>
      </w:r>
      <w:r>
        <w:rPr>
          <w:rFonts w:ascii="Nunito Sans" w:cs="Nunito Sans" w:eastAsia="Nunito Sans" w:hAnsi="Nunito Sans"/>
          <w:color w:val="102E3B"/>
          <w:sz w:val="20"/>
          <w:szCs w:val="20"/>
        </w:rPr>
        <w:t xml:space="preserve"> La respuesta se ajusta a la gravedad de la conducta, al historial de la persona y a cualquier circunstancia atenuante.</w:t>
      </w:r>
    </w:p>
    <w:p>
      <w:pPr>
        <w:pStyle w:val="ListParagraph"/>
        <w:numPr>
          <w:ilvl w:val="0"/>
          <w:numId w:val="4"/>
        </w:numPr>
        <w:spacing w:after="80" w:line="290"/>
      </w:pPr>
      <w:r>
        <w:rPr>
          <w:rFonts w:ascii="Nunito Sans" w:cs="Nunito Sans" w:eastAsia="Nunito Sans" w:hAnsi="Nunito Sans"/>
          <w:b/>
          <w:bCs/>
          <w:color w:val="102E3B"/>
          <w:sz w:val="20"/>
          <w:szCs w:val="20"/>
        </w:rPr>
        <w:t xml:space="preserve">Presunción de inocencia.</w:t>
      </w:r>
      <w:r>
        <w:rPr>
          <w:rFonts w:ascii="Nunito Sans" w:cs="Nunito Sans" w:eastAsia="Nunito Sans" w:hAnsi="Nunito Sans"/>
          <w:color w:val="102E3B"/>
          <w:sz w:val="20"/>
          <w:szCs w:val="20"/>
        </w:rPr>
        <w:t xml:space="preserve"> Nadie es tratado como responsable de una falta hasta que los hechos se establecen según el balance de probabilidades (si es más probable que sí que que no).</w:t>
      </w:r>
    </w:p>
    <w:p>
      <w:pPr>
        <w:pStyle w:val="ListParagraph"/>
        <w:numPr>
          <w:ilvl w:val="0"/>
          <w:numId w:val="4"/>
        </w:numPr>
        <w:spacing w:after="80" w:line="290"/>
      </w:pPr>
      <w:r>
        <w:rPr>
          <w:rFonts w:ascii="Nunito Sans" w:cs="Nunito Sans" w:eastAsia="Nunito Sans" w:hAnsi="Nunito Sans"/>
          <w:b/>
          <w:bCs/>
          <w:color w:val="102E3B"/>
          <w:sz w:val="20"/>
          <w:szCs w:val="20"/>
        </w:rPr>
        <w:t xml:space="preserve">El derecho a conocer y a responder.</w:t>
      </w:r>
      <w:r>
        <w:rPr>
          <w:rFonts w:ascii="Nunito Sans" w:cs="Nunito Sans" w:eastAsia="Nunito Sans" w:hAnsi="Nunito Sans"/>
          <w:color w:val="102E3B"/>
          <w:sz w:val="20"/>
          <w:szCs w:val="20"/>
        </w:rPr>
        <w:t xml:space="preserve"> Se le comunica la acusación por escrito, puede ver las pruebas y tiene una oportunidad real de responder antes de cualquier decisión.</w:t>
      </w:r>
    </w:p>
    <w:p>
      <w:pPr>
        <w:pStyle w:val="ListParagraph"/>
        <w:numPr>
          <w:ilvl w:val="0"/>
          <w:numId w:val="4"/>
        </w:numPr>
        <w:spacing w:after="80" w:line="290"/>
      </w:pPr>
      <w:r>
        <w:rPr>
          <w:rFonts w:ascii="Nunito Sans" w:cs="Nunito Sans" w:eastAsia="Nunito Sans" w:hAnsi="Nunito Sans"/>
          <w:b/>
          <w:bCs/>
          <w:color w:val="102E3B"/>
          <w:sz w:val="20"/>
          <w:szCs w:val="20"/>
        </w:rPr>
        <w:t xml:space="preserve">El derecho a estar acompañado</w:t>
      </w:r>
      <w:r>
        <w:rPr>
          <w:rFonts w:ascii="Nunito Sans" w:cs="Nunito Sans" w:eastAsia="Nunito Sans" w:hAnsi="Nunito Sans"/>
          <w:color w:val="102E3B"/>
          <w:sz w:val="20"/>
          <w:szCs w:val="20"/>
        </w:rPr>
        <w:t xml:space="preserve"> en las reuniones formales, según lo establezca la ley y como buena práctica en todos los casos.</w:t>
      </w:r>
    </w:p>
    <w:p>
      <w:pPr>
        <w:pStyle w:val="ListParagraph"/>
        <w:numPr>
          <w:ilvl w:val="0"/>
          <w:numId w:val="4"/>
        </w:numPr>
        <w:spacing w:after="80" w:line="290"/>
      </w:pPr>
      <w:r>
        <w:rPr>
          <w:rFonts w:ascii="Nunito Sans" w:cs="Nunito Sans" w:eastAsia="Nunito Sans" w:hAnsi="Nunito Sans"/>
          <w:b/>
          <w:bCs/>
          <w:color w:val="102E3B"/>
          <w:sz w:val="20"/>
          <w:szCs w:val="20"/>
        </w:rPr>
        <w:t xml:space="preserve">Ajustes razonables</w:t>
      </w:r>
      <w:r>
        <w:rPr>
          <w:rFonts w:ascii="Nunito Sans" w:cs="Nunito Sans" w:eastAsia="Nunito Sans" w:hAnsi="Nunito Sans"/>
          <w:color w:val="102E3B"/>
          <w:sz w:val="20"/>
          <w:szCs w:val="20"/>
        </w:rPr>
        <w:t xml:space="preserve"> por discapacidad, salud, idioma, responsabilidades de cuidado u observancia religiosa: por ejemplo, interpretación, pausas, o un horario, lugar o formato diferente.</w:t>
      </w:r>
    </w:p>
    <w:p>
      <w:pPr>
        <w:pStyle w:val="ListParagraph"/>
        <w:numPr>
          <w:ilvl w:val="0"/>
          <w:numId w:val="4"/>
        </w:numPr>
        <w:spacing w:after="80" w:line="290"/>
      </w:pPr>
      <w:r>
        <w:rPr>
          <w:rFonts w:ascii="Nunito Sans" w:cs="Nunito Sans" w:eastAsia="Nunito Sans" w:hAnsi="Nunito Sans"/>
          <w:b/>
          <w:bCs/>
          <w:color w:val="102E3B"/>
          <w:sz w:val="20"/>
          <w:szCs w:val="20"/>
        </w:rPr>
        <w:t xml:space="preserve">Independencia.</w:t>
      </w:r>
      <w:r>
        <w:rPr>
          <w:rFonts w:ascii="Nunito Sans" w:cs="Nunito Sans" w:eastAsia="Nunito Sans" w:hAnsi="Nunito Sans"/>
          <w:color w:val="102E3B"/>
          <w:sz w:val="20"/>
          <w:szCs w:val="20"/>
        </w:rPr>
        <w:t xml:space="preserve"> Nadie investiga, decide ni resuelve una apelación en un caso en el que esté involucrado o tenga un conflicto de interés.</w:t>
      </w:r>
    </w:p>
    <w:p>
      <w:pPr>
        <w:pStyle w:val="ListParagraph"/>
        <w:numPr>
          <w:ilvl w:val="0"/>
          <w:numId w:val="4"/>
        </w:numPr>
        <w:spacing w:after="80" w:line="290"/>
      </w:pPr>
      <w:r>
        <w:rPr>
          <w:rFonts w:ascii="Nunito Sans" w:cs="Nunito Sans" w:eastAsia="Nunito Sans" w:hAnsi="Nunito Sans"/>
          <w:b/>
          <w:bCs/>
          <w:color w:val="102E3B"/>
          <w:sz w:val="20"/>
          <w:szCs w:val="20"/>
        </w:rPr>
        <w:t xml:space="preserve">Prontitud, confidencialidad y ausencia de represalias</w:t>
      </w:r>
      <w:r>
        <w:rPr>
          <w:rFonts w:ascii="Nunito Sans" w:cs="Nunito Sans" w:eastAsia="Nunito Sans" w:hAnsi="Nunito Sans"/>
          <w:color w:val="102E3B"/>
          <w:sz w:val="20"/>
          <w:szCs w:val="20"/>
        </w:rPr>
        <w:t xml:space="preserve"> contra cualquier persona que plantee una reclamación, colabore en una investigación o actúe como acompañante.</w:t>
      </w:r>
    </w:p>
    <w:p>
      <w:pPr>
        <w:pStyle w:val="Heading1"/>
        <w:keepNext/>
        <w:spacing w:after="160" w:before="360"/>
      </w:pPr>
      <w:r>
        <w:rPr>
          <w:rFonts w:ascii="DM Serif Display" w:cs="DM Serif Display" w:eastAsia="DM Serif Display" w:hAnsi="DM Serif Display"/>
          <w:color w:val="123C48"/>
          <w:sz w:val="40"/>
          <w:szCs w:val="40"/>
        </w:rPr>
        <w:t xml:space="preserve">Parte A: Procedimiento disciplinario</w:t>
      </w:r>
    </w:p>
    <w:p>
      <w:pPr>
        <w:pStyle w:val="Heading2"/>
        <w:keepNext/>
        <w:spacing w:after="120" w:before="280"/>
      </w:pPr>
      <w:r>
        <w:rPr>
          <w:rFonts w:ascii="DM Serif Display" w:cs="DM Serif Display" w:eastAsia="DM Serif Display" w:hAnsi="DM Serif Display"/>
          <w:color w:val="123C48"/>
          <w:sz w:val="28"/>
          <w:szCs w:val="28"/>
        </w:rPr>
        <w:t xml:space="preserve">1. ¿Rendimiento o conducta?</w:t>
      </w:r>
    </w:p>
    <w:p>
      <w:pPr>
        <w:spacing w:after="120" w:before="0" w:line="300"/>
      </w:pPr>
      <w:r>
        <w:rPr>
          <w:rFonts w:ascii="Nunito Sans" w:cs="Nunito Sans" w:eastAsia="Nunito Sans" w:hAnsi="Nunito Sans"/>
          <w:color w:val="102E3B"/>
          <w:sz w:val="20"/>
          <w:szCs w:val="20"/>
        </w:rPr>
        <w:t xml:space="preserve">El </w:t>
      </w:r>
      <w:r>
        <w:rPr>
          <w:rFonts w:ascii="Nunito Sans" w:cs="Nunito Sans" w:eastAsia="Nunito Sans" w:hAnsi="Nunito Sans"/>
          <w:b/>
          <w:bCs/>
          <w:color w:val="102E3B"/>
          <w:sz w:val="20"/>
          <w:szCs w:val="20"/>
        </w:rPr>
        <w:t xml:space="preserve">rendimiento</w:t>
      </w:r>
      <w:r>
        <w:rPr>
          <w:rFonts w:ascii="Nunito Sans" w:cs="Nunito Sans" w:eastAsia="Nunito Sans" w:hAnsi="Nunito Sans"/>
          <w:color w:val="102E3B"/>
          <w:sz w:val="20"/>
          <w:szCs w:val="20"/>
        </w:rPr>
        <w:t xml:space="preserve"> se refiere a si alguien puede desempeñar el trabajo con el nivel exigido. La </w:t>
      </w:r>
      <w:r>
        <w:rPr>
          <w:rFonts w:ascii="Nunito Sans" w:cs="Nunito Sans" w:eastAsia="Nunito Sans" w:hAnsi="Nunito Sans"/>
          <w:b/>
          <w:bCs/>
          <w:color w:val="102E3B"/>
          <w:sz w:val="20"/>
          <w:szCs w:val="20"/>
        </w:rPr>
        <w:t xml:space="preserve">conducta</w:t>
      </w:r>
      <w:r>
        <w:rPr>
          <w:rFonts w:ascii="Nunito Sans" w:cs="Nunito Sans" w:eastAsia="Nunito Sans" w:hAnsi="Nunito Sans"/>
          <w:color w:val="102E3B"/>
          <w:sz w:val="20"/>
          <w:szCs w:val="20"/>
        </w:rPr>
        <w:t xml:space="preserve"> se refiere a cómo se comporta. Cuando el rendimiento no alcanza el nivel esperado, la persona responsable explica la inquietud con ejemplos, escucha y acuerda un plan de mejora con objetivos, apoyo y una fecha de revisión en un plazo de </w:t>
      </w:r>
      <w:r>
        <w:rPr>
          <w:rFonts w:ascii="Nunito Sans" w:cs="Nunito Sans" w:eastAsia="Nunito Sans" w:hAnsi="Nunito Sans"/>
          <w:color w:val="102E3B"/>
          <w:sz w:val="20"/>
          <w:szCs w:val="20"/>
          <w:highlight w:val="yellow"/>
        </w:rPr>
        <w:t xml:space="preserve">[4 a 8 semanas]</w:t>
      </w:r>
      <w:r>
        <w:rPr>
          <w:rFonts w:ascii="Nunito Sans" w:cs="Nunito Sans" w:eastAsia="Nunito Sans" w:hAnsi="Nunito Sans"/>
          <w:color w:val="102E3B"/>
          <w:sz w:val="20"/>
          <w:szCs w:val="20"/>
        </w:rPr>
        <w:t xml:space="preserve">. Comprobamos si influyen la salud, una discapacidad o la carga de trabajo. Solo si el rendimiento no mejora después de una oportunidad justa utilizamos las etapas formales que se describen a continuación.</w:t>
      </w:r>
    </w:p>
    <w:p>
      <w:pPr>
        <w:pStyle w:val="Heading2"/>
        <w:keepNext/>
        <w:spacing w:after="120" w:before="280"/>
      </w:pPr>
      <w:r>
        <w:rPr>
          <w:rFonts w:ascii="DM Serif Display" w:cs="DM Serif Display" w:eastAsia="DM Serif Display" w:hAnsi="DM Serif Display"/>
          <w:color w:val="123C48"/>
          <w:sz w:val="28"/>
          <w:szCs w:val="28"/>
        </w:rPr>
        <w:t xml:space="preserve">2. Resolución informal</w:t>
      </w:r>
    </w:p>
    <w:p>
      <w:pPr>
        <w:spacing w:after="120" w:before="0" w:line="300"/>
      </w:pPr>
      <w:r>
        <w:rPr>
          <w:rFonts w:ascii="Nunito Sans" w:cs="Nunito Sans" w:eastAsia="Nunito Sans" w:hAnsi="Nunito Sans"/>
          <w:color w:val="102E3B"/>
          <w:sz w:val="20"/>
          <w:szCs w:val="20"/>
        </w:rPr>
        <w:t xml:space="preserve">Las faltas leves, como retrasos ocasionales o el incumplimiento descuidado de una norma, suelen abordarse en una conversación privada. La persona responsable explica qué salió mal y qué se espera, escucha y guarda una breve nota fechada que comparte con la persona empleada. Esto no es una sanción disciplinaria. Si la conducta continúa o es más grave, utilizamos el procedimiento formal.</w:t>
      </w:r>
    </w:p>
    <w:p>
      <w:pPr>
        <w:pStyle w:val="Heading2"/>
        <w:keepNext/>
        <w:spacing w:after="120" w:before="280"/>
      </w:pPr>
      <w:r>
        <w:rPr>
          <w:rFonts w:ascii="DM Serif Display" w:cs="DM Serif Display" w:eastAsia="DM Serif Display" w:hAnsi="DM Serif Display"/>
          <w:color w:val="123C48"/>
          <w:sz w:val="28"/>
          <w:szCs w:val="28"/>
        </w:rPr>
        <w:t xml:space="preserve">3. Falta y falta muy grave</w:t>
      </w:r>
    </w:p>
    <w:p>
      <w:pPr>
        <w:spacing w:after="120" w:before="0" w:line="300"/>
      </w:pPr>
      <w:r>
        <w:rPr>
          <w:rFonts w:ascii="Nunito Sans" w:cs="Nunito Sans" w:eastAsia="Nunito Sans" w:hAnsi="Nunito Sans"/>
          <w:color w:val="102E3B"/>
          <w:sz w:val="20"/>
          <w:szCs w:val="20"/>
        </w:rPr>
        <w:t xml:space="preserve">Una </w:t>
      </w:r>
      <w:r>
        <w:rPr>
          <w:rFonts w:ascii="Nunito Sans" w:cs="Nunito Sans" w:eastAsia="Nunito Sans" w:hAnsi="Nunito Sans"/>
          <w:b/>
          <w:bCs/>
          <w:color w:val="102E3B"/>
          <w:sz w:val="20"/>
          <w:szCs w:val="20"/>
        </w:rPr>
        <w:t xml:space="preserve">falta</w:t>
      </w:r>
      <w:r>
        <w:rPr>
          <w:rFonts w:ascii="Nunito Sans" w:cs="Nunito Sans" w:eastAsia="Nunito Sans" w:hAnsi="Nunito Sans"/>
          <w:color w:val="102E3B"/>
          <w:sz w:val="20"/>
          <w:szCs w:val="20"/>
        </w:rPr>
        <w:t xml:space="preserve"> es un incumplimiento de nuestro Código de Conducta, de nuestras políticas o de instrucciones razonables que no es lo bastante grave como para justificar el despido la primera vez: por ejemplo, retrasos reiterados, incumplimientos menores de las normas financieras o informáticas, o un comportamiento irrespetuoso.</w:t>
      </w:r>
    </w:p>
    <w:p>
      <w:pPr>
        <w:spacing w:after="120" w:before="0" w:line="300"/>
      </w:pPr>
      <w:r>
        <w:rPr>
          <w:rFonts w:ascii="Nunito Sans" w:cs="Nunito Sans" w:eastAsia="Nunito Sans" w:hAnsi="Nunito Sans"/>
          <w:color w:val="102E3B"/>
          <w:sz w:val="20"/>
          <w:szCs w:val="20"/>
        </w:rPr>
        <w:t xml:space="preserve">Una </w:t>
      </w:r>
      <w:r>
        <w:rPr>
          <w:rFonts w:ascii="Nunito Sans" w:cs="Nunito Sans" w:eastAsia="Nunito Sans" w:hAnsi="Nunito Sans"/>
          <w:b/>
          <w:bCs/>
          <w:color w:val="102E3B"/>
          <w:sz w:val="20"/>
          <w:szCs w:val="20"/>
        </w:rPr>
        <w:t xml:space="preserve">falta muy grave</w:t>
      </w:r>
      <w:r>
        <w:rPr>
          <w:rFonts w:ascii="Nunito Sans" w:cs="Nunito Sans" w:eastAsia="Nunito Sans" w:hAnsi="Nunito Sans"/>
          <w:color w:val="102E3B"/>
          <w:sz w:val="20"/>
          <w:szCs w:val="20"/>
        </w:rPr>
        <w:t xml:space="preserve"> es una conducta tan seria que puede justificar el despido sin preaviso a la primera, tras un procedimiento justo. Ejemplos:</w:t>
      </w:r>
    </w:p>
    <w:p>
      <w:pPr>
        <w:pStyle w:val="ListParagraph"/>
        <w:numPr>
          <w:ilvl w:val="0"/>
          <w:numId w:val="3"/>
        </w:numPr>
        <w:spacing w:after="80" w:line="290"/>
      </w:pPr>
      <w:r>
        <w:rPr>
          <w:rFonts w:ascii="Nunito Sans" w:cs="Nunito Sans" w:eastAsia="Nunito Sans" w:hAnsi="Nunito Sans"/>
          <w:color w:val="102E3B"/>
          <w:sz w:val="20"/>
          <w:szCs w:val="20"/>
        </w:rPr>
        <w:t xml:space="preserve">la explotación, el abuso o el acoso sexuales de cualquier persona, incluido cualquier incumplimiento de los seis principios fundamentales del IASC recogidos en nuestro 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el abuso, la negligencia o la explotación de un niño, niña o adolescente o de una persona adulta en situación de riesgo, o no notificar una inquietud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el fraude, el robo, el soborno, las solicitudes de reembolso de gastos falsas, o la falsificación de registros, hojas de horas o informes;</w:t>
      </w:r>
    </w:p>
    <w:p>
      <w:pPr>
        <w:pStyle w:val="ListParagraph"/>
        <w:numPr>
          <w:ilvl w:val="0"/>
          <w:numId w:val="3"/>
        </w:numPr>
        <w:spacing w:after="80" w:line="290"/>
      </w:pPr>
      <w:r>
        <w:rPr>
          <w:rFonts w:ascii="Nunito Sans" w:cs="Nunito Sans" w:eastAsia="Nunito Sans" w:hAnsi="Nunito Sans"/>
          <w:color w:val="102E3B"/>
          <w:sz w:val="20"/>
          <w:szCs w:val="20"/>
        </w:rPr>
        <w:t xml:space="preserve">las brechas de datos graves: la divulgación deliberada o imprudente de información personal o confidencial, incluidos los registros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la violencia, las amenazas, o el hostigamiento o acoso graves;</w:t>
      </w:r>
    </w:p>
    <w:p>
      <w:pPr>
        <w:pStyle w:val="ListParagraph"/>
        <w:numPr>
          <w:ilvl w:val="0"/>
          <w:numId w:val="3"/>
        </w:numPr>
        <w:spacing w:after="80" w:line="290"/>
      </w:pPr>
      <w:r>
        <w:rPr>
          <w:rFonts w:ascii="Nunito Sans" w:cs="Nunito Sans" w:eastAsia="Nunito Sans" w:hAnsi="Nunito Sans"/>
          <w:color w:val="102E3B"/>
          <w:sz w:val="20"/>
          <w:szCs w:val="20"/>
        </w:rPr>
        <w:t xml:space="preserve">las represalias contra alguien que planteó una inquietud;</w:t>
      </w:r>
    </w:p>
    <w:p>
      <w:pPr>
        <w:pStyle w:val="ListParagraph"/>
        <w:numPr>
          <w:ilvl w:val="0"/>
          <w:numId w:val="3"/>
        </w:numPr>
        <w:spacing w:after="80" w:line="290"/>
      </w:pPr>
      <w:r>
        <w:rPr>
          <w:rFonts w:ascii="Nunito Sans" w:cs="Nunito Sans" w:eastAsia="Nunito Sans" w:hAnsi="Nunito Sans"/>
          <w:color w:val="102E3B"/>
          <w:sz w:val="20"/>
          <w:szCs w:val="20"/>
        </w:rPr>
        <w:t xml:space="preserve">trabajar bajo los efectos del alcohol o las drogas;</w:t>
      </w:r>
    </w:p>
    <w:p>
      <w:pPr>
        <w:pStyle w:val="ListParagraph"/>
        <w:numPr>
          <w:ilvl w:val="0"/>
          <w:numId w:val="3"/>
        </w:numPr>
        <w:spacing w:after="80" w:line="290"/>
      </w:pPr>
      <w:r>
        <w:rPr>
          <w:rFonts w:ascii="Nunito Sans" w:cs="Nunito Sans" w:eastAsia="Nunito Sans" w:hAnsi="Nunito Sans"/>
          <w:color w:val="102E3B"/>
          <w:sz w:val="20"/>
          <w:szCs w:val="20"/>
        </w:rPr>
        <w:t xml:space="preserve">la negligencia grave que cause daños o pérdidas;</w:t>
      </w:r>
    </w:p>
    <w:p>
      <w:pPr>
        <w:pStyle w:val="ListParagraph"/>
        <w:numPr>
          <w:ilvl w:val="0"/>
          <w:numId w:val="3"/>
        </w:numPr>
        <w:spacing w:after="80" w:line="290"/>
      </w:pPr>
      <w:r>
        <w:rPr>
          <w:rFonts w:ascii="Nunito Sans" w:cs="Nunito Sans" w:eastAsia="Nunito Sans" w:hAnsi="Nunito Sans"/>
          <w:color w:val="102E3B"/>
          <w:sz w:val="20"/>
          <w:szCs w:val="20"/>
        </w:rPr>
        <w:t xml:space="preserve">proporcionar información falsa sobre titulaciones, antecedentes penales o faltas de conducta en una declaración personal durante el proceso de selección.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LISTA DE FALTAS MUY GRAVES</w:t>
            </w:r>
          </w:p>
          <w:p>
            <w:pPr>
              <w:spacing w:after="120" w:before="0" w:line="300"/>
            </w:pPr>
            <w:r>
              <w:rPr>
                <w:rFonts w:ascii="Nunito Sans" w:cs="Nunito Sans" w:eastAsia="Nunito Sans" w:hAnsi="Nunito Sans"/>
                <w:color w:val="102E3B"/>
                <w:sz w:val="19"/>
                <w:szCs w:val="19"/>
              </w:rPr>
              <w:t xml:space="preserve">Compara la lista con las cláusulas 19 y 23 de tu Contrato de Trabajo y con tu Código de Conducta, para que los tres coincidan. Añade riesgos propios de tu trabajo, como el uso indebido de vehículos o el incumplimiento de normas de seguridad. En algunos países solo los motivos previstos en la ley justifican el despido sin preaviso, por ejemplo en Kenia (Employment Act 2007, sección 44) o en Brasil (CLT, artículo 482): utiliza la redacción legal cuando sea diferente.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Suspensión cautelar</w:t>
      </w:r>
    </w:p>
    <w:p>
      <w:pPr>
        <w:spacing w:after="120" w:before="0" w:line="300"/>
      </w:pPr>
      <w:r>
        <w:rPr>
          <w:rFonts w:ascii="Nunito Sans" w:cs="Nunito Sans" w:eastAsia="Nunito Sans" w:hAnsi="Nunito Sans"/>
          <w:color w:val="102E3B"/>
          <w:sz w:val="20"/>
          <w:szCs w:val="20"/>
        </w:rPr>
        <w:t xml:space="preserve">Si una inquietud es grave, podemos suspender a la persona empleada mientras investigamos, por ejemplo cuando existe un riesgo para las personas, las pruebas o el dinero. Antes consideramos alternativas, como cambiar sus funciones o retirar su acceso a fondos o sistemas.</w:t>
      </w:r>
    </w:p>
    <w:p>
      <w:pPr>
        <w:spacing w:after="120" w:before="0" w:line="300"/>
      </w:pPr>
      <w:r>
        <w:rPr>
          <w:rFonts w:ascii="Nunito Sans" w:cs="Nunito Sans" w:eastAsia="Nunito Sans" w:hAnsi="Nunito Sans"/>
          <w:color w:val="102E3B"/>
          <w:sz w:val="20"/>
          <w:szCs w:val="20"/>
        </w:rPr>
        <w:t xml:space="preserve">La suspensión es un acto neutral, no una sanción ni una conclusión, y se aplica con sueldo y prestaciones completos. La confirmamos por escrito en un plazo de </w:t>
      </w:r>
      <w:r>
        <w:rPr>
          <w:rFonts w:ascii="Nunito Sans" w:cs="Nunito Sans" w:eastAsia="Nunito Sans" w:hAnsi="Nunito Sans"/>
          <w:color w:val="102E3B"/>
          <w:sz w:val="20"/>
          <w:szCs w:val="20"/>
          <w:highlight w:val="yellow"/>
        </w:rPr>
        <w:t xml:space="preserve">[1 día hábil]</w:t>
      </w:r>
      <w:r>
        <w:rPr>
          <w:rFonts w:ascii="Nunito Sans" w:cs="Nunito Sans" w:eastAsia="Nunito Sans" w:hAnsi="Nunito Sans"/>
          <w:color w:val="102E3B"/>
          <w:sz w:val="20"/>
          <w:szCs w:val="20"/>
        </w:rPr>
        <w:t xml:space="preserve">, indicando el motivo, la duración prevista, las normas aplicables (como no contactar a testigos) y una persona de contacto para apoyo. La revisamos cada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 y la mantenemos breve. Se consulta a la persona responsable de salvaguarda en cualquier caso de salvaguarda.</w:t>
      </w:r>
    </w:p>
    <w:p>
      <w:pPr>
        <w:pStyle w:val="Heading2"/>
        <w:keepNext/>
        <w:spacing w:after="120" w:before="280"/>
      </w:pPr>
      <w:r>
        <w:rPr>
          <w:rFonts w:ascii="DM Serif Display" w:cs="DM Serif Display" w:eastAsia="DM Serif Display" w:hAnsi="DM Serif Display"/>
          <w:color w:val="123C48"/>
          <w:sz w:val="28"/>
          <w:szCs w:val="28"/>
        </w:rPr>
        <w:t xml:space="preserve">5. Investigación</w:t>
      </w:r>
    </w:p>
    <w:p>
      <w:pPr>
        <w:spacing w:after="120" w:before="0" w:line="300"/>
      </w:pPr>
      <w:r>
        <w:rPr>
          <w:rFonts w:ascii="Nunito Sans" w:cs="Nunito Sans" w:eastAsia="Nunito Sans" w:hAnsi="Nunito Sans"/>
          <w:color w:val="102E3B"/>
          <w:sz w:val="20"/>
          <w:szCs w:val="20"/>
        </w:rPr>
        <w:t xml:space="preserve">Antes de cualquier audiencia, establecemos los hechos sin demoras injustificadas. Siempre que sea posible, la persona que investiga no es la que decidirá el caso, no ha tenido ninguna participación en el asunto y no tiene una relación cercana con ninguna de las personas involucradas. La persona que investiga:</w:t>
      </w:r>
    </w:p>
    <w:p>
      <w:pPr>
        <w:pStyle w:val="ListParagraph"/>
        <w:numPr>
          <w:ilvl w:val="0"/>
          <w:numId w:val="5"/>
        </w:numPr>
        <w:spacing w:after="80" w:line="290"/>
      </w:pPr>
      <w:r>
        <w:rPr>
          <w:rFonts w:ascii="Nunito Sans" w:cs="Nunito Sans" w:eastAsia="Nunito Sans" w:hAnsi="Nunito Sans"/>
          <w:color w:val="102E3B"/>
          <w:sz w:val="20"/>
          <w:szCs w:val="20"/>
        </w:rPr>
        <w:t xml:space="preserve">acuerda unos términos de referencia por escrito: las acusaciones, las preguntas que deben responderse y una fecha objetivo, normalmente </w:t>
      </w:r>
      <w:r>
        <w:rPr>
          <w:rFonts w:ascii="Nunito Sans" w:cs="Nunito Sans" w:eastAsia="Nunito Sans" w:hAnsi="Nunito Sans"/>
          <w:color w:val="102E3B"/>
          <w:sz w:val="20"/>
          <w:szCs w:val="20"/>
          <w:highlight w:val="yellow"/>
        </w:rPr>
        <w:t xml:space="preserve">[15 días hábiles]</w:t>
      </w:r>
      <w:r>
        <w:rPr>
          <w:rFonts w:ascii="Nunito Sans" w:cs="Nunito Sans" w:eastAsia="Nunito Sans" w:hAnsi="Nunito Sans"/>
          <w:color w:val="102E3B"/>
          <w:sz w:val="20"/>
          <w:szCs w:val="20"/>
        </w:rPr>
        <w:t xml:space="preserve">;</w:t>
      </w:r>
    </w:p>
    <w:p>
      <w:pPr>
        <w:pStyle w:val="ListParagraph"/>
        <w:numPr>
          <w:ilvl w:val="0"/>
          <w:numId w:val="5"/>
        </w:numPr>
        <w:spacing w:after="80" w:line="290"/>
      </w:pPr>
      <w:r>
        <w:rPr>
          <w:rFonts w:ascii="Nunito Sans" w:cs="Nunito Sans" w:eastAsia="Nunito Sans" w:hAnsi="Nunito Sans"/>
          <w:color w:val="102E3B"/>
          <w:sz w:val="20"/>
          <w:szCs w:val="20"/>
        </w:rPr>
        <w:t xml:space="preserve">invita a la persona empleada a una reunión de investigación (Anexo A), le explica las acusaciones y le invita a dar su versión y a proponer testigos y pruebas;</w:t>
      </w:r>
    </w:p>
    <w:p>
      <w:pPr>
        <w:pStyle w:val="ListParagraph"/>
        <w:numPr>
          <w:ilvl w:val="0"/>
          <w:numId w:val="5"/>
        </w:numPr>
        <w:spacing w:after="80" w:line="290"/>
      </w:pPr>
      <w:r>
        <w:rPr>
          <w:rFonts w:ascii="Nunito Sans" w:cs="Nunito Sans" w:eastAsia="Nunito Sans" w:hAnsi="Nunito Sans"/>
          <w:color w:val="102E3B"/>
          <w:sz w:val="20"/>
          <w:szCs w:val="20"/>
        </w:rPr>
        <w:t xml:space="preserve">entrevista a los testigos por separado y toma notas, que cada persona puede revisar;</w:t>
      </w:r>
    </w:p>
    <w:p>
      <w:pPr>
        <w:pStyle w:val="ListParagraph"/>
        <w:numPr>
          <w:ilvl w:val="0"/>
          <w:numId w:val="5"/>
        </w:numPr>
        <w:spacing w:after="80" w:line="290"/>
      </w:pPr>
      <w:r>
        <w:rPr>
          <w:rFonts w:ascii="Nunito Sans" w:cs="Nunito Sans" w:eastAsia="Nunito Sans" w:hAnsi="Nunito Sans"/>
          <w:color w:val="102E3B"/>
          <w:sz w:val="20"/>
          <w:szCs w:val="20"/>
        </w:rPr>
        <w:t xml:space="preserve">reúne los documentos, mensajes y registros financieros pertinentes;</w:t>
      </w:r>
    </w:p>
    <w:p>
      <w:pPr>
        <w:pStyle w:val="ListParagraph"/>
        <w:numPr>
          <w:ilvl w:val="0"/>
          <w:numId w:val="5"/>
        </w:numPr>
        <w:spacing w:after="80" w:line="290"/>
      </w:pPr>
      <w:r>
        <w:rPr>
          <w:rFonts w:ascii="Nunito Sans" w:cs="Nunito Sans" w:eastAsia="Nunito Sans" w:hAnsi="Nunito Sans"/>
          <w:color w:val="102E3B"/>
          <w:sz w:val="20"/>
          <w:szCs w:val="20"/>
        </w:rPr>
        <w:t xml:space="preserve">redacta un breve informe de los hechos constatados y de si existen motivos para continuar el procedimiento, sin recomendar una sanción.</w:t>
      </w:r>
    </w:p>
    <w:p>
      <w:pPr>
        <w:spacing w:after="120" w:before="0" w:line="300"/>
      </w:pPr>
      <w:r>
        <w:rPr>
          <w:rFonts w:ascii="Nunito Sans" w:cs="Nunito Sans" w:eastAsia="Nunito Sans" w:hAnsi="Nunito Sans"/>
          <w:color w:val="102E3B"/>
          <w:sz w:val="20"/>
          <w:szCs w:val="20"/>
        </w:rPr>
        <w:t xml:space="preserve">Una reunión de investigación no da lugar a ninguna sanción. Permitimos que la persona acuda acompañada </w:t>
      </w:r>
      <w:r>
        <w:rPr>
          <w:rFonts w:ascii="Nunito Sans" w:cs="Nunito Sans" w:eastAsia="Nunito Sans" w:hAnsi="Nunito Sans"/>
          <w:color w:val="102E3B"/>
          <w:sz w:val="20"/>
          <w:szCs w:val="20"/>
          <w:highlight w:val="yellow"/>
        </w:rPr>
        <w:t xml:space="preserve">[cuando la persona empleada lo solicite / en todos los casos]</w:t>
      </w:r>
      <w:r>
        <w:rPr>
          <w:rFonts w:ascii="Nunito Sans" w:cs="Nunito Sans" w:eastAsia="Nunito Sans" w:hAnsi="Nunito Sans"/>
          <w:color w:val="102E3B"/>
          <w:sz w:val="20"/>
          <w:szCs w:val="20"/>
        </w:rPr>
        <w:t xml:space="preserve">, incluso cuando la ley no lo exija.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INVESTIGA EN UN EQUIPO PEQUEÑO</w:t>
            </w:r>
          </w:p>
          <w:p>
            <w:pPr>
              <w:spacing w:after="120" w:before="0" w:line="300"/>
            </w:pPr>
            <w:r>
              <w:rPr>
                <w:rFonts w:ascii="Nunito Sans" w:cs="Nunito Sans" w:eastAsia="Nunito Sans" w:hAnsi="Nunito Sans"/>
                <w:color w:val="102E3B"/>
                <w:sz w:val="19"/>
                <w:szCs w:val="19"/>
              </w:rPr>
              <w:t xml:space="preserve">En un equipo pequeño, puede que todas las personas estén demasiado cerca del caso. Opciones: un miembro del órgano de gobierno que no esté involucrado; una persona con cargo directivo de una organización afín, sujeta a confidencialidad; una persona consultora externa de recursos humanos; o, en casos graves de salvaguarda, de fraude o que afecten a cargos superiores, una persona investigadora especializada. Prevé un presupuesto para ello y pregunta a tus financiadores si deben aprobar a la persona que investigue.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Convocatoria a una audiencia disciplinaria</w:t>
      </w:r>
    </w:p>
    <w:p>
      <w:pPr>
        <w:spacing w:after="120" w:before="0" w:line="300"/>
      </w:pPr>
      <w:r>
        <w:rPr>
          <w:rFonts w:ascii="Nunito Sans" w:cs="Nunito Sans" w:eastAsia="Nunito Sans" w:hAnsi="Nunito Sans"/>
          <w:color w:val="102E3B"/>
          <w:sz w:val="20"/>
          <w:szCs w:val="20"/>
        </w:rPr>
        <w:t xml:space="preserve">Si existen motivos para continuar, la persona que decide escribe a la persona empleada (Anexo B) al menos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antes de la audiencia. La carta:</w:t>
      </w:r>
    </w:p>
    <w:p>
      <w:pPr>
        <w:pStyle w:val="ListParagraph"/>
        <w:numPr>
          <w:ilvl w:val="0"/>
          <w:numId w:val="3"/>
        </w:numPr>
        <w:spacing w:after="80" w:line="290"/>
      </w:pPr>
      <w:r>
        <w:rPr>
          <w:rFonts w:ascii="Nunito Sans" w:cs="Nunito Sans" w:eastAsia="Nunito Sans" w:hAnsi="Nunito Sans"/>
          <w:color w:val="102E3B"/>
          <w:sz w:val="20"/>
          <w:szCs w:val="20"/>
        </w:rPr>
        <w:t xml:space="preserve">expone cada acusación, con fechas y hechos;</w:t>
      </w:r>
    </w:p>
    <w:p>
      <w:pPr>
        <w:pStyle w:val="ListParagraph"/>
        <w:numPr>
          <w:ilvl w:val="0"/>
          <w:numId w:val="3"/>
        </w:numPr>
        <w:spacing w:after="80" w:line="290"/>
      </w:pPr>
      <w:r>
        <w:rPr>
          <w:rFonts w:ascii="Nunito Sans" w:cs="Nunito Sans" w:eastAsia="Nunito Sans" w:hAnsi="Nunito Sans"/>
          <w:color w:val="102E3B"/>
          <w:sz w:val="20"/>
          <w:szCs w:val="20"/>
        </w:rPr>
        <w:t xml:space="preserve">adjunta el informe de investigación y las pruebas, incluidas las declaraciones de testigos (anonimizadas solo cuando sea necesario para proteger a alguien);</w:t>
      </w:r>
    </w:p>
    <w:p>
      <w:pPr>
        <w:pStyle w:val="ListParagraph"/>
        <w:numPr>
          <w:ilvl w:val="0"/>
          <w:numId w:val="3"/>
        </w:numPr>
        <w:spacing w:after="80" w:line="290"/>
      </w:pPr>
      <w:r>
        <w:rPr>
          <w:rFonts w:ascii="Nunito Sans" w:cs="Nunito Sans" w:eastAsia="Nunito Sans" w:hAnsi="Nunito Sans"/>
          <w:color w:val="102E3B"/>
          <w:sz w:val="20"/>
          <w:szCs w:val="20"/>
        </w:rPr>
        <w:t xml:space="preserve">indica si las acusaciones podrían constituir una falta muy grave y si es posible el despido;</w:t>
      </w:r>
    </w:p>
    <w:p>
      <w:pPr>
        <w:pStyle w:val="ListParagraph"/>
        <w:numPr>
          <w:ilvl w:val="0"/>
          <w:numId w:val="3"/>
        </w:numPr>
        <w:spacing w:after="80" w:line="290"/>
      </w:pPr>
      <w:r>
        <w:rPr>
          <w:rFonts w:ascii="Nunito Sans" w:cs="Nunito Sans" w:eastAsia="Nunito Sans" w:hAnsi="Nunito Sans"/>
          <w:color w:val="102E3B"/>
          <w:sz w:val="20"/>
          <w:szCs w:val="20"/>
        </w:rPr>
        <w:t xml:space="preserve">indica la fecha, la hora, el lugar o el enlace, y quién asistirá;</w:t>
      </w:r>
    </w:p>
    <w:p>
      <w:pPr>
        <w:pStyle w:val="ListParagraph"/>
        <w:numPr>
          <w:ilvl w:val="0"/>
          <w:numId w:val="3"/>
        </w:numPr>
        <w:spacing w:after="80" w:line="290"/>
      </w:pPr>
      <w:r>
        <w:rPr>
          <w:rFonts w:ascii="Nunito Sans" w:cs="Nunito Sans" w:eastAsia="Nunito Sans" w:hAnsi="Nunito Sans"/>
          <w:color w:val="102E3B"/>
          <w:sz w:val="20"/>
          <w:szCs w:val="20"/>
        </w:rPr>
        <w:t xml:space="preserve">explica el derecho a estar acompañado, a presentar pruebas y a solicitar testigos, y ofrece ajustes e interpretación.</w:t>
      </w:r>
    </w:p>
    <w:p>
      <w:pPr>
        <w:pStyle w:val="Heading2"/>
        <w:keepNext/>
        <w:spacing w:after="120" w:before="280"/>
      </w:pPr>
      <w:r>
        <w:rPr>
          <w:rFonts w:ascii="DM Serif Display" w:cs="DM Serif Display" w:eastAsia="DM Serif Display" w:hAnsi="DM Serif Display"/>
          <w:color w:val="123C48"/>
          <w:sz w:val="28"/>
          <w:szCs w:val="28"/>
        </w:rPr>
        <w:t xml:space="preserve">7. El derecho a estar acompañado</w:t>
      </w:r>
    </w:p>
    <w:p>
      <w:pPr>
        <w:spacing w:after="120" w:before="0" w:line="300"/>
      </w:pPr>
      <w:r>
        <w:rPr>
          <w:rFonts w:ascii="Nunito Sans" w:cs="Nunito Sans" w:eastAsia="Nunito Sans" w:hAnsi="Nunito Sans"/>
          <w:color w:val="102E3B"/>
          <w:sz w:val="20"/>
          <w:szCs w:val="20"/>
        </w:rPr>
        <w:t xml:space="preserve">En cualquier audiencia formal disciplinaria o de reclamación, y en las apelaciones, la persona empleada puede llevar a un acompañante: </w:t>
      </w:r>
      <w:r>
        <w:rPr>
          <w:rFonts w:ascii="Nunito Sans" w:cs="Nunito Sans" w:eastAsia="Nunito Sans" w:hAnsi="Nunito Sans"/>
          <w:color w:val="102E3B"/>
          <w:sz w:val="20"/>
          <w:szCs w:val="20"/>
          <w:highlight w:val="yellow"/>
        </w:rPr>
        <w:t xml:space="preserve">[un compañero o compañera de trabajo, una persona representante o delegada sindical, u otra persona que aceptemos como ajuste razonable]</w:t>
      </w:r>
      <w:r>
        <w:rPr>
          <w:rFonts w:ascii="Nunito Sans" w:cs="Nunito Sans" w:eastAsia="Nunito Sans" w:hAnsi="Nunito Sans"/>
          <w:color w:val="102E3B"/>
          <w:sz w:val="20"/>
          <w:szCs w:val="20"/>
        </w:rPr>
        <w:t xml:space="preserve">. El acompañante puede intervenir, exponer el caso de la persona empleada y consultar con ella, pero no responder preguntas en su lugar. Si el acompañante no puede asistir, la persona empleada puede proponer otro momento dentro de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Los compañeros y compañeras disponen de tiempo libre retribuido para actuar como acompañantes.</w:t>
      </w:r>
    </w:p>
    <w:p>
      <w:pPr>
        <w:pStyle w:val="Heading2"/>
        <w:keepNext/>
        <w:spacing w:after="120" w:before="280"/>
      </w:pPr>
      <w:r>
        <w:rPr>
          <w:rFonts w:ascii="DM Serif Display" w:cs="DM Serif Display" w:eastAsia="DM Serif Display" w:hAnsi="DM Serif Display"/>
          <w:color w:val="123C48"/>
          <w:sz w:val="28"/>
          <w:szCs w:val="28"/>
        </w:rPr>
        <w:t xml:space="preserve">8. La audiencia</w:t>
      </w:r>
    </w:p>
    <w:p>
      <w:pPr>
        <w:spacing w:after="120" w:before="0" w:line="300"/>
      </w:pPr>
      <w:r>
        <w:rPr>
          <w:rFonts w:ascii="Nunito Sans" w:cs="Nunito Sans" w:eastAsia="Nunito Sans" w:hAnsi="Nunito Sans"/>
          <w:color w:val="102E3B"/>
          <w:sz w:val="20"/>
          <w:szCs w:val="20"/>
        </w:rPr>
        <w:t xml:space="preserve">La persona que decide dirige la audiencia, con una persona que toma notas (Anexo F). La persona empleada tiene plena oportunidad de responder, presentar pruebas, llamar a testigos pertinentes y exponer circunstancias atenuantes. La persona que decide hace una pausa antes de decidir y, si surgen nuevos elementos, los comprueba primero.</w:t>
      </w:r>
    </w:p>
    <w:p>
      <w:pPr>
        <w:spacing w:after="120" w:before="0" w:line="300"/>
      </w:pPr>
      <w:r>
        <w:rPr>
          <w:rFonts w:ascii="Nunito Sans" w:cs="Nunito Sans" w:eastAsia="Nunito Sans" w:hAnsi="Nunito Sans"/>
          <w:color w:val="102E3B"/>
          <w:sz w:val="20"/>
          <w:szCs w:val="20"/>
        </w:rPr>
        <w:t xml:space="preserve">Si la persona empleada no asiste sin un motivo justificado, reprogramamos la audiencia una vez y, después, podemos decidir sobre la base de las pruebas y de cualquier alegación por escrito. Si el motivo es una enfermedad, ofrecemos una respuesta por escrito o una reunión en línea.</w:t>
      </w:r>
    </w:p>
    <w:p>
      <w:pPr>
        <w:pStyle w:val="Heading2"/>
        <w:keepNext/>
        <w:spacing w:after="120" w:before="280"/>
      </w:pPr>
      <w:r>
        <w:rPr>
          <w:rFonts w:ascii="DM Serif Display" w:cs="DM Serif Display" w:eastAsia="DM Serif Display" w:hAnsi="DM Serif Display"/>
          <w:color w:val="123C48"/>
          <w:sz w:val="28"/>
          <w:szCs w:val="28"/>
        </w:rPr>
        <w:t xml:space="preserve">9. Resultados</w:t>
      </w:r>
    </w:p>
    <w:p>
      <w:pPr>
        <w:spacing w:after="120" w:before="0" w:line="300"/>
      </w:pPr>
      <w:r>
        <w:rPr>
          <w:rFonts w:ascii="Nunito Sans" w:cs="Nunito Sans" w:eastAsia="Nunito Sans" w:hAnsi="Nunito Sans"/>
          <w:color w:val="102E3B"/>
          <w:sz w:val="20"/>
          <w:szCs w:val="20"/>
        </w:rPr>
        <w:t xml:space="preserve">Comunicamos la decisión por escrito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desde la audiencia (Anexo C), con los motivos y el derecho de apelación. Antes de despedir a alguien, la persona que decide consulta a la presidencia, tal como exige nuestra Matriz de Delegación de Autoridad. Solo el órgano de gobierno puede despedir a la dirección: los miembros del órgano de gobierno que investigaron el caso, o que resolverán la apelación, no participan en esa decisión.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4381"/>
        <w:gridCol w:w="2667"/>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RESULTADO</w:t>
            </w:r>
          </w:p>
        </w:tc>
        <w:tc>
          <w:tcPr>
            <w:tcW w:type="dxa" w:w="4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 SE UTILIZA</w:t>
            </w:r>
          </w:p>
        </w:tc>
        <w:tc>
          <w:tcPr>
            <w:tcW w:type="dxa" w:w="2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VIGENCIA</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Ninguna medida</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acusación no se confirma. Aun así, podemos dar orientación o formación.</w:t>
            </w:r>
          </w:p>
        </w:tc>
        <w:tc>
          <w:tcPr>
            <w:tcW w:type="dxa" w:w="2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es una sanción</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Primera amonestación por escrito</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Falta, o rendimiento que no ha mejorado después de recibir apoyo.</w:t>
            </w:r>
          </w:p>
        </w:tc>
        <w:tc>
          <w:tcPr>
            <w:tcW w:type="dxa" w:w="2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meses]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Amonestación final por escrito</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Falta grave, o una nueva falta durante la vigencia de una amonestación.</w:t>
            </w:r>
          </w:p>
        </w:tc>
        <w:tc>
          <w:tcPr>
            <w:tcW w:type="dxa" w:w="2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[12 meses]</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Despido</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Falta muy grave, o una nueva falta durante la vigencia de una amonestación final. Con preaviso, o sin preaviso en caso de falta muy grave.</w:t>
            </w:r>
          </w:p>
        </w:tc>
        <w:tc>
          <w:tcPr>
            <w:tcW w:type="dxa" w:w="2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aplica</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Alternativas al despido</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Cuando sea proporcionado: descenso de categoría, traslado o retirada de funciones de contacto o financieras, junto con una amonestación final por escrito, si el contrato y la ley lo permiten.</w:t>
            </w:r>
          </w:p>
        </w:tc>
        <w:tc>
          <w:tcPr>
            <w:tcW w:type="dxa" w:w="2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Igual que la amonestación</w:t>
            </w:r>
          </w:p>
        </w:tc>
      </w:tr>
    </w:tbl>
    <w:p>
      <w:pPr>
        <w:spacing w:after="120"/>
      </w:pPr>
    </w:p>
    <w:p>
      <w:pPr>
        <w:spacing w:after="120" w:before="0" w:line="300"/>
      </w:pPr>
      <w:r>
        <w:rPr>
          <w:rFonts w:ascii="Nunito Sans" w:cs="Nunito Sans" w:eastAsia="Nunito Sans" w:hAnsi="Nunito Sans"/>
          <w:color w:val="102E3B"/>
          <w:sz w:val="20"/>
          <w:szCs w:val="20"/>
        </w:rPr>
        <w:t xml:space="preserve">Una amonestación indica el problema, la mejora esperada, el apoyo ofrecido y el resultado probable de una nueva falta. Una vez vencida, no se tiene en cuenta para futuras sanciones. La persona que decide toma en consideración el historial de la persona, las circunstancias atenuantes y cómo se trataron casos similares.</w:t>
      </w:r>
    </w:p>
    <w:p>
      <w:pPr>
        <w:pStyle w:val="Heading2"/>
        <w:keepNext/>
        <w:spacing w:after="120" w:before="280"/>
      </w:pPr>
      <w:r>
        <w:rPr>
          <w:rFonts w:ascii="DM Serif Display" w:cs="DM Serif Display" w:eastAsia="DM Serif Display" w:hAnsi="DM Serif Display"/>
          <w:color w:val="123C48"/>
          <w:sz w:val="28"/>
          <w:szCs w:val="28"/>
        </w:rPr>
        <w:t xml:space="preserve">10. Apelaciones</w:t>
      </w:r>
    </w:p>
    <w:p>
      <w:pPr>
        <w:spacing w:after="120" w:before="0" w:line="300"/>
      </w:pPr>
      <w:r>
        <w:rPr>
          <w:rFonts w:ascii="Nunito Sans" w:cs="Nunito Sans" w:eastAsia="Nunito Sans" w:hAnsi="Nunito Sans"/>
          <w:color w:val="102E3B"/>
          <w:sz w:val="20"/>
          <w:szCs w:val="20"/>
        </w:rPr>
        <w:t xml:space="preserve">La persona empleada puede apelar cualquier amonestación o despido en un plazo de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 escribiendo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 indicando los motivos: por ejemplo, un procedimiento injusto, nuevas pruebas o una sanción desproporcionada. Resuelve la apelación una persona de rango superior a quien decidió o independiente de ella, o un miembro del órgano de gobierno o una persona asesora externa si nadie dentro de la organización cumple esos requisitos.</w:t>
      </w:r>
    </w:p>
    <w:p>
      <w:pPr>
        <w:spacing w:after="120" w:before="0" w:line="300"/>
      </w:pPr>
      <w:r>
        <w:rPr>
          <w:rFonts w:ascii="Nunito Sans" w:cs="Nunito Sans" w:eastAsia="Nunito Sans" w:hAnsi="Nunito Sans"/>
          <w:color w:val="102E3B"/>
          <w:sz w:val="20"/>
          <w:szCs w:val="20"/>
        </w:rPr>
        <w:t xml:space="preserve">La audiencia de apelación se celebra en un plazo de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 desde la recepción de la apelación, con derecho a estar acompañado. La decisión escrita se comunica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(Anexo D). La apelación puede confirmar, reducir o anular la sanción, pero no aumentarla. Es definitiva dentro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11. Salvaguarda, fraude y asuntos penales</w:t>
      </w:r>
    </w:p>
    <w:p>
      <w:pPr>
        <w:spacing w:after="120" w:before="0" w:line="300"/>
      </w:pPr>
      <w:r>
        <w:rPr>
          <w:rFonts w:ascii="Nunito Sans" w:cs="Nunito Sans" w:eastAsia="Nunito Sans" w:hAnsi="Nunito Sans"/>
          <w:b/>
          <w:bCs/>
          <w:color w:val="102E3B"/>
          <w:sz w:val="20"/>
          <w:szCs w:val="20"/>
        </w:rPr>
        <w:t xml:space="preserve">Salvaguarda.</w:t>
      </w:r>
      <w:r>
        <w:rPr>
          <w:rFonts w:ascii="Nunito Sans" w:cs="Nunito Sans" w:eastAsia="Nunito Sans" w:hAnsi="Nunito Sans"/>
          <w:color w:val="102E3B"/>
          <w:sz w:val="20"/>
          <w:szCs w:val="20"/>
        </w:rPr>
        <w:t xml:space="preserve"> Cuando un caso surge de una inquietud de salvaguarda, la persona responsable de salvaguarda participa desde el principio y asesora sobre la suspensión y los riesgos. Nunca se pide a una persona sobreviviente que se enfrente a la persona empleada, y su declaración se toma una sola vez, por la persona responsable de salvaguarda o por una persona investigadora con experiencia en salvaguarda. No se le convoca a la audiencia: la persona empleada puede formular preguntas por escrito, que la persona que decide solo transmite si son pertinentes y apropiadas. Cuando sea necesario, se protege la identidad de la persona sobreviviente en la documentación de la audiencia. Se le informa del resultado en la medida en que lo permitan la ley y la privacidad de otras personas.</w:t>
      </w:r>
    </w:p>
    <w:p>
      <w:pPr>
        <w:spacing w:after="120" w:before="0" w:line="300"/>
      </w:pPr>
      <w:r>
        <w:rPr>
          <w:rFonts w:ascii="Nunito Sans" w:cs="Nunito Sans" w:eastAsia="Nunito Sans" w:hAnsi="Nunito Sans"/>
          <w:b/>
          <w:bCs/>
          <w:color w:val="102E3B"/>
          <w:sz w:val="20"/>
          <w:szCs w:val="20"/>
        </w:rPr>
        <w:t xml:space="preserve">Fraude y denuncia de irregularidades.</w:t>
      </w:r>
      <w:r>
        <w:rPr>
          <w:rFonts w:ascii="Nunito Sans" w:cs="Nunito Sans" w:eastAsia="Nunito Sans" w:hAnsi="Nunito Sans"/>
          <w:color w:val="102E3B"/>
          <w:sz w:val="20"/>
          <w:szCs w:val="20"/>
        </w:rPr>
        <w:t xml:space="preserve"> En los casos de fraude, primero protegemos las pruebas, por ejemplo retirando el acceso a las cuentas bancarias. No se convoca como testigo a una persona denunciante sin su consentimiento.</w:t>
      </w:r>
    </w:p>
    <w:p>
      <w:pPr>
        <w:spacing w:after="120" w:before="0" w:line="300"/>
      </w:pPr>
      <w:r>
        <w:rPr>
          <w:rFonts w:ascii="Nunito Sans" w:cs="Nunito Sans" w:eastAsia="Nunito Sans" w:hAnsi="Nunito Sans"/>
          <w:b/>
          <w:bCs/>
          <w:color w:val="102E3B"/>
          <w:sz w:val="20"/>
          <w:szCs w:val="20"/>
        </w:rPr>
        <w:t xml:space="preserve">Asuntos penales.</w:t>
      </w:r>
      <w:r>
        <w:rPr>
          <w:rFonts w:ascii="Nunito Sans" w:cs="Nunito Sans" w:eastAsia="Nunito Sans" w:hAnsi="Nunito Sans"/>
          <w:color w:val="102E3B"/>
          <w:sz w:val="20"/>
          <w:szCs w:val="20"/>
        </w:rPr>
        <w:t xml:space="preserve"> Cuando una conducta pueda constituir un delito, seguimos la ley sobre su denuncia y nuestra Política y Procedimiento de Salvaguarda. Nuestro proceso determina si se incumplieron nuestras normas, según el balance de probabilidades, no si se ha probado un delito. Cuando la ley lo permite, no esperamos al resultado de la policía o de un tribunal, especialmente si hay personas en riesgo. Hacemos una pausa si la policía nos lo pide o si continuar perjudicaría un proceso penal. Una imputación o una condena no es por sí sola un motivo de despido: valoramos si afecta a la idoneidad para el puesto.</w:t>
      </w:r>
    </w:p>
    <w:p>
      <w:pPr>
        <w:spacing w:after="120" w:before="0" w:line="300"/>
      </w:pPr>
      <w:r>
        <w:rPr>
          <w:rFonts w:ascii="Nunito Sans" w:cs="Nunito Sans" w:eastAsia="Nunito Sans" w:hAnsi="Nunito Sans"/>
          <w:b/>
          <w:bCs/>
          <w:color w:val="102E3B"/>
          <w:sz w:val="20"/>
          <w:szCs w:val="20"/>
        </w:rPr>
        <w:t xml:space="preserve">Renuncia durante un caso.</w:t>
      </w:r>
      <w:r>
        <w:rPr>
          <w:rFonts w:ascii="Nunito Sans" w:cs="Nunito Sans" w:eastAsia="Nunito Sans" w:hAnsi="Nunito Sans"/>
          <w:color w:val="102E3B"/>
          <w:sz w:val="20"/>
          <w:szCs w:val="20"/>
        </w:rPr>
        <w:t xml:space="preserve"> Si una persona empleada renuncia mientras se la investiga por explotación, abuso o acoso sexuales, fraude u otro asunto grave, completamos la investigación cuando sea posible y registramos el resultado.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INVESTIGACIONES PENALES Y NOTIFICACIÓN OBLIGATORIA</w:t>
            </w:r>
          </w:p>
          <w:p>
            <w:pPr>
              <w:spacing w:after="120" w:before="0" w:line="300"/>
            </w:pPr>
            <w:r>
              <w:rPr>
                <w:rFonts w:ascii="Nunito Sans" w:cs="Nunito Sans" w:eastAsia="Nunito Sans" w:hAnsi="Nunito Sans"/>
                <w:color w:val="102E3B"/>
                <w:sz w:val="19"/>
                <w:szCs w:val="19"/>
              </w:rPr>
              <w:t xml:space="preserve">Busca asesoramiento jurídico desde el principio en cualquier caso que pueda constituir un delito. Algunos países obligan a los empleadores a denunciar determinados delitos, como los delitos sexuales contra niños, niñas y adolescentes o la corrupción, en un plazo breve. Consulta tu legislación local sobre la notificación obligatoria, sobre la continuación de un proceso interno durante un proceso penal y sobre la duración máxima de la suspensión. Si una persona empleada está detenida, comprueba si la ley local lo trata como incapacidad: el Code of Good Practice: Dismissal de 2025 de Sudáfrica lo hace.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Referencias e información a terceros</w:t>
      </w:r>
    </w:p>
    <w:p>
      <w:pPr>
        <w:spacing w:after="120" w:before="0" w:line="300"/>
      </w:pPr>
      <w:r>
        <w:rPr>
          <w:rFonts w:ascii="Nunito Sans" w:cs="Nunito Sans" w:eastAsia="Nunito Sans" w:hAnsi="Nunito Sans"/>
          <w:b/>
          <w:bCs/>
          <w:color w:val="102E3B"/>
          <w:sz w:val="20"/>
          <w:szCs w:val="20"/>
        </w:rPr>
        <w:t xml:space="preserve">Referencias.</w:t>
      </w:r>
      <w:r>
        <w:rPr>
          <w:rFonts w:ascii="Nunito Sans" w:cs="Nunito Sans" w:eastAsia="Nunito Sans" w:hAnsi="Nunito Sans"/>
          <w:color w:val="102E3B"/>
          <w:sz w:val="20"/>
          <w:szCs w:val="20"/>
        </w:rPr>
        <w:t xml:space="preserve"> Damos referencias basadas en hechos y seguimos los principios del Misconduct Disclosure Scheme, un sistema interinstitucional cuyos signatarios consultan a otros empleadores, y responden a sus consultas, sobre explotación, abuso y acoso sexuales. Cuando la ley lo permite, revelamos las conclusiones confirmadas de explotación, abuso o acoso sexuales, y si la persona se marchó durante una investigación. Nunca presentamos acusaciones no probadas como conclusiones.</w:t>
      </w:r>
    </w:p>
    <w:p>
      <w:pPr>
        <w:spacing w:after="120" w:before="0" w:line="300"/>
      </w:pPr>
      <w:r>
        <w:rPr>
          <w:rFonts w:ascii="Nunito Sans" w:cs="Nunito Sans" w:eastAsia="Nunito Sans" w:hAnsi="Nunito Sans"/>
          <w:b/>
          <w:bCs/>
          <w:color w:val="102E3B"/>
          <w:sz w:val="20"/>
          <w:szCs w:val="20"/>
        </w:rPr>
        <w:t xml:space="preserve">Financiadores, reguladores y socios.</w:t>
      </w:r>
      <w:r>
        <w:rPr>
          <w:rFonts w:ascii="Nunito Sans" w:cs="Nunito Sans" w:eastAsia="Nunito Sans" w:hAnsi="Nunito Sans"/>
          <w:color w:val="102E3B"/>
          <w:sz w:val="20"/>
          <w:szCs w:val="20"/>
        </w:rPr>
        <w:t xml:space="preserve"> Algunos financiadores, reguladores y aseguradoras nos exigen notificar los incidentes de salvaguarda, el fraude o las faltas graves, a veces en un plazo de 24 a 72 horas, así como el resultado.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realiza estas notificaciones conforme al Procedimiento de Notificación de Incidentes, compartiendo solo lo necesario.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FINANCIADORES, REGULADORES Y REFERENCIAS</w:t>
            </w:r>
          </w:p>
          <w:p>
            <w:pPr>
              <w:spacing w:after="120" w:before="0" w:line="300"/>
            </w:pPr>
            <w:r>
              <w:rPr>
                <w:rFonts w:ascii="Nunito Sans" w:cs="Nunito Sans" w:eastAsia="Nunito Sans" w:hAnsi="Nunito Sans"/>
                <w:color w:val="102E3B"/>
                <w:sz w:val="19"/>
                <w:szCs w:val="19"/>
              </w:rPr>
              <w:t xml:space="preserve">Enumera cada financiador, regulador y aseguradora a los que debes notificar las faltas, y sus plazos: lee cada acuerdo de subvención. En Inglaterra y Gales, las organizaciones benéficas registradas notifican los incidentes graves a la Charity Commission. Si te adhieres al Misconduct Disclosure Scheme, utiliza sus orientaciones y formularios vigentes. Consulta tu legislación local de protección de datos sobre la información relativa a faltas en las referencias. Nunca aceptes un acuerdo que te impida revelar una conclusión de salvaguarda confirmada.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13. Plazos disciplinarios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3"/>
        <w:gridCol w:w="4001"/>
      </w:tblGrid>
      <w:tr>
        <w:trPr>
          <w:cantSplit/>
          <w:tblHeader/>
        </w:trPr>
        <w:tc>
          <w:tcPr>
            <w:tcW w:type="dxa" w:w="5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PASO</w:t>
            </w:r>
          </w:p>
        </w:tc>
        <w:tc>
          <w:tcPr>
            <w:tcW w:type="dxa" w:w="400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Confirmar una suspensión por escrito</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 día hábil]</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Completar la investigación</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Objetivo: </w:t>
            </w:r>
            <w:r>
              <w:rPr>
                <w:rFonts w:ascii="Nunito Sans" w:cs="Nunito Sans" w:eastAsia="Nunito Sans" w:hAnsi="Nunito Sans"/>
                <w:color w:val="102E3B"/>
                <w:sz w:val="18"/>
                <w:szCs w:val="18"/>
                <w:highlight w:val="yellow"/>
              </w:rPr>
              <w:t xml:space="preserve">[15 días hábiles]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Convocatoria a una audiencia disciplinaria</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menos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antes de la audiencia</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Decisión por escrito</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desde la audiencia</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Presentar una apelación</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[10 días hábiles]</w:t>
            </w:r>
            <w:r>
              <w:rPr>
                <w:rFonts w:ascii="Nunito Sans" w:cs="Nunito Sans" w:eastAsia="Nunito Sans" w:hAnsi="Nunito Sans"/>
                <w:color w:val="102E3B"/>
                <w:sz w:val="18"/>
                <w:szCs w:val="18"/>
              </w:rPr>
              <w:t xml:space="preserve"> desde la decisión</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Audiencia de apelación</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[10 días hábiles]</w:t>
            </w:r>
            <w:r>
              <w:rPr>
                <w:rFonts w:ascii="Nunito Sans" w:cs="Nunito Sans" w:eastAsia="Nunito Sans" w:hAnsi="Nunito Sans"/>
                <w:color w:val="102E3B"/>
                <w:sz w:val="18"/>
                <w:szCs w:val="18"/>
              </w:rPr>
              <w:t xml:space="preserve"> desde la recepción de la apelación</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Decisión sobre la apelación</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desde la audiencia de apelación</w:t>
            </w:r>
          </w:p>
        </w:tc>
      </w:tr>
    </w:tbl>
    <w:p>
      <w:pPr>
        <w:spacing w:after="120"/>
      </w:pPr>
    </w:p>
    <w:p>
      <w:pPr>
        <w:spacing w:after="120" w:before="0" w:line="300"/>
      </w:pPr>
      <w:r>
        <w:rPr>
          <w:rFonts w:ascii="Nunito Sans" w:cs="Nunito Sans" w:eastAsia="Nunito Sans" w:hAnsi="Nunito Sans"/>
          <w:color w:val="102E3B"/>
          <w:sz w:val="20"/>
          <w:szCs w:val="20"/>
        </w:rPr>
        <w:t xml:space="preserve">Si necesitamos más tiempo, por ejemplo porque un testigo no está disponible, explicamos el motivo a la persona empleada y le damos una nueva fecha.</w:t>
      </w:r>
    </w:p>
    <w:p>
      <w:pPr>
        <w:pStyle w:val="Heading1"/>
        <w:keepNext/>
        <w:spacing w:after="160" w:before="360"/>
      </w:pPr>
      <w:r>
        <w:rPr>
          <w:rFonts w:ascii="DM Serif Display" w:cs="DM Serif Display" w:eastAsia="DM Serif Display" w:hAnsi="DM Serif Display"/>
          <w:color w:val="123C48"/>
          <w:sz w:val="40"/>
          <w:szCs w:val="40"/>
        </w:rPr>
        <w:t xml:space="preserve">Parte B: Procedimiento de reclamaciones</w:t>
      </w:r>
    </w:p>
    <w:p>
      <w:pPr>
        <w:spacing w:after="120" w:before="0" w:line="300"/>
      </w:pPr>
      <w:r>
        <w:rPr>
          <w:rFonts w:ascii="Nunito Sans" w:cs="Nunito Sans" w:eastAsia="Nunito Sans" w:hAnsi="Nunito Sans"/>
          <w:color w:val="102E3B"/>
          <w:sz w:val="20"/>
          <w:szCs w:val="20"/>
        </w:rPr>
        <w:t xml:space="preserve">Una reclamación es una inquietud que una persona empleada plantea sobre su propio trabajo, sus condiciones laborales o sus relaciones en el trabajo: por ejemplo, el salario, la carga de trabajo, el horario, los cambios de funciones o el trato que recibe de su responsable.</w:t>
      </w:r>
    </w:p>
    <w:p>
      <w:pPr>
        <w:pStyle w:val="Heading2"/>
        <w:keepNext/>
        <w:spacing w:after="120" w:before="280"/>
      </w:pPr>
      <w:r>
        <w:rPr>
          <w:rFonts w:ascii="DM Serif Display" w:cs="DM Serif Display" w:eastAsia="DM Serif Display" w:hAnsi="DM Serif Display"/>
          <w:color w:val="123C48"/>
          <w:sz w:val="28"/>
          <w:szCs w:val="28"/>
        </w:rPr>
        <w:t xml:space="preserve">14. Primero, la vía informal</w:t>
      </w:r>
    </w:p>
    <w:p>
      <w:pPr>
        <w:spacing w:after="120" w:before="0" w:line="300"/>
      </w:pPr>
      <w:r>
        <w:rPr>
          <w:rFonts w:ascii="Nunito Sans" w:cs="Nunito Sans" w:eastAsia="Nunito Sans" w:hAnsi="Nunito Sans"/>
          <w:color w:val="102E3B"/>
          <w:sz w:val="20"/>
          <w:szCs w:val="20"/>
        </w:rPr>
        <w:t xml:space="preserve">La mayoría de las reclamaciones se resuelven mejor si se plantean pronto. Hable con su responsable, o con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si el asunto se refiere a su responsable. Le escucharán e intentarán acordar una solución en un plazo de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 Nunca está obligado a utilizar la vía informal.</w:t>
      </w:r>
    </w:p>
    <w:p>
      <w:pPr>
        <w:pStyle w:val="Heading2"/>
        <w:keepNext/>
        <w:spacing w:after="120" w:before="280"/>
      </w:pPr>
      <w:r>
        <w:rPr>
          <w:rFonts w:ascii="DM Serif Display" w:cs="DM Serif Display" w:eastAsia="DM Serif Display" w:hAnsi="DM Serif Display"/>
          <w:color w:val="123C48"/>
          <w:sz w:val="28"/>
          <w:szCs w:val="28"/>
        </w:rPr>
        <w:t xml:space="preserve">15. Reclamación formal, reunión y resultado</w:t>
      </w:r>
    </w:p>
    <w:p>
      <w:pPr>
        <w:spacing w:after="120" w:before="0" w:line="300"/>
      </w:pPr>
      <w:r>
        <w:rPr>
          <w:rFonts w:ascii="Nunito Sans" w:cs="Nunito Sans" w:eastAsia="Nunito Sans" w:hAnsi="Nunito Sans"/>
          <w:color w:val="102E3B"/>
          <w:sz w:val="20"/>
          <w:szCs w:val="20"/>
        </w:rPr>
        <w:t xml:space="preserve">Si la vía informal no funciona, o si el asunto es grave, escriba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utilizando el Anexo E o un correo electrónico, indicando qué ocurrió y qué resultado desea. Una persona no involucrada se reúne con usted, con un acompañante si así lo desea (sección 7), comprueba los hechos de forma confidencial y le comunica una decisión por escrito con sus motivos. Puede apelar ante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que no haya estado involucrado.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3"/>
        <w:gridCol w:w="4001"/>
      </w:tblGrid>
      <w:tr>
        <w:trPr>
          <w:cantSplit/>
          <w:tblHeader/>
        </w:trPr>
        <w:tc>
          <w:tcPr>
            <w:tcW w:type="dxa" w:w="5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PASO</w:t>
            </w:r>
          </w:p>
        </w:tc>
        <w:tc>
          <w:tcPr>
            <w:tcW w:type="dxa" w:w="400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Resolución informal</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Objetivo: </w:t>
            </w:r>
            <w:r>
              <w:rPr>
                <w:rFonts w:ascii="Nunito Sans" w:cs="Nunito Sans" w:eastAsia="Nunito Sans" w:hAnsi="Nunito Sans"/>
                <w:color w:val="102E3B"/>
                <w:sz w:val="18"/>
                <w:szCs w:val="18"/>
                <w:highlight w:val="yellow"/>
              </w:rPr>
              <w:t xml:space="preserve">[10 días hábiles]</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Acusar recibo de una reclamación formal</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 días hábiles]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Reunión sobre la reclamación</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[10 días hábiles]</w:t>
            </w:r>
            <w:r>
              <w:rPr>
                <w:rFonts w:ascii="Nunito Sans" w:cs="Nunito Sans" w:eastAsia="Nunito Sans" w:hAnsi="Nunito Sans"/>
                <w:color w:val="102E3B"/>
                <w:sz w:val="18"/>
                <w:szCs w:val="18"/>
              </w:rPr>
              <w:t xml:space="preserve"> desde su recepción</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Resultado por escrito</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desde la reunión o las comprobaciones adicionales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Presentar una apelación</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[10 días hábiles]</w:t>
            </w:r>
            <w:r>
              <w:rPr>
                <w:rFonts w:ascii="Nunito Sans" w:cs="Nunito Sans" w:eastAsia="Nunito Sans" w:hAnsi="Nunito Sans"/>
                <w:color w:val="102E3B"/>
                <w:sz w:val="18"/>
                <w:szCs w:val="18"/>
              </w:rPr>
              <w:t xml:space="preserve"> desde el resultado</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Reunión de apelación</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[10 días hábiles]</w:t>
            </w:r>
            <w:r>
              <w:rPr>
                <w:rFonts w:ascii="Nunito Sans" w:cs="Nunito Sans" w:eastAsia="Nunito Sans" w:hAnsi="Nunito Sans"/>
                <w:color w:val="102E3B"/>
                <w:sz w:val="18"/>
                <w:szCs w:val="18"/>
              </w:rPr>
              <w:t xml:space="preserve"> desde la recepción de la apelación</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Decisión final sobre la apelación</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desde la reunión de apelación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16. Reclamaciones durante un proceso disciplinario</w:t>
      </w:r>
    </w:p>
    <w:p>
      <w:pPr>
        <w:spacing w:after="120" w:before="0" w:line="300"/>
      </w:pPr>
      <w:r>
        <w:rPr>
          <w:rFonts w:ascii="Nunito Sans" w:cs="Nunito Sans" w:eastAsia="Nunito Sans" w:hAnsi="Nunito Sans"/>
          <w:color w:val="102E3B"/>
          <w:sz w:val="20"/>
          <w:szCs w:val="20"/>
        </w:rPr>
        <w:t xml:space="preserve">Podemos suspender brevemente un proceso disciplinario para atender una reclamación planteada durante el mismo, o tratar ambos asuntos conjuntamente cuando estén estrechamente relacionados. Si la reclamación alega parcialidad de la persona que gestiona el caso, valoramos designar a otra persona.</w:t>
      </w:r>
    </w:p>
    <w:p>
      <w:pPr>
        <w:pStyle w:val="Heading2"/>
        <w:keepNext/>
        <w:spacing w:after="120" w:before="280"/>
      </w:pPr>
      <w:r>
        <w:rPr>
          <w:rFonts w:ascii="DM Serif Display" w:cs="DM Serif Display" w:eastAsia="DM Serif Display" w:hAnsi="DM Serif Display"/>
          <w:color w:val="123C48"/>
          <w:sz w:val="28"/>
          <w:szCs w:val="28"/>
        </w:rPr>
        <w:t xml:space="preserve">17. Reclamaciones colectivas</w:t>
      </w:r>
    </w:p>
    <w:p>
      <w:pPr>
        <w:spacing w:after="120" w:before="0" w:line="300"/>
      </w:pPr>
      <w:r>
        <w:rPr>
          <w:rFonts w:ascii="Nunito Sans" w:cs="Nunito Sans" w:eastAsia="Nunito Sans" w:hAnsi="Nunito Sans"/>
          <w:color w:val="102E3B"/>
          <w:sz w:val="20"/>
          <w:szCs w:val="20"/>
        </w:rPr>
        <w:t xml:space="preserve">Cuando dos o más personas empleadas comparten una reclamación, pueden plantearla conjuntamente o a través de un sindicato o de una persona representante elegida. Nos reunimos con el grupo o con sus representantes y seguimos los mismos pasos y plazos. Cuando reconocemos a un sindicato, se aplica en su lugar cualquier procedimiento colectivo acordado.</w:t>
      </w:r>
    </w:p>
    <w:p>
      <w:pPr>
        <w:pStyle w:val="Heading2"/>
        <w:keepNext/>
        <w:spacing w:after="120" w:before="280"/>
      </w:pPr>
      <w:r>
        <w:rPr>
          <w:rFonts w:ascii="DM Serif Display" w:cs="DM Serif Display" w:eastAsia="DM Serif Display" w:hAnsi="DM Serif Display"/>
          <w:color w:val="123C48"/>
          <w:sz w:val="28"/>
          <w:szCs w:val="28"/>
        </w:rPr>
        <w:t xml:space="preserve">18. Reclamaciones sobre la dirección, la persona fundadora o el órgano de gobierno</w:t>
      </w:r>
    </w:p>
    <w:p>
      <w:pPr>
        <w:spacing w:after="120" w:before="0" w:line="300"/>
      </w:pPr>
      <w:r>
        <w:rPr>
          <w:rFonts w:ascii="Nunito Sans" w:cs="Nunito Sans" w:eastAsia="Nunito Sans" w:hAnsi="Nunito Sans"/>
          <w:color w:val="102E3B"/>
          <w:sz w:val="20"/>
          <w:szCs w:val="20"/>
        </w:rPr>
        <w:t xml:space="preserve">Una reclamación sobre la dirección, la persona fundadora o un miembro del órgano de gobierno se dirige directamente a </w:t>
      </w:r>
      <w:r>
        <w:rPr>
          <w:rFonts w:ascii="Nunito Sans" w:cs="Nunito Sans" w:eastAsia="Nunito Sans" w:hAnsi="Nunito Sans"/>
          <w:color w:val="102E3B"/>
          <w:sz w:val="20"/>
          <w:szCs w:val="20"/>
          <w:highlight w:val="yellow"/>
        </w:rPr>
        <w:t xml:space="preserve">[Nombre, cargo, por ejemplo la presidencia del órgano de gobierno]</w:t>
      </w:r>
      <w:r>
        <w:rPr>
          <w:rFonts w:ascii="Nunito Sans" w:cs="Nunito Sans" w:eastAsia="Nunito Sans" w:hAnsi="Nunito Sans"/>
          <w:color w:val="102E3B"/>
          <w:sz w:val="20"/>
          <w:szCs w:val="20"/>
        </w:rPr>
        <w:t xml:space="preserve">, o a nuestro contacto independiente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 Esta persona la gestiona conforme a este procedimiento, con una persona asesora externa si es necesario. La persona afectada no participa en su gestión.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CUANDO LA PERSONA FUNDADORA ES QUIEN DIRIGE AL EQUIPO</w:t>
            </w:r>
          </w:p>
          <w:p>
            <w:pPr>
              <w:spacing w:after="120" w:before="0" w:line="300"/>
            </w:pPr>
            <w:r>
              <w:rPr>
                <w:rFonts w:ascii="Nunito Sans" w:cs="Nunito Sans" w:eastAsia="Nunito Sans" w:hAnsi="Nunito Sans"/>
                <w:color w:val="102E3B"/>
                <w:sz w:val="19"/>
                <w:szCs w:val="19"/>
              </w:rPr>
              <w:t xml:space="preserve">En muchas organizaciones pequeñas, todo el personal depende de la persona fundadora. Asegúrate de que la vía de reclamación llegue a alguien a quien la persona fundadora no controle: la presidencia del órgano de gobierno, un miembro independiente del órgano de gobierno o un contacto independiente externo. Si todavía no tienes un órgano de gobierno, designa ya a una persona externa y acuerda su rol por escrito, como se describe en la Nota sobre el Rol de Contacto Independiente.</w:t>
            </w:r>
          </w:p>
        </w:tc>
      </w:tr>
    </w:tbl>
    <w:p>
      <w:pPr>
        <w:spacing w:after="120"/>
      </w:pPr>
    </w:p>
    <w:p>
      <w:pPr>
        <w:spacing w:after="120" w:before="0" w:line="300"/>
      </w:pPr>
      <w:r>
        <w:rPr>
          <w:rFonts w:ascii="Nunito Sans" w:cs="Nunito Sans" w:eastAsia="Nunito Sans" w:hAnsi="Nunito Sans"/>
          <w:color w:val="102E3B"/>
          <w:sz w:val="20"/>
          <w:szCs w:val="20"/>
        </w:rPr>
        <w:t xml:space="preserve">Las denuncias de </w:t>
      </w:r>
      <w:r>
        <w:rPr>
          <w:rFonts w:ascii="Nunito Sans" w:cs="Nunito Sans" w:eastAsia="Nunito Sans" w:hAnsi="Nunito Sans"/>
          <w:b/>
          <w:bCs/>
          <w:color w:val="102E3B"/>
          <w:sz w:val="20"/>
          <w:szCs w:val="20"/>
        </w:rPr>
        <w:t xml:space="preserve">acoso, hostigamiento y discriminación</w:t>
      </w:r>
      <w:r>
        <w:rPr>
          <w:rFonts w:ascii="Nunito Sans" w:cs="Nunito Sans" w:eastAsia="Nunito Sans" w:hAnsi="Nunito Sans"/>
          <w:color w:val="102E3B"/>
          <w:sz w:val="20"/>
          <w:szCs w:val="20"/>
        </w:rPr>
        <w:t xml:space="preserve"> siguen la Política y Procedimiento contra el Acoso, la Intimidación y el Hostigamiento, que tiene sus propios plazos y medidas de apoyo.</w:t>
      </w: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Órgano de gobierno</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este procedimiento. Resuelve las apelaciones y los casos relativos a la dirección. Recibe cada año un resumen anonimizado.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Dirección</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Decide los casos disciplinarios y atiende las reclamaciones, salvo que esté involucrada.</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Responsable de personas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Asesora a quienes dirigen equipos, organiza las investigaciones, custodia los registros y vigila los plazos.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Responsables de equipo</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Actúan pronto y de manera informal, apoyan la mejora, toman notas y nunca desalientan una reclamación.</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Responsable de salvaguarda</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Asesora en cualquier caso vinculado a una inquietud de salvaguarda, incluida la suspensión y la protección de las personas sobrevivientes.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Personal empleado</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Colabora con las investigaciones, asiste a las reuniones y mantiene la confidencialidad de los asuntos.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spacing w:after="120" w:before="0" w:line="300"/>
      </w:pPr>
      <w:r>
        <w:rPr>
          <w:rFonts w:ascii="Nunito Sans" w:cs="Nunito Sans" w:eastAsia="Nunito Sans" w:hAnsi="Nunito Sans"/>
          <w:color w:val="102E3B"/>
          <w:sz w:val="20"/>
          <w:szCs w:val="20"/>
        </w:rPr>
        <w:t xml:space="preserve">Conservamos registros escritos de cada caso formal, incluidas las notas, las pruebas, las decisiones con sus motivos y las apelaciones. La persona empleada recibe las notas de sus reuniones y cada decisión.</w:t>
      </w:r>
    </w:p>
    <w:p>
      <w:pPr>
        <w:spacing w:after="120" w:before="0" w:line="300"/>
      </w:pPr>
      <w:r>
        <w:rPr>
          <w:rFonts w:ascii="Nunito Sans" w:cs="Nunito Sans" w:eastAsia="Nunito Sans" w:hAnsi="Nunito Sans"/>
          <w:color w:val="102E3B"/>
          <w:sz w:val="20"/>
          <w:szCs w:val="20"/>
        </w:rPr>
        <w:t xml:space="preserve">Los expedientes de los casos se conservan en </w:t>
      </w:r>
      <w:r>
        <w:rPr>
          <w:rFonts w:ascii="Nunito Sans" w:cs="Nunito Sans" w:eastAsia="Nunito Sans" w:hAnsi="Nunito Sans"/>
          <w:color w:val="102E3B"/>
          <w:sz w:val="20"/>
          <w:szCs w:val="20"/>
          <w:highlight w:val="yellow"/>
        </w:rPr>
        <w:t xml:space="preserve">[una carpeta cifrada de acceso restringido]</w:t>
      </w:r>
      <w:r>
        <w:rPr>
          <w:rFonts w:ascii="Nunito Sans" w:cs="Nunito Sans" w:eastAsia="Nunito Sans" w:hAnsi="Nunito Sans"/>
          <w:color w:val="102E3B"/>
          <w:sz w:val="20"/>
          <w:szCs w:val="20"/>
        </w:rPr>
        <w:t xml:space="preserve">, separada del expediente personal, que solo contiene las cartas de resultado y las amonestaciones. Conservamos los registros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desde el cierre del caso o el fin de la relación laboral, lo que ocurra más tarde, o durante más tiempo si hay procedimientos judiciales en curso o previstos. Los casos que afectan a un niño, niña o adolescente se conservan hasta que cumpla </w:t>
      </w:r>
      <w:r>
        <w:rPr>
          <w:rFonts w:ascii="Nunito Sans" w:cs="Nunito Sans" w:eastAsia="Nunito Sans" w:hAnsi="Nunito Sans"/>
          <w:color w:val="102E3B"/>
          <w:sz w:val="20"/>
          <w:szCs w:val="20"/>
          <w:highlight w:val="yellow"/>
        </w:rPr>
        <w:t xml:space="preserve">[25]</w:t>
      </w:r>
      <w:r>
        <w:rPr>
          <w:rFonts w:ascii="Nunito Sans" w:cs="Nunito Sans" w:eastAsia="Nunito Sans" w:hAnsi="Nunito Sans"/>
          <w:color w:val="102E3B"/>
          <w:sz w:val="20"/>
          <w:szCs w:val="20"/>
        </w:rPr>
        <w:t xml:space="preserve"> años o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desde el cierre, lo que ocurra más tarde. Las acusaciones de salvaguarda contra el personal se conservan durante </w:t>
      </w:r>
      <w:r>
        <w:rPr>
          <w:rFonts w:ascii="Nunito Sans" w:cs="Nunito Sans" w:eastAsia="Nunito Sans" w:hAnsi="Nunito Sans"/>
          <w:color w:val="102E3B"/>
          <w:sz w:val="20"/>
          <w:szCs w:val="20"/>
          <w:highlight w:val="yellow"/>
        </w:rPr>
        <w:t xml:space="preserve">[10 años]</w:t>
      </w:r>
      <w:r>
        <w:rPr>
          <w:rFonts w:ascii="Nunito Sans" w:cs="Nunito Sans" w:eastAsia="Nunito Sans" w:hAnsi="Nunito Sans"/>
          <w:color w:val="102E3B"/>
          <w:sz w:val="20"/>
          <w:szCs w:val="20"/>
        </w:rPr>
        <w:t xml:space="preserve"> o más, según establece nuestro Calendario de Conservación de Registros, para poder responder a solicitudes de referencias cuando la ley lo permita. Después, eliminamos los registros de forma segura, conforme a nuestra Política de Protección de Datos. Nunca introducimos información de los casos en herramientas de inteligencia artificial ni en servicios en línea que no hayamos aprobado, y no grabamos las reuniones salvo que todas las personas estén de acuerdo.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REGISTROS Y CONSERVACIÓN</w:t>
            </w:r>
          </w:p>
          <w:p>
            <w:pPr>
              <w:spacing w:after="120" w:before="0" w:line="300"/>
            </w:pPr>
            <w:r>
              <w:rPr>
                <w:rFonts w:ascii="Nunito Sans" w:cs="Nunito Sans" w:eastAsia="Nunito Sans" w:hAnsi="Nunito Sans"/>
                <w:color w:val="102E3B"/>
                <w:sz w:val="19"/>
                <w:szCs w:val="19"/>
              </w:rPr>
              <w:t xml:space="preserve">Consulta tu legislación local laboral y de protección de datos sobre cuánto tiempo puedes conservar los registros disciplinarios, el derecho del personal a consultarlos y la grabación de reuniones. Seis años es un plazo habitual cuando coincide con el plazo para presentar reclamaciones judiciales, pero los plazos de prescripción varían. Añade tus plazos a tu Calendario de Conservación de Registros y menciona en tu Aviso de Privacidad cualquier conservación más prolongada de conclusiones sobre faltas.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entrega al órgano de gobierno, 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un resumen anonimizado de los casos, las reclamaciones, los plazos, los resultados y las tendencias. Revisamos este procedimiento 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después de cualquier despido o reclamación formal, y cuando cambia la ley.</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Contrato de Trabajo</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Acoso, la Intimidación y el Hostigamiento</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Denuncia de Irregularidades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Fraude, el Soborno y la Corrupción</w:t>
      </w:r>
    </w:p>
    <w:p>
      <w:pPr>
        <w:pStyle w:val="ListParagraph"/>
        <w:numPr>
          <w:ilvl w:val="0"/>
          <w:numId w:val="3"/>
        </w:numPr>
        <w:spacing w:after="80" w:line="290"/>
      </w:pPr>
      <w:r>
        <w:rPr>
          <w:rFonts w:ascii="Nunito Sans" w:cs="Nunito Sans" w:eastAsia="Nunito Sans" w:hAnsi="Nunito Sans"/>
          <w:color w:val="102E3B"/>
          <w:sz w:val="20"/>
          <w:szCs w:val="20"/>
        </w:rPr>
        <w:t xml:space="preserve">Nota sobre el Rol de Contacto Independiente</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Notificación de Incidentes</w:t>
      </w:r>
    </w:p>
    <w:p>
      <w:pPr>
        <w:pStyle w:val="ListParagraph"/>
        <w:numPr>
          <w:ilvl w:val="0"/>
          <w:numId w:val="3"/>
        </w:numPr>
        <w:spacing w:after="80" w:line="290"/>
      </w:pPr>
      <w:r>
        <w:rPr>
          <w:rFonts w:ascii="Nunito Sans" w:cs="Nunito Sans" w:eastAsia="Nunito Sans" w:hAnsi="Nunito Sans"/>
          <w:color w:val="102E3B"/>
          <w:sz w:val="20"/>
          <w:szCs w:val="20"/>
        </w:rPr>
        <w:t xml:space="preserve">Acuerdo de Voluntariado y Contrato de Prestación de Servicios Independientes</w:t>
      </w:r>
    </w:p>
    <w:p>
      <w:pPr>
        <w:pStyle w:val="ListParagraph"/>
        <w:numPr>
          <w:ilvl w:val="0"/>
          <w:numId w:val="3"/>
        </w:numPr>
        <w:spacing w:after="80" w:line="290"/>
      </w:pPr>
      <w:r>
        <w:rPr>
          <w:rFonts w:ascii="Nunito Sans" w:cs="Nunito Sans" w:eastAsia="Nunito Sans" w:hAnsi="Nunito Sans"/>
          <w:color w:val="102E3B"/>
          <w:sz w:val="20"/>
          <w:szCs w:val="20"/>
        </w:rPr>
        <w:t xml:space="preserve">Matriz de Delegación de Autoridad</w:t>
      </w:r>
    </w:p>
    <w:p>
      <w:pPr>
        <w:pStyle w:val="ListParagraph"/>
        <w:numPr>
          <w:ilvl w:val="0"/>
          <w:numId w:val="3"/>
        </w:numPr>
        <w:spacing w:after="80" w:line="290"/>
      </w:pPr>
      <w:r>
        <w:rPr>
          <w:rFonts w:ascii="Nunito Sans" w:cs="Nunito Sans" w:eastAsia="Nunito Sans" w:hAnsi="Nunito Sans"/>
          <w:color w:val="102E3B"/>
          <w:sz w:val="20"/>
          <w:szCs w:val="20"/>
        </w:rPr>
        <w:t xml:space="preserve">Calendario de Conservación de Registros y Política de Protección de Datos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Convocatoria a una reunión de investigación</w:t>
      </w:r>
    </w:p>
    <w:p>
      <w:pPr>
        <w:spacing w:after="120" w:before="0" w:line="300"/>
      </w:pP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 Privado y confidencial</w:t>
      </w:r>
    </w:p>
    <w:p>
      <w:pPr>
        <w:spacing w:after="120" w:before="0" w:line="300"/>
      </w:pPr>
      <w:r>
        <w:rPr>
          <w:rFonts w:ascii="Nunito Sans" w:cs="Nunito Sans" w:eastAsia="Nunito Sans" w:hAnsi="Nunito Sans"/>
          <w:color w:val="102E3B"/>
          <w:sz w:val="20"/>
          <w:szCs w:val="20"/>
          <w:highlight w:val="yellow"/>
        </w:rPr>
        <w:t xml:space="preserve">[Estimada / Estimado]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Hemos recibido una inquietud sobre </w:t>
      </w:r>
      <w:r>
        <w:rPr>
          <w:rFonts w:ascii="Nunito Sans" w:cs="Nunito Sans" w:eastAsia="Nunito Sans" w:hAnsi="Nunito Sans"/>
          <w:color w:val="102E3B"/>
          <w:sz w:val="20"/>
          <w:szCs w:val="20"/>
          <w:highlight w:val="yellow"/>
        </w:rPr>
        <w:t xml:space="preserve">[breve descripción, por ejemplo "las solicitudes de reembolso de gastos que presentó en marzo"]</w:t>
      </w:r>
      <w:r>
        <w:rPr>
          <w:rFonts w:ascii="Nunito Sans" w:cs="Nunito Sans" w:eastAsia="Nunito Sans" w:hAnsi="Nunito Sans"/>
          <w:color w:val="102E3B"/>
          <w:sz w:val="20"/>
          <w:szCs w:val="20"/>
        </w:rPr>
        <w:t xml:space="preserve"> y necesitamos establecer los hechos.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llevará a cabo la investigación. Le rogamos que asista a una reunión de investigación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a las </w:t>
      </w:r>
      <w:r>
        <w:rPr>
          <w:rFonts w:ascii="Nunito Sans" w:cs="Nunito Sans" w:eastAsia="Nunito Sans" w:hAnsi="Nunito Sans"/>
          <w:color w:val="102E3B"/>
          <w:sz w:val="20"/>
          <w:szCs w:val="20"/>
          <w:highlight w:val="yellow"/>
        </w:rPr>
        <w:t xml:space="preserve">[hora]</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[lugar / enlace en línea]</w:t>
      </w:r>
      <w:r>
        <w:rPr>
          <w:rFonts w:ascii="Nunito Sans" w:cs="Nunito Sans" w:eastAsia="Nunito Sans" w:hAnsi="Nunito Sans"/>
          <w:color w:val="102E3B"/>
          <w:sz w:val="20"/>
          <w:szCs w:val="20"/>
        </w:rPr>
        <w:t xml:space="preserve">. La persona que investiga le explicará la inquietud y le pedirá su versión, y usted podrá proponer testigos o documentos.</w:t>
      </w:r>
    </w:p>
    <w:p>
      <w:pPr>
        <w:spacing w:after="120" w:before="0" w:line="300"/>
      </w:pPr>
      <w:r>
        <w:rPr>
          <w:rFonts w:ascii="Nunito Sans" w:cs="Nunito Sans" w:eastAsia="Nunito Sans" w:hAnsi="Nunito Sans"/>
          <w:color w:val="102E3B"/>
          <w:sz w:val="20"/>
          <w:szCs w:val="20"/>
        </w:rPr>
        <w:t xml:space="preserve">No se trata de una audiencia disciplinaria y en ella no se tomará ninguna decisión. </w:t>
      </w:r>
      <w:r>
        <w:rPr>
          <w:rFonts w:ascii="Nunito Sans" w:cs="Nunito Sans" w:eastAsia="Nunito Sans" w:hAnsi="Nunito Sans"/>
          <w:color w:val="102E3B"/>
          <w:sz w:val="20"/>
          <w:szCs w:val="20"/>
          <w:highlight w:val="yellow"/>
        </w:rPr>
        <w:t xml:space="preserve">[Puede acudir acompañado por un compañero o compañera de trabajo o por una persona representante sindical.]</w:t>
      </w:r>
      <w:r>
        <w:rPr>
          <w:rFonts w:ascii="Nunito Sans" w:cs="Nunito Sans" w:eastAsia="Nunito Sans" w:hAnsi="Nunito Sans"/>
          <w:color w:val="102E3B"/>
          <w:sz w:val="20"/>
          <w:szCs w:val="20"/>
        </w:rPr>
        <w:t xml:space="preserve"> Le rogamos que nos indique si necesita algún ajuste o un servicio de interpretación, y que no comente el asunto con posibles testigos. Para recibir apoyo, contacte con </w:t>
      </w:r>
      <w:r>
        <w:rPr>
          <w:rFonts w:ascii="Nunito Sans" w:cs="Nunito Sans" w:eastAsia="Nunito Sans" w:hAnsi="Nunito Sans"/>
          <w:color w:val="102E3B"/>
          <w:sz w:val="20"/>
          <w:szCs w:val="20"/>
          <w:highlight w:val="yellow"/>
        </w:rPr>
        <w:t xml:space="preserve">[Nombre, datos de contacto]</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Atentamente, </w:t>
      </w:r>
      <w:r>
        <w:rPr>
          <w:rFonts w:ascii="Nunito Sans" w:cs="Nunito Sans" w:eastAsia="Nunito Sans" w:hAnsi="Nunito Sans"/>
          <w:color w:val="102E3B"/>
          <w:sz w:val="20"/>
          <w:szCs w:val="20"/>
          <w:highlight w:val="yellow"/>
        </w:rPr>
        <w:t xml:space="preserve">[Nombre, cargo]</w:t>
      </w:r>
    </w:p>
    <w:p>
      <w:pPr>
        <w:pStyle w:val="Heading1"/>
        <w:keepNext/>
        <w:spacing w:after="160" w:before="360"/>
      </w:pPr>
      <w:r>
        <w:rPr>
          <w:rFonts w:ascii="DM Serif Display" w:cs="DM Serif Display" w:eastAsia="DM Serif Display" w:hAnsi="DM Serif Display"/>
          <w:color w:val="123C48"/>
          <w:sz w:val="40"/>
          <w:szCs w:val="40"/>
        </w:rPr>
        <w:t xml:space="preserve">Anexo B: Convocatoria a una audiencia disciplinaria</w:t>
      </w:r>
    </w:p>
    <w:p>
      <w:pPr>
        <w:spacing w:after="120" w:before="0" w:line="300"/>
      </w:pP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 Privado y confidencial</w:t>
      </w:r>
    </w:p>
    <w:p>
      <w:pPr>
        <w:spacing w:after="120" w:before="0" w:line="300"/>
      </w:pPr>
      <w:r>
        <w:rPr>
          <w:rFonts w:ascii="Nunito Sans" w:cs="Nunito Sans" w:eastAsia="Nunito Sans" w:hAnsi="Nunito Sans"/>
          <w:color w:val="102E3B"/>
          <w:sz w:val="20"/>
          <w:szCs w:val="20"/>
          <w:highlight w:val="yellow"/>
        </w:rPr>
        <w:t xml:space="preserve">[Estimada / Estimado]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Tras la investigación sobre </w:t>
      </w:r>
      <w:r>
        <w:rPr>
          <w:rFonts w:ascii="Nunito Sans" w:cs="Nunito Sans" w:eastAsia="Nunito Sans" w:hAnsi="Nunito Sans"/>
          <w:color w:val="102E3B"/>
          <w:sz w:val="20"/>
          <w:szCs w:val="20"/>
          <w:highlight w:val="yellow"/>
        </w:rPr>
        <w:t xml:space="preserve">[asunto]</w:t>
      </w:r>
      <w:r>
        <w:rPr>
          <w:rFonts w:ascii="Nunito Sans" w:cs="Nunito Sans" w:eastAsia="Nunito Sans" w:hAnsi="Nunito Sans"/>
          <w:color w:val="102E3B"/>
          <w:sz w:val="20"/>
          <w:szCs w:val="20"/>
        </w:rPr>
        <w:t xml:space="preserve">, le rogamos que asista a una audiencia disciplinaria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a las </w:t>
      </w:r>
      <w:r>
        <w:rPr>
          <w:rFonts w:ascii="Nunito Sans" w:cs="Nunito Sans" w:eastAsia="Nunito Sans" w:hAnsi="Nunito Sans"/>
          <w:color w:val="102E3B"/>
          <w:sz w:val="20"/>
          <w:szCs w:val="20"/>
          <w:highlight w:val="yellow"/>
        </w:rPr>
        <w:t xml:space="preserve">[hora]</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[lugar / enlace en línea]</w:t>
      </w:r>
      <w:r>
        <w:rPr>
          <w:rFonts w:ascii="Nunito Sans" w:cs="Nunito Sans" w:eastAsia="Nunito Sans" w:hAnsi="Nunito Sans"/>
          <w:color w:val="102E3B"/>
          <w:sz w:val="20"/>
          <w:szCs w:val="20"/>
        </w:rPr>
        <w:t xml:space="preserve">, dirigida por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con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tomando notas. Las acusaciones son:</w:t>
      </w:r>
    </w:p>
    <w:p>
      <w:pPr>
        <w:pStyle w:val="ListParagraph"/>
        <w:numPr>
          <w:ilvl w:val="0"/>
          <w:numId w:val="6"/>
        </w:numPr>
        <w:spacing w:after="80" w:line="290"/>
      </w:pPr>
      <w:r>
        <w:rPr>
          <w:rFonts w:ascii="Nunito Sans" w:cs="Nunito Sans" w:eastAsia="Nunito Sans" w:hAnsi="Nunito Sans"/>
          <w:color w:val="102E3B"/>
          <w:sz w:val="20"/>
          <w:szCs w:val="20"/>
          <w:highlight w:val="yellow"/>
        </w:rPr>
        <w:t xml:space="preserve">[Acusación, con fechas y hechos]</w:t>
      </w:r>
    </w:p>
    <w:p>
      <w:pPr>
        <w:pStyle w:val="ListParagraph"/>
        <w:numPr>
          <w:ilvl w:val="0"/>
          <w:numId w:val="6"/>
        </w:numPr>
        <w:spacing w:after="80" w:line="290"/>
      </w:pPr>
      <w:r>
        <w:rPr>
          <w:rFonts w:ascii="Nunito Sans" w:cs="Nunito Sans" w:eastAsia="Nunito Sans" w:hAnsi="Nunito Sans"/>
          <w:color w:val="102E3B"/>
          <w:sz w:val="20"/>
          <w:szCs w:val="20"/>
          <w:highlight w:val="yellow"/>
        </w:rPr>
        <w:t xml:space="preserve">[Acusación, con fechas y hechos]</w:t>
      </w:r>
    </w:p>
    <w:p>
      <w:pPr>
        <w:spacing w:after="120" w:before="0" w:line="300"/>
      </w:pPr>
      <w:r>
        <w:rPr>
          <w:rFonts w:ascii="Nunito Sans" w:cs="Nunito Sans" w:eastAsia="Nunito Sans" w:hAnsi="Nunito Sans"/>
          <w:color w:val="102E3B"/>
          <w:sz w:val="20"/>
          <w:szCs w:val="20"/>
        </w:rPr>
        <w:t xml:space="preserve">Adjunto el informe de investigación y las pruebas en las que nos basamos: </w:t>
      </w:r>
      <w:r>
        <w:rPr>
          <w:rFonts w:ascii="Nunito Sans" w:cs="Nunito Sans" w:eastAsia="Nunito Sans" w:hAnsi="Nunito Sans"/>
          <w:color w:val="102E3B"/>
          <w:sz w:val="20"/>
          <w:szCs w:val="20"/>
          <w:highlight w:val="yellow"/>
        </w:rPr>
        <w:t xml:space="preserve">[lista]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[Si se prueban, estas acusaciones podrían constituir una falta muy grave / una falta.]</w:t>
      </w:r>
      <w:r>
        <w:rPr>
          <w:rFonts w:ascii="Nunito Sans" w:cs="Nunito Sans" w:eastAsia="Nunito Sans" w:hAnsi="Nunito Sans"/>
          <w:color w:val="102E3B"/>
          <w:sz w:val="20"/>
          <w:szCs w:val="20"/>
        </w:rPr>
        <w:t xml:space="preserve"> Un posible resultado es </w:t>
      </w:r>
      <w:r>
        <w:rPr>
          <w:rFonts w:ascii="Nunito Sans" w:cs="Nunito Sans" w:eastAsia="Nunito Sans" w:hAnsi="Nunito Sans"/>
          <w:color w:val="102E3B"/>
          <w:sz w:val="20"/>
          <w:szCs w:val="20"/>
          <w:highlight w:val="yellow"/>
        </w:rPr>
        <w:t xml:space="preserve">[una amonestación por escrito / una amonestación final por escrito / el despido]</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Puede responder a cada acusación, presentar pruebas y solicitar testigos; le rogamos que envíe cualquier documento antes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Puede acudir acompañado por </w:t>
      </w:r>
      <w:r>
        <w:rPr>
          <w:rFonts w:ascii="Nunito Sans" w:cs="Nunito Sans" w:eastAsia="Nunito Sans" w:hAnsi="Nunito Sans"/>
          <w:color w:val="102E3B"/>
          <w:sz w:val="20"/>
          <w:szCs w:val="20"/>
          <w:highlight w:val="yellow"/>
        </w:rPr>
        <w:t xml:space="preserve">[un compañero o compañera de trabajo o una persona representante sindical]</w:t>
      </w:r>
      <w:r>
        <w:rPr>
          <w:rFonts w:ascii="Nunito Sans" w:cs="Nunito Sans" w:eastAsia="Nunito Sans" w:hAnsi="Nunito Sans"/>
          <w:color w:val="102E3B"/>
          <w:sz w:val="20"/>
          <w:szCs w:val="20"/>
        </w:rPr>
        <w:t xml:space="preserve">; si esta persona no puede asistir, puede proponer otro momento dentro de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Le rogamos que nos indique si necesita algún ajuste o un servicio de interpretación.</w:t>
      </w:r>
    </w:p>
    <w:p>
      <w:pPr>
        <w:spacing w:after="120" w:before="0" w:line="300"/>
      </w:pPr>
      <w:r>
        <w:rPr>
          <w:rFonts w:ascii="Nunito Sans" w:cs="Nunito Sans" w:eastAsia="Nunito Sans" w:hAnsi="Nunito Sans"/>
          <w:color w:val="102E3B"/>
          <w:sz w:val="20"/>
          <w:szCs w:val="20"/>
        </w:rPr>
        <w:t xml:space="preserve">Atentamente, </w:t>
      </w:r>
      <w:r>
        <w:rPr>
          <w:rFonts w:ascii="Nunito Sans" w:cs="Nunito Sans" w:eastAsia="Nunito Sans" w:hAnsi="Nunito Sans"/>
          <w:color w:val="102E3B"/>
          <w:sz w:val="20"/>
          <w:szCs w:val="20"/>
          <w:highlight w:val="yellow"/>
        </w:rPr>
        <w:t xml:space="preserve">[Nombre, cargo]</w:t>
      </w:r>
    </w:p>
    <w:p>
      <w:pPr>
        <w:pStyle w:val="Heading1"/>
        <w:keepNext/>
        <w:spacing w:after="160" w:before="360"/>
      </w:pPr>
      <w:r>
        <w:rPr>
          <w:rFonts w:ascii="DM Serif Display" w:cs="DM Serif Display" w:eastAsia="DM Serif Display" w:hAnsi="DM Serif Display"/>
          <w:color w:val="123C48"/>
          <w:sz w:val="40"/>
          <w:szCs w:val="40"/>
        </w:rPr>
        <w:t xml:space="preserve">Anexo C: Carta de resultado disciplinario</w:t>
      </w:r>
    </w:p>
    <w:p>
      <w:pPr>
        <w:spacing w:after="120" w:before="0" w:line="300"/>
      </w:pP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 Privado y confidencial</w:t>
      </w:r>
    </w:p>
    <w:p>
      <w:pPr>
        <w:spacing w:after="120" w:before="0" w:line="300"/>
      </w:pPr>
      <w:r>
        <w:rPr>
          <w:rFonts w:ascii="Nunito Sans" w:cs="Nunito Sans" w:eastAsia="Nunito Sans" w:hAnsi="Nunito Sans"/>
          <w:color w:val="102E3B"/>
          <w:sz w:val="20"/>
          <w:szCs w:val="20"/>
          <w:highlight w:val="yellow"/>
        </w:rPr>
        <w:t xml:space="preserve">[Estimada / Estimado]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Gracias por asistir a la audiencia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con </w:t>
      </w:r>
      <w:r>
        <w:rPr>
          <w:rFonts w:ascii="Nunito Sans" w:cs="Nunito Sans" w:eastAsia="Nunito Sans" w:hAnsi="Nunito Sans"/>
          <w:color w:val="102E3B"/>
          <w:sz w:val="20"/>
          <w:szCs w:val="20"/>
          <w:highlight w:val="yellow"/>
        </w:rPr>
        <w:t xml:space="preserve">[nombre del acompañante / sin acompañante]</w:t>
      </w:r>
      <w:r>
        <w:rPr>
          <w:rFonts w:ascii="Nunito Sans" w:cs="Nunito Sans" w:eastAsia="Nunito Sans" w:hAnsi="Nunito Sans"/>
          <w:color w:val="102E3B"/>
          <w:sz w:val="20"/>
          <w:szCs w:val="20"/>
        </w:rPr>
        <w:t xml:space="preserve">. He considerado las pruebas y todo lo que usted manifestó, incluidas </w:t>
      </w:r>
      <w:r>
        <w:rPr>
          <w:rFonts w:ascii="Nunito Sans" w:cs="Nunito Sans" w:eastAsia="Nunito Sans" w:hAnsi="Nunito Sans"/>
          <w:color w:val="102E3B"/>
          <w:sz w:val="20"/>
          <w:szCs w:val="20"/>
          <w:highlight w:val="yellow"/>
        </w:rPr>
        <w:t xml:space="preserve">[las circunstancias atenuantes]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Mis conclusiones son: </w:t>
      </w:r>
      <w:r>
        <w:rPr>
          <w:rFonts w:ascii="Nunito Sans" w:cs="Nunito Sans" w:eastAsia="Nunito Sans" w:hAnsi="Nunito Sans"/>
          <w:color w:val="102E3B"/>
          <w:sz w:val="20"/>
          <w:szCs w:val="20"/>
          <w:highlight w:val="yellow"/>
        </w:rPr>
        <w:t xml:space="preserve">[para cada acusación, confirmada o no confirmada, con sus motivos]</w:t>
      </w:r>
      <w:r>
        <w:rPr>
          <w:rFonts w:ascii="Nunito Sans" w:cs="Nunito Sans" w:eastAsia="Nunito Sans" w:hAnsi="Nunito Sans"/>
          <w:color w:val="102E3B"/>
          <w:sz w:val="20"/>
          <w:szCs w:val="20"/>
        </w:rPr>
        <w:t xml:space="preserve">. Mi decisión es: </w:t>
      </w:r>
      <w:r>
        <w:rPr>
          <w:rFonts w:ascii="Nunito Sans" w:cs="Nunito Sans" w:eastAsia="Nunito Sans" w:hAnsi="Nunito Sans"/>
          <w:color w:val="102E3B"/>
          <w:sz w:val="20"/>
          <w:szCs w:val="20"/>
          <w:highlight w:val="yellow"/>
        </w:rPr>
        <w:t xml:space="preserve">[ninguna medida / primera amonestación por escrito / amonestación final por escrito / despido con preaviso, fecha del último día / despido sin preaviso por falta muy grave, fecha de efecto]</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highlight w:val="yellow"/>
        </w:rPr>
        <w:t xml:space="preserve">[En caso de amonestación:]</w:t>
      </w:r>
      <w:r>
        <w:rPr>
          <w:rFonts w:ascii="Nunito Sans" w:cs="Nunito Sans" w:eastAsia="Nunito Sans" w:hAnsi="Nunito Sans"/>
          <w:color w:val="102E3B"/>
          <w:sz w:val="20"/>
          <w:szCs w:val="20"/>
        </w:rPr>
        <w:t xml:space="preserve"> La mejora esperada es </w:t>
      </w:r>
      <w:r>
        <w:rPr>
          <w:rFonts w:ascii="Nunito Sans" w:cs="Nunito Sans" w:eastAsia="Nunito Sans" w:hAnsi="Nunito Sans"/>
          <w:color w:val="102E3B"/>
          <w:sz w:val="20"/>
          <w:szCs w:val="20"/>
          <w:highlight w:val="yellow"/>
        </w:rPr>
        <w:t xml:space="preserve">[describir]</w:t>
      </w:r>
      <w:r>
        <w:rPr>
          <w:rFonts w:ascii="Nunito Sans" w:cs="Nunito Sans" w:eastAsia="Nunito Sans" w:hAnsi="Nunito Sans"/>
          <w:color w:val="102E3B"/>
          <w:sz w:val="20"/>
          <w:szCs w:val="20"/>
        </w:rPr>
        <w:t xml:space="preserve">, con el siguiente apoyo: </w:t>
      </w:r>
      <w:r>
        <w:rPr>
          <w:rFonts w:ascii="Nunito Sans" w:cs="Nunito Sans" w:eastAsia="Nunito Sans" w:hAnsi="Nunito Sans"/>
          <w:color w:val="102E3B"/>
          <w:sz w:val="20"/>
          <w:szCs w:val="20"/>
          <w:highlight w:val="yellow"/>
        </w:rPr>
        <w:t xml:space="preserve">[describir]</w:t>
      </w:r>
      <w:r>
        <w:rPr>
          <w:rFonts w:ascii="Nunito Sans" w:cs="Nunito Sans" w:eastAsia="Nunito Sans" w:hAnsi="Nunito Sans"/>
          <w:color w:val="102E3B"/>
          <w:sz w:val="20"/>
          <w:szCs w:val="20"/>
        </w:rPr>
        <w:t xml:space="preserve">. La amonestación estará vigente hasta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Una nueva falta durante este período puede dar lugar a </w:t>
      </w:r>
      <w:r>
        <w:rPr>
          <w:rFonts w:ascii="Nunito Sans" w:cs="Nunito Sans" w:eastAsia="Nunito Sans" w:hAnsi="Nunito Sans"/>
          <w:color w:val="102E3B"/>
          <w:sz w:val="20"/>
          <w:szCs w:val="20"/>
          <w:highlight w:val="yellow"/>
        </w:rPr>
        <w:t xml:space="preserve">[una amonestación final por escrito / el despido]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[En caso de despido:]</w:t>
      </w:r>
      <w:r>
        <w:rPr>
          <w:rFonts w:ascii="Nunito Sans" w:cs="Nunito Sans" w:eastAsia="Nunito Sans" w:hAnsi="Nunito Sans"/>
          <w:color w:val="102E3B"/>
          <w:sz w:val="20"/>
          <w:szCs w:val="20"/>
        </w:rPr>
        <w:t xml:space="preserve"> Recibirá </w:t>
      </w:r>
      <w:r>
        <w:rPr>
          <w:rFonts w:ascii="Nunito Sans" w:cs="Nunito Sans" w:eastAsia="Nunito Sans" w:hAnsi="Nunito Sans"/>
          <w:color w:val="102E3B"/>
          <w:sz w:val="20"/>
          <w:szCs w:val="20"/>
          <w:highlight w:val="yellow"/>
        </w:rPr>
        <w:t xml:space="preserve">[la indemnización sustitutiva del preaviso, las vacaciones devengadas y otros importes adeudados]</w:t>
      </w:r>
      <w:r>
        <w:rPr>
          <w:rFonts w:ascii="Nunito Sans" w:cs="Nunito Sans" w:eastAsia="Nunito Sans" w:hAnsi="Nunito Sans"/>
          <w:color w:val="102E3B"/>
          <w:sz w:val="20"/>
          <w:szCs w:val="20"/>
        </w:rPr>
        <w:t xml:space="preserve"> antes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Puede apelar en un plazo de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 desde la recepción de esta carta, escribiendo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 indicando sus motivos.</w:t>
      </w:r>
    </w:p>
    <w:p>
      <w:pPr>
        <w:spacing w:after="120" w:before="0" w:line="300"/>
      </w:pPr>
      <w:r>
        <w:rPr>
          <w:rFonts w:ascii="Nunito Sans" w:cs="Nunito Sans" w:eastAsia="Nunito Sans" w:hAnsi="Nunito Sans"/>
          <w:color w:val="102E3B"/>
          <w:sz w:val="20"/>
          <w:szCs w:val="20"/>
        </w:rPr>
        <w:t xml:space="preserve">Atentamente, </w:t>
      </w:r>
      <w:r>
        <w:rPr>
          <w:rFonts w:ascii="Nunito Sans" w:cs="Nunito Sans" w:eastAsia="Nunito Sans" w:hAnsi="Nunito Sans"/>
          <w:color w:val="102E3B"/>
          <w:sz w:val="20"/>
          <w:szCs w:val="20"/>
          <w:highlight w:val="yellow"/>
        </w:rPr>
        <w:t xml:space="preserve">[Nombre, cargo]</w:t>
      </w:r>
    </w:p>
    <w:p>
      <w:pPr>
        <w:pStyle w:val="Heading1"/>
        <w:keepNext/>
        <w:spacing w:after="160" w:before="360"/>
      </w:pPr>
      <w:r>
        <w:rPr>
          <w:rFonts w:ascii="DM Serif Display" w:cs="DM Serif Display" w:eastAsia="DM Serif Display" w:hAnsi="DM Serif Display"/>
          <w:color w:val="123C48"/>
          <w:sz w:val="40"/>
          <w:szCs w:val="40"/>
        </w:rPr>
        <w:t xml:space="preserve">Anexo D: Carta de resultado de la apelación</w:t>
      </w:r>
    </w:p>
    <w:p>
      <w:pPr>
        <w:spacing w:after="120" w:before="0" w:line="300"/>
      </w:pP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 Privado y confidencial</w:t>
      </w:r>
    </w:p>
    <w:p>
      <w:pPr>
        <w:spacing w:after="120" w:before="0" w:line="300"/>
      </w:pPr>
      <w:r>
        <w:rPr>
          <w:rFonts w:ascii="Nunito Sans" w:cs="Nunito Sans" w:eastAsia="Nunito Sans" w:hAnsi="Nunito Sans"/>
          <w:color w:val="102E3B"/>
          <w:sz w:val="20"/>
          <w:szCs w:val="20"/>
          <w:highlight w:val="yellow"/>
        </w:rPr>
        <w:t xml:space="preserve">[Estimada / Estimado]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Gracias por asistir a la audiencia de apelación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Sus motivos fueron: </w:t>
      </w:r>
      <w:r>
        <w:rPr>
          <w:rFonts w:ascii="Nunito Sans" w:cs="Nunito Sans" w:eastAsia="Nunito Sans" w:hAnsi="Nunito Sans"/>
          <w:color w:val="102E3B"/>
          <w:sz w:val="20"/>
          <w:szCs w:val="20"/>
          <w:highlight w:val="yellow"/>
        </w:rPr>
        <w:t xml:space="preserve">[resumen]</w:t>
      </w:r>
      <w:r>
        <w:rPr>
          <w:rFonts w:ascii="Nunito Sans" w:cs="Nunito Sans" w:eastAsia="Nunito Sans" w:hAnsi="Nunito Sans"/>
          <w:color w:val="102E3B"/>
          <w:sz w:val="20"/>
          <w:szCs w:val="20"/>
        </w:rPr>
        <w:t xml:space="preserve">. Tras considerar las pruebas y sus alegaciones, he decidido </w:t>
      </w:r>
      <w:r>
        <w:rPr>
          <w:rFonts w:ascii="Nunito Sans" w:cs="Nunito Sans" w:eastAsia="Nunito Sans" w:hAnsi="Nunito Sans"/>
          <w:color w:val="102E3B"/>
          <w:sz w:val="20"/>
          <w:szCs w:val="20"/>
          <w:highlight w:val="yellow"/>
        </w:rPr>
        <w:t xml:space="preserve">[confirmar la decisión original / sustituirla por una sanción menor / anularla]</w:t>
      </w:r>
      <w:r>
        <w:rPr>
          <w:rFonts w:ascii="Nunito Sans" w:cs="Nunito Sans" w:eastAsia="Nunito Sans" w:hAnsi="Nunito Sans"/>
          <w:color w:val="102E3B"/>
          <w:sz w:val="20"/>
          <w:szCs w:val="20"/>
        </w:rPr>
        <w:t xml:space="preserve">, porque </w:t>
      </w:r>
      <w:r>
        <w:rPr>
          <w:rFonts w:ascii="Nunito Sans" w:cs="Nunito Sans" w:eastAsia="Nunito Sans" w:hAnsi="Nunito Sans"/>
          <w:color w:val="102E3B"/>
          <w:sz w:val="20"/>
          <w:szCs w:val="20"/>
          <w:highlight w:val="yellow"/>
        </w:rPr>
        <w:t xml:space="preserve">[motivos para cada uno de los motivos de apelación]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[Si se anula: cualquier amonestación se retira de su expediente y cualquier salario dejado de percibir se le abonará antes de la fecha.]</w:t>
      </w:r>
    </w:p>
    <w:p>
      <w:pPr>
        <w:spacing w:after="120" w:before="0" w:line="300"/>
      </w:pPr>
      <w:r>
        <w:rPr>
          <w:rFonts w:ascii="Nunito Sans" w:cs="Nunito Sans" w:eastAsia="Nunito Sans" w:hAnsi="Nunito Sans"/>
          <w:color w:val="102E3B"/>
          <w:sz w:val="20"/>
          <w:szCs w:val="20"/>
        </w:rPr>
        <w:t xml:space="preserve">Esta decisión es definitiva dentro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No afecta a los derechos que le reconoce la ley.</w:t>
      </w:r>
    </w:p>
    <w:p>
      <w:pPr>
        <w:spacing w:after="120" w:before="0" w:line="300"/>
      </w:pPr>
      <w:r>
        <w:rPr>
          <w:rFonts w:ascii="Nunito Sans" w:cs="Nunito Sans" w:eastAsia="Nunito Sans" w:hAnsi="Nunito Sans"/>
          <w:color w:val="102E3B"/>
          <w:sz w:val="20"/>
          <w:szCs w:val="20"/>
        </w:rPr>
        <w:t xml:space="preserve">Atentamente, </w:t>
      </w:r>
      <w:r>
        <w:rPr>
          <w:rFonts w:ascii="Nunito Sans" w:cs="Nunito Sans" w:eastAsia="Nunito Sans" w:hAnsi="Nunito Sans"/>
          <w:color w:val="102E3B"/>
          <w:sz w:val="20"/>
          <w:szCs w:val="20"/>
          <w:highlight w:val="yellow"/>
        </w:rPr>
        <w:t xml:space="preserve">[Nombre, cargo]</w:t>
      </w:r>
    </w:p>
    <w:p>
      <w:pPr>
        <w:pStyle w:val="Heading1"/>
        <w:keepNext/>
        <w:spacing w:after="160" w:before="360"/>
      </w:pPr>
      <w:r>
        <w:rPr>
          <w:rFonts w:ascii="DM Serif Display" w:cs="DM Serif Display" w:eastAsia="DM Serif Display" w:hAnsi="DM Serif Display"/>
          <w:color w:val="123C48"/>
          <w:sz w:val="40"/>
          <w:szCs w:val="40"/>
        </w:rPr>
        <w:t xml:space="preserve">Anexo E: Formulario de reclamación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RESPUESTA</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nombre, cargo y datos de contacto; fecha</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¿Sobre quién es su reclamación, si es sobre alguien?</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ocurrió, cuándo y quién estuvo involucrado?</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ha planteado de manera informal? ¿Con quién, cuándo y qué ocurrió?</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resultado desea?</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Acompañante (nombre, si lo sabe), y cualquier ajuste o interpretación que necesite</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PARA LA PERSONA RESPONSABLE DE PERSONAS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Referencia; fecha de recepción; fecha de acuse de recibo; gestionada por</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la reunión; resultado y fecha</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recibió una apelación? Resultado y fecha</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F: Acta de audiencia</w:t>
      </w:r>
    </w:p>
    <w:p>
      <w:pPr>
        <w:spacing w:after="120" w:before="0" w:line="300"/>
      </w:pPr>
      <w:r>
        <w:rPr>
          <w:rFonts w:ascii="Nunito Sans" w:cs="Nunito Sans" w:eastAsia="Nunito Sans" w:hAnsi="Nunito Sans"/>
          <w:color w:val="102E3B"/>
          <w:sz w:val="20"/>
          <w:szCs w:val="20"/>
        </w:rPr>
        <w:t xml:space="preserve">Utilice este formulario para las audiencias disciplinarias, las reuniones sobre reclamaciones y las apelaciones. Entregue una copia a la persona empleada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Tipo de reunión, referencia, fecha, hora y lugar</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presentes y sus roles, incluido el acompañante; ajustes proporcionados</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Acusaciones o reclamación tratadas, y pruebas presentadas</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Respuesta de la persona empleada, incluidas las circunstancias atenuantes</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Testigos escuchados; preguntas y respuestas clave</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Pausa, y cualquier comprobación adicional necesaria</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Decisión, si se comunicó, y cómo se confirmará por escrito</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que toma notas</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Presidencia de la reunión</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Procedimiento Disciplinario y de Reclamaciones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1D33CE38-76E1-02B8-4AC3-A28359D07538}"/>
  </w:font>
  <w:font w:name="DM Serif Display">
    <w:family w:val="auto"/>
    <w:pitch w:val="variable"/>
    <w:sig w:usb0="E0002AFF" w:usb1="C000247B" w:usb2="00000009" w:usb3="00000000" w:csb0="000001FF" w:csb1="00000000"/>
    <w:embedRegular r:id="rId2" w:fontKey="{031902C8-7D6A-0BCE-E9CA-99FB02BE0AB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Procedimiento Disciplinario y de Reclamaciones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PROCEDIMIENTO DISCIPLINARIO Y DE RECLAMACIONES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Disciplinario y de Reclamaciones</dc:title>
  <dc:creator>Method into Impact</dc:creator>
  <dc:description>Cómo [[Nombre de la organización]] aborda de forma justa las inquietudes sobre la conducta de una persona empleada, y cómo el personal puede plantear un problema sobre su propio trabajo y recibir una respuesta justa y a tiempo.</dc:description>
  <cp:lastModifiedBy>Un-named</cp:lastModifiedBy>
  <cp:revision>1</cp:revision>
  <dcterms:created xsi:type="dcterms:W3CDTF">2026-10-29T06:01:27.300Z</dcterms:created>
  <dcterms:modified xsi:type="dcterms:W3CDTF">2026-10-29T06:01:27.300Z</dcterms:modified>
</cp:coreProperties>
</file>

<file path=docProps/custom.xml><?xml version="1.0" encoding="utf-8"?>
<Properties xmlns="http://schemas.openxmlformats.org/officeDocument/2006/custom-properties" xmlns:vt="http://schemas.openxmlformats.org/officeDocument/2006/docPropsVTypes"/>
</file>