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GESTIÓN FINANCIERA</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Controles Financieros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normas que sigue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para planificar, aprobar, pagar, registrar e informar de cada unidad de dinero, de modo que los fondos estén seguros, se usen según lo acordado y sea fácil rendir cuentas de ellos.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financiadores y los bancos quieren ver que el dinero está seguro en sus manos, y los auditores lo comprueban. Esta plantilla establece controles prácticos para una organización pequeña: quién hace qué, cómo se aprueban los pagos, cómo se maneja el efectivo y el dinero móvil, cómo se hace el seguimiento de los fondos restringidos y cómo se mantiene informado al órgano de gobierno. Los importes son ilustrativos y deben fijarse con su contador.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y en las evaluaciones previas a la concesión; bancos; auditores y revisores independientes; reguladores;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horas para adaptarla, idealmente con su contador o su persona tesorera; 45 minutos para que la apruebe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Matriz de Delegación de Autoridad · Política y Procedimiento contra el Fraude, el Soborno y la Corrupción · Política de Compras y Contrataciones · Política de Gastos y Viáticos · Política de Reservas · Política de Aceptación de Regalos y Donaciones · Política de Conflictos de Interés · Calendario de Conservación de Registros · Registro de Riesgos · Procedimientos Financieros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Controles Financieros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Los miembros del órgano de gobierno, el personal, las personas voluntarias y los contratistas que presupuestan, gastan, aprueban, reciben o registran dinero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Reconocimiento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Resumen de límites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Lista de pagos a participantes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pequeña organización de X personas / una organización emergente dirigida por sus personas fundadoras]</w:t>
            </w:r>
            <w:r>
              <w:rPr>
                <w:rFonts w:ascii="Nunito Sans" w:cs="Nunito Sans" w:eastAsia="Nunito Sans" w:hAnsi="Nunito Sans"/>
                <w:color w:val="102E3B"/>
                <w:sz w:val="19"/>
                <w:szCs w:val="19"/>
              </w:rPr>
              <w:t xml:space="preserve">. No siempre podemos repartir cada tarea financiera entre personas distintas, así que usamos controles adicionales en su lugar.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la persona responsable de finanzas.</w:t>
            </w:r>
            <w:r>
              <w:rPr>
                <w:rFonts w:ascii="Nunito Sans" w:cs="Nunito Sans" w:eastAsia="Nunito Sans" w:hAnsi="Nunito Sans"/>
                <w:color w:val="102E3B"/>
                <w:sz w:val="19"/>
                <w:szCs w:val="19"/>
              </w:rPr>
              <w:t xml:space="preserve"> Lleva la contabilidad, prepara los pagos y las conciliaciones, y elabora los informes mensuales.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tesorera</w:t>
            </w:r>
            <w:r>
              <w:rPr>
                <w:rFonts w:ascii="Nunito Sans" w:cs="Nunito Sans" w:eastAsia="Nunito Sans" w:hAnsi="Nunito Sans"/>
                <w:color w:val="102E3B"/>
                <w:sz w:val="19"/>
                <w:szCs w:val="19"/>
              </w:rPr>
              <w:t xml:space="preserve">, un miembro del órgano de gobierno que no gestiona los pagos del día a día. Revisa las conciliaciones y los informes cada mes y es firmante bancario.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 firma]</w:t>
            </w:r>
            <w:r>
              <w:rPr>
                <w:rFonts w:ascii="Nunito Sans" w:cs="Nunito Sans" w:eastAsia="Nunito Sans" w:hAnsi="Nunito Sans"/>
                <w:b/>
                <w:bCs/>
                <w:color w:val="102E3B"/>
                <w:sz w:val="19"/>
                <w:szCs w:val="19"/>
              </w:rPr>
              <w:t xml:space="preserve"> es nuestro contador o tenedor de libros externo.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[Revisa nuestra contabilidad cada trimestre / prepara nuestras cuentas anuales / gestiona la nómina]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abrimos una nueva cuenta o un nuevo medio de pago, y después de cualquier pérdida o hallazgo de auditoría.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muchas organizaciones pequeñas, la persona directora es también la responsable de finanzas. Si es así, la revisión mensual de la persona tesorera es esencial: es el principal control sobre la dirección. Un tenedor de libros a tiempo parcial o un contador voluntario puede añadir un valioso control independiente. Si todavía no tienes persona tesorera, pídeselo a un miembro del órgano de gobierno con algo de experiencia en finanzas, y evita dar a la misma persona tanto los derechos de aprobación bancaria como la tarea de conciliar la cuenta bancaria.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Cada pago necesita una partida presupuestaria, documentos justificativos y la aprobación de una persona distinta de la que lo solicitó.</w:t>
            </w:r>
          </w:p>
          <w:p>
            <w:pPr>
              <w:pStyle w:val="ListParagraph"/>
              <w:numPr>
                <w:ilvl w:val="0"/>
                <w:numId w:val="3"/>
              </w:numPr>
              <w:spacing w:after="80" w:line="290"/>
            </w:pPr>
            <w:r>
              <w:rPr>
                <w:rFonts w:ascii="Nunito Sans" w:cs="Nunito Sans" w:eastAsia="Nunito Sans" w:hAnsi="Nunito Sans"/>
                <w:color w:val="102E3B"/>
                <w:sz w:val="19"/>
                <w:szCs w:val="19"/>
              </w:rPr>
              <w:t xml:space="preserve">Todas las cuentas bancarias y de dinero móvil están a nombre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con al menos dos firmantes o personas que aprueban.</w:t>
            </w:r>
          </w:p>
          <w:p>
            <w:pPr>
              <w:pStyle w:val="ListParagraph"/>
              <w:numPr>
                <w:ilvl w:val="0"/>
                <w:numId w:val="3"/>
              </w:numPr>
              <w:spacing w:after="80" w:line="290"/>
            </w:pPr>
            <w:r>
              <w:rPr>
                <w:rFonts w:ascii="Nunito Sans" w:cs="Nunito Sans" w:eastAsia="Nunito Sans" w:hAnsi="Nunito Sans"/>
                <w:color w:val="102E3B"/>
                <w:sz w:val="19"/>
                <w:szCs w:val="19"/>
              </w:rPr>
              <w:t xml:space="preserve">Los límites de aprobación se fijan en nuestra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El efectivo se mantiene al mínimo. El efectivo pagado a participantes se registra en una lista firmada o con huella dactilar.</w:t>
            </w:r>
          </w:p>
          <w:p>
            <w:pPr>
              <w:pStyle w:val="ListParagraph"/>
              <w:numPr>
                <w:ilvl w:val="0"/>
                <w:numId w:val="3"/>
              </w:numPr>
              <w:spacing w:after="80" w:line="290"/>
            </w:pPr>
            <w:r>
              <w:rPr>
                <w:rFonts w:ascii="Nunito Sans" w:cs="Nunito Sans" w:eastAsia="Nunito Sans" w:hAnsi="Nunito Sans"/>
                <w:color w:val="102E3B"/>
                <w:sz w:val="19"/>
                <w:szCs w:val="19"/>
              </w:rPr>
              <w:t xml:space="preserve">Las cuentas bancarias, el dinero móvil y el efectivo se concilian cada mes, y la persona tesorera lo revisa.</w:t>
            </w:r>
          </w:p>
          <w:p>
            <w:pPr>
              <w:pStyle w:val="ListParagraph"/>
              <w:numPr>
                <w:ilvl w:val="0"/>
                <w:numId w:val="3"/>
              </w:numPr>
              <w:spacing w:after="80" w:line="290"/>
            </w:pPr>
            <w:r>
              <w:rPr>
                <w:rFonts w:ascii="Nunito Sans" w:cs="Nunito Sans" w:eastAsia="Nunito Sans" w:hAnsi="Nunito Sans"/>
                <w:color w:val="102E3B"/>
                <w:sz w:val="19"/>
                <w:szCs w:val="19"/>
              </w:rPr>
              <w:t xml:space="preserve">Los fondos restringidos se siguen por separado y se gastan solo según lo acordado.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recibe las cuentas de gestión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 y nuestras cuentas anuales son </w:t>
            </w:r>
            <w:r>
              <w:rPr>
                <w:rFonts w:ascii="Nunito Sans" w:cs="Nunito Sans" w:eastAsia="Nunito Sans" w:hAnsi="Nunito Sans"/>
                <w:color w:val="102E3B"/>
                <w:sz w:val="19"/>
                <w:szCs w:val="19"/>
                <w:highlight w:val="yellow"/>
              </w:rPr>
              <w:t xml:space="preserve">[auditadas / revisadas de forma independiente]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Todos los importes de esta política son ilustrativos. Los fijamos con nuestro contador.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presupuestan, gastan, aprueban, reciben o registran dinero para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los miembros del órgano de gobierno, el personal, las personas voluntarias y los contratistas. Cubre todos nuestros fondos, sea cual sea su origen, y todas las cuentas, el efectivo, el dinero móvil, las tarjetas y los activos que tenemos. Los socios que reciben fondos nuestros siguen las condiciones financieras de su Acuerdo de Subvención a Socios.</w:t>
      </w:r>
    </w:p>
    <w:p>
      <w:pPr>
        <w:spacing w:after="120" w:before="0" w:line="300"/>
      </w:pPr>
      <w:r>
        <w:rPr>
          <w:rFonts w:ascii="Nunito Sans" w:cs="Nunito Sans" w:eastAsia="Nunito Sans" w:hAnsi="Nunito Sans"/>
          <w:b/>
          <w:bCs/>
          <w:color w:val="102E3B"/>
          <w:sz w:val="20"/>
          <w:szCs w:val="20"/>
        </w:rPr>
        <w:t xml:space="preserve">Ley y normas.</w:t>
      </w:r>
      <w:r>
        <w:rPr>
          <w:rFonts w:ascii="Nunito Sans" w:cs="Nunito Sans" w:eastAsia="Nunito Sans" w:hAnsi="Nunito Sans"/>
          <w:color w:val="102E3B"/>
          <w:sz w:val="20"/>
          <w:szCs w:val="20"/>
        </w:rPr>
        <w:t xml:space="preserve"> Llevamos la contabilidad según exigen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nuestro </w:t>
      </w:r>
      <w:r>
        <w:rPr>
          <w:rFonts w:ascii="Nunito Sans" w:cs="Nunito Sans" w:eastAsia="Nunito Sans" w:hAnsi="Nunito Sans"/>
          <w:color w:val="102E3B"/>
          <w:sz w:val="20"/>
          <w:szCs w:val="20"/>
          <w:highlight w:val="yellow"/>
        </w:rPr>
        <w:t xml:space="preserve">[regulador / organismo de registro]</w:t>
      </w:r>
      <w:r>
        <w:rPr>
          <w:rFonts w:ascii="Nunito Sans" w:cs="Nunito Sans" w:eastAsia="Nunito Sans" w:hAnsi="Nunito Sans"/>
          <w:color w:val="102E3B"/>
          <w:sz w:val="20"/>
          <w:szCs w:val="20"/>
        </w:rPr>
        <w:t xml:space="preserve">. Seguimos </w:t>
      </w:r>
      <w:r>
        <w:rPr>
          <w:rFonts w:ascii="Nunito Sans" w:cs="Nunito Sans" w:eastAsia="Nunito Sans" w:hAnsi="Nunito Sans"/>
          <w:color w:val="102E3B"/>
          <w:sz w:val="20"/>
          <w:szCs w:val="20"/>
          <w:highlight w:val="yellow"/>
        </w:rPr>
        <w:t xml:space="preserve">[norma o marco contable]</w:t>
      </w:r>
      <w:r>
        <w:rPr>
          <w:rFonts w:ascii="Nunito Sans" w:cs="Nunito Sans" w:eastAsia="Nunito Sans" w:hAnsi="Nunito Sans"/>
          <w:color w:val="102E3B"/>
          <w:sz w:val="20"/>
          <w:szCs w:val="20"/>
        </w:rPr>
        <w:t xml:space="preserve">. Cuando las normas financieras de un financiador son más estrictas que esta política, las seguimos para el dinero de ese financiador.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NORMAS CONTABLES E IMPORTES</w:t>
            </w:r>
          </w:p>
          <w:p>
            <w:pPr>
              <w:spacing w:after="120" w:before="0" w:line="300"/>
            </w:pPr>
            <w:r>
              <w:rPr>
                <w:rFonts w:ascii="Nunito Sans" w:cs="Nunito Sans" w:eastAsia="Nunito Sans" w:hAnsi="Nunito Sans"/>
                <w:color w:val="102E3B"/>
                <w:sz w:val="19"/>
                <w:szCs w:val="19"/>
              </w:rPr>
              <w:t xml:space="preserve">Pregunta a tu contador qué normas contables se te aplican: dependen de tu forma jurídica, tu tamaño y tu país. Por ejemplo, las entidades benéficas del Reino Unido siguen el Charities SORP, y muchos países siguen normas nacionales basadas en las Normas Internacionales de Información Financiera, con versiones simplificadas para entidades pequeñas. Comprueba tu inscripción fiscal, los plazos de presentación y cualquier obligación de presentar cuentas ante un regulador. Cada importe de esta política es solo un ejemplo. Fija importes que se ajusten a tus ingresos, tu moneda y tus riesgos, y haz que coincidan con tu Matriz de Delegación de Autoridad.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Roles y separación de funciones</w:t>
      </w:r>
    </w:p>
    <w:p>
      <w:pPr>
        <w:spacing w:after="120" w:before="0" w:line="300"/>
      </w:pPr>
      <w:r>
        <w:rPr>
          <w:rFonts w:ascii="Nunito Sans" w:cs="Nunito Sans" w:eastAsia="Nunito Sans" w:hAnsi="Nunito Sans"/>
          <w:color w:val="102E3B"/>
          <w:sz w:val="20"/>
          <w:szCs w:val="20"/>
        </w:rPr>
        <w:t xml:space="preserve">La separación de funciones significa que ninguna persona controla sola una transacción de principio a fin. Repartimos estas tareas entre al menos dos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TAREA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LA HACE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Solicitar un pago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del presupuesto o un miembro del personal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pago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persona autorizada en la Matriz de Delegación de Autoridad, nunca la persona solicitante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Realizar el pago (introducirlo en la banca en línea o en el dinero móvil)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Autorizar el pago en el sistema bancario o de dinero móvil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segundo firmante, nunca la persona que lo introdujo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y conciliar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la conciliación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Cuando nuestro equipo es demasiado pequeño</w:t>
      </w:r>
    </w:p>
    <w:p>
      <w:pPr>
        <w:spacing w:after="120" w:before="0" w:line="300"/>
      </w:pPr>
      <w:r>
        <w:rPr>
          <w:rFonts w:ascii="Nunito Sans" w:cs="Nunito Sans" w:eastAsia="Nunito Sans" w:hAnsi="Nunito Sans"/>
          <w:color w:val="102E3B"/>
          <w:sz w:val="20"/>
          <w:szCs w:val="20"/>
        </w:rPr>
        <w:t xml:space="preserve">Cuando una persona debe hacer más de una de estas tareas, usamos controles compensatorios. Son controles adicionales que compensan la falta de separación:</w:t>
      </w:r>
    </w:p>
    <w:p>
      <w:pPr>
        <w:pStyle w:val="ListParagraph"/>
        <w:numPr>
          <w:ilvl w:val="0"/>
          <w:numId w:val="3"/>
        </w:numPr>
        <w:spacing w:after="80" w:line="290"/>
      </w:pPr>
      <w:r>
        <w:rPr>
          <w:rFonts w:ascii="Nunito Sans" w:cs="Nunito Sans" w:eastAsia="Nunito Sans" w:hAnsi="Nunito Sans"/>
          <w:color w:val="102E3B"/>
          <w:sz w:val="20"/>
          <w:szCs w:val="20"/>
        </w:rPr>
        <w:t xml:space="preserve">la persona tesorera revisa cada mes, línea por línea, cada extracto bancario y de dinero móvil con los registros;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tesorera tiene acceso en línea de solo lectura a todas nuestras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nadie aprueba un pago a sí mismo, incluidos el salario, los gastos o los anticipos;</w:t>
      </w:r>
    </w:p>
    <w:p>
      <w:pPr>
        <w:pStyle w:val="ListParagraph"/>
        <w:numPr>
          <w:ilvl w:val="0"/>
          <w:numId w:val="3"/>
        </w:numPr>
        <w:spacing w:after="80" w:line="290"/>
      </w:pPr>
      <w:r>
        <w:rPr>
          <w:rFonts w:ascii="Nunito Sans" w:cs="Nunito Sans" w:eastAsia="Nunito Sans" w:hAnsi="Nunito Sans"/>
          <w:color w:val="102E3B"/>
          <w:sz w:val="20"/>
          <w:szCs w:val="20"/>
        </w:rPr>
        <w:t xml:space="preserve">los pagos a la persona directora los aprueba la persona tesorera o la presidencia;</w:t>
      </w:r>
    </w:p>
    <w:p>
      <w:pPr>
        <w:pStyle w:val="ListParagraph"/>
        <w:numPr>
          <w:ilvl w:val="0"/>
          <w:numId w:val="3"/>
        </w:numPr>
        <w:spacing w:after="80" w:line="290"/>
      </w:pPr>
      <w:r>
        <w:rPr>
          <w:rFonts w:ascii="Nunito Sans" w:cs="Nunito Sans" w:eastAsia="Nunito Sans" w:hAnsi="Nunito Sans"/>
          <w:color w:val="102E3B"/>
          <w:sz w:val="20"/>
          <w:szCs w:val="20"/>
        </w:rPr>
        <w:t xml:space="preserve">nuestro contador externo revisa una muestra de transacciones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revisa una lista de todos los pagos de más de </w:t>
      </w:r>
      <w:r>
        <w:rPr>
          <w:rFonts w:ascii="Nunito Sans" w:cs="Nunito Sans" w:eastAsia="Nunito Sans" w:hAnsi="Nunito Sans"/>
          <w:color w:val="102E3B"/>
          <w:sz w:val="20"/>
          <w:szCs w:val="20"/>
          <w:highlight w:val="yellow"/>
        </w:rPr>
        <w:t xml:space="preserve">[500 USD]</w:t>
      </w:r>
      <w:r>
        <w:rPr>
          <w:rFonts w:ascii="Nunito Sans" w:cs="Nunito Sans" w:eastAsia="Nunito Sans" w:hAnsi="Nunito Sans"/>
          <w:color w:val="102E3B"/>
          <w:sz w:val="20"/>
          <w:szCs w:val="20"/>
        </w:rPr>
        <w:t xml:space="preserve">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la persona responsable de finanzas introduce y además concilia los pagos, la persona tesorera recibe los extractos bancarios directamente del banco, no a través de la persona responsable de finanzas.</w:t>
      </w:r>
    </w:p>
    <w:p>
      <w:pPr>
        <w:pStyle w:val="Heading2"/>
        <w:keepNext/>
        <w:spacing w:after="120" w:before="280"/>
      </w:pPr>
      <w:r>
        <w:rPr>
          <w:rFonts w:ascii="DM Serif Display" w:cs="DM Serif Display" w:eastAsia="DM Serif Display" w:hAnsi="DM Serif Display"/>
          <w:color w:val="123C48"/>
          <w:sz w:val="28"/>
          <w:szCs w:val="28"/>
        </w:rPr>
        <w:t xml:space="preserve">2. Presupuestos y personas responsables del presupuesto</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un presupuesto anual para toda la organización antes del inicio de cada ejercicio financiero, que va del </w:t>
      </w:r>
      <w:r>
        <w:rPr>
          <w:rFonts w:ascii="Nunito Sans" w:cs="Nunito Sans" w:eastAsia="Nunito Sans" w:hAnsi="Nunito Sans"/>
          <w:color w:val="102E3B"/>
          <w:sz w:val="20"/>
          <w:szCs w:val="20"/>
          <w:highlight w:val="yellow"/>
        </w:rPr>
        <w:t xml:space="preserve">[1 de enero al 31 de diciembre]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Cada proyecto o subvención tiene su propio presupuesto, que sigue el acuerdo con el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La persona directora designa a una persona responsable de cada presupuesto. Las personas responsables del presupuesto aprueban el gasto dentro de su presupuesto, hasta su límite, y explican las desviaciones.</w:t>
      </w:r>
    </w:p>
    <w:p>
      <w:pPr>
        <w:pStyle w:val="ListParagraph"/>
        <w:numPr>
          <w:ilvl w:val="0"/>
          <w:numId w:val="3"/>
        </w:numPr>
        <w:spacing w:after="80" w:line="290"/>
      </w:pPr>
      <w:r>
        <w:rPr>
          <w:rFonts w:ascii="Nunito Sans" w:cs="Nunito Sans" w:eastAsia="Nunito Sans" w:hAnsi="Nunito Sans"/>
          <w:color w:val="102E3B"/>
          <w:sz w:val="20"/>
          <w:szCs w:val="20"/>
        </w:rPr>
        <w:t xml:space="preserve">Todo gasto que no esté en el presupuesto, o que supere una partida presupuestaria en más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necesita aprobación según lo establecido en la Matriz de Delegación de Autoridad, y la conformidad del financiador cuando los fondos son restringidos.</w:t>
      </w:r>
    </w:p>
    <w:p>
      <w:pPr>
        <w:pStyle w:val="ListParagraph"/>
        <w:numPr>
          <w:ilvl w:val="0"/>
          <w:numId w:val="3"/>
        </w:numPr>
        <w:spacing w:after="80" w:line="290"/>
      </w:pPr>
      <w:r>
        <w:rPr>
          <w:rFonts w:ascii="Nunito Sans" w:cs="Nunito Sans" w:eastAsia="Nunito Sans" w:hAnsi="Nunito Sans"/>
          <w:color w:val="102E3B"/>
          <w:sz w:val="20"/>
          <w:szCs w:val="20"/>
        </w:rPr>
        <w:t xml:space="preserve">Preparamos una previsión de flujo de caja para al menos los próximos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y la actualizamos cada mes.</w:t>
      </w:r>
    </w:p>
    <w:p>
      <w:pPr>
        <w:pStyle w:val="Heading2"/>
        <w:keepNext/>
        <w:spacing w:after="120" w:before="280"/>
      </w:pPr>
      <w:r>
        <w:rPr>
          <w:rFonts w:ascii="DM Serif Display" w:cs="DM Serif Display" w:eastAsia="DM Serif Display" w:hAnsi="DM Serif Display"/>
          <w:color w:val="123C48"/>
          <w:sz w:val="28"/>
          <w:szCs w:val="28"/>
        </w:rPr>
        <w:t xml:space="preserve">3.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Todas las cuentas bancarias están a nombre legal completo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Nunca mantenemos nuestro dinero en una cuenta personal, ni siquiera por poco tiempo.</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mediante resolución la apertura y el cierre de cada cuenta, y la lista de firmantes.</w:t>
      </w:r>
    </w:p>
    <w:p>
      <w:pPr>
        <w:pStyle w:val="ListParagraph"/>
        <w:numPr>
          <w:ilvl w:val="0"/>
          <w:numId w:val="3"/>
        </w:numPr>
        <w:spacing w:after="80" w:line="290"/>
      </w:pPr>
      <w:r>
        <w:rPr>
          <w:rFonts w:ascii="Nunito Sans" w:cs="Nunito Sans" w:eastAsia="Nunito Sans" w:hAnsi="Nunito Sans"/>
          <w:color w:val="102E3B"/>
          <w:sz w:val="20"/>
          <w:szCs w:val="20"/>
        </w:rPr>
        <w:t xml:space="preserve">Cada cuenta tiene al menos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firmantes, y cada pago necesita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de ellos. Dos personas con una relación estrecha no pueden ser las dos únicas firmantes de ninguna cuenta.</w:t>
      </w:r>
    </w:p>
    <w:p>
      <w:pPr>
        <w:pStyle w:val="ListParagraph"/>
        <w:numPr>
          <w:ilvl w:val="0"/>
          <w:numId w:val="3"/>
        </w:numPr>
        <w:spacing w:after="80" w:line="290"/>
      </w:pPr>
      <w:r>
        <w:rPr>
          <w:rFonts w:ascii="Nunito Sans" w:cs="Nunito Sans" w:eastAsia="Nunito Sans" w:hAnsi="Nunito Sans"/>
          <w:color w:val="102E3B"/>
          <w:sz w:val="20"/>
          <w:szCs w:val="20"/>
        </w:rPr>
        <w:t xml:space="preserve">La banca en línea está configurada para que una persona introduzca un pago y una segunda persona lo apruebe.</w:t>
      </w:r>
    </w:p>
    <w:p>
      <w:pPr>
        <w:pStyle w:val="ListParagraph"/>
        <w:numPr>
          <w:ilvl w:val="0"/>
          <w:numId w:val="3"/>
        </w:numPr>
        <w:spacing w:after="80" w:line="290"/>
      </w:pPr>
      <w:r>
        <w:rPr>
          <w:rFonts w:ascii="Nunito Sans" w:cs="Nunito Sans" w:eastAsia="Nunito Sans" w:hAnsi="Nunito Sans"/>
          <w:color w:val="102E3B"/>
          <w:sz w:val="20"/>
          <w:szCs w:val="20"/>
        </w:rPr>
        <w:t xml:space="preserve">Las chequeras, las tarjetas, los dispositivos de seguridad y las contraseñas se guardan de forma segura. Nunca firmamos cheques en blanco. Las contraseñas nunca se comparten.</w:t>
      </w:r>
    </w:p>
    <w:p>
      <w:pPr>
        <w:pStyle w:val="ListParagraph"/>
        <w:numPr>
          <w:ilvl w:val="0"/>
          <w:numId w:val="3"/>
        </w:numPr>
        <w:spacing w:after="80" w:line="290"/>
      </w:pPr>
      <w:r>
        <w:rPr>
          <w:rFonts w:ascii="Nunito Sans" w:cs="Nunito Sans" w:eastAsia="Nunito Sans" w:hAnsi="Nunito Sans"/>
          <w:color w:val="102E3B"/>
          <w:sz w:val="20"/>
          <w:szCs w:val="20"/>
        </w:rPr>
        <w:t xml:space="preserve">Cuando un firmante se va, lo retiramos de la cuenta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es posible, mantenemos los fondos de subvenciones restringidas en una cuenta separada si el financiador lo exige.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BANCARIAS Y DINERO MÓVIL</w:t>
            </w:r>
          </w:p>
          <w:p>
            <w:pPr>
              <w:spacing w:after="120" w:before="0" w:line="300"/>
            </w:pPr>
            <w:r>
              <w:rPr>
                <w:rFonts w:ascii="Nunito Sans" w:cs="Nunito Sans" w:eastAsia="Nunito Sans" w:hAnsi="Nunito Sans"/>
                <w:color w:val="102E3B"/>
                <w:sz w:val="19"/>
                <w:szCs w:val="19"/>
              </w:rPr>
              <w:t xml:space="preserve">Nombra tus cuentas bancarias y firmantes en un anexo o en un acta del órgano de gobierno, no en esta política. Algunos países tienen normas especiales: por ejemplo, en la India las contribuciones extranjeras deben recibirse primero en una "cuenta FCRA" designada en el State Bank of India, New Delhi Main Branch, según la Foreign Contribution (Regulation) Act 2010, modificada en 2020. Algunos financiadores exigen una cuenta bancaria separada para su subvención. Si tu banco solo permite un firmante para la banca en línea, pregunta por la doble aprobación o añade a la persona tesorera como segundo usuario. Si usas dinero móvil, pregunta a tu proveedor por cuentas empresariales con más de una persona que apruebe.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Pagos y aprobaciones</w:t>
      </w:r>
    </w:p>
    <w:p>
      <w:pPr>
        <w:pStyle w:val="ListParagraph"/>
        <w:numPr>
          <w:ilvl w:val="0"/>
          <w:numId w:val="4"/>
        </w:numPr>
        <w:spacing w:after="80" w:line="290"/>
      </w:pPr>
      <w:r>
        <w:rPr>
          <w:rFonts w:ascii="Nunito Sans" w:cs="Nunito Sans" w:eastAsia="Nunito Sans" w:hAnsi="Nunito Sans"/>
          <w:color w:val="102E3B"/>
          <w:sz w:val="20"/>
          <w:szCs w:val="20"/>
        </w:rPr>
        <w:t xml:space="preserve">Cada pago debe estar en el presupuesto y respaldado por una factura original, un recibo, un contrato u otra prueba.</w:t>
      </w:r>
    </w:p>
    <w:p>
      <w:pPr>
        <w:pStyle w:val="ListParagraph"/>
        <w:numPr>
          <w:ilvl w:val="0"/>
          <w:numId w:val="4"/>
        </w:numPr>
        <w:spacing w:after="80" w:line="290"/>
      </w:pPr>
      <w:r>
        <w:rPr>
          <w:rFonts w:ascii="Nunito Sans" w:cs="Nunito Sans" w:eastAsia="Nunito Sans" w:hAnsi="Nunito Sans"/>
          <w:color w:val="102E3B"/>
          <w:sz w:val="20"/>
          <w:szCs w:val="20"/>
        </w:rPr>
        <w:t xml:space="preserve">Cada pago se aprueba por adelantado, dentro de los límites de nuestra Matriz de Delegación de Autoridad. La aprobación queda registrada mediante una firma, un correo electrónico o el sistema contable.</w:t>
      </w:r>
    </w:p>
    <w:p>
      <w:pPr>
        <w:pStyle w:val="ListParagraph"/>
        <w:numPr>
          <w:ilvl w:val="0"/>
          <w:numId w:val="4"/>
        </w:numPr>
        <w:spacing w:after="80" w:line="290"/>
      </w:pPr>
      <w:r>
        <w:rPr>
          <w:rFonts w:ascii="Nunito Sans" w:cs="Nunito Sans" w:eastAsia="Nunito Sans" w:hAnsi="Nunito Sans"/>
          <w:color w:val="102E3B"/>
          <w:sz w:val="20"/>
          <w:szCs w:val="20"/>
        </w:rPr>
        <w:t xml:space="preserve">Las compras por encima de ciertos importes necesitan cotizaciones o una licitación, según lo establecido en nuestra Política de Compras y Contrataciones.</w:t>
      </w:r>
    </w:p>
    <w:p>
      <w:pPr>
        <w:pStyle w:val="ListParagraph"/>
        <w:numPr>
          <w:ilvl w:val="0"/>
          <w:numId w:val="4"/>
        </w:numPr>
        <w:spacing w:after="80" w:line="290"/>
      </w:pPr>
      <w:r>
        <w:rPr>
          <w:rFonts w:ascii="Nunito Sans" w:cs="Nunito Sans" w:eastAsia="Nunito Sans" w:hAnsi="Nunito Sans"/>
          <w:color w:val="102E3B"/>
          <w:sz w:val="20"/>
          <w:szCs w:val="20"/>
        </w:rPr>
        <w:t xml:space="preserve">Pagamos a los proveedores por transferencia bancaria o dinero móvil a una cuenta a su propio nombre. Pagamos en efectivo solo cuando no hay otra opción práctica.</w:t>
      </w:r>
    </w:p>
    <w:p>
      <w:pPr>
        <w:pStyle w:val="ListParagraph"/>
        <w:numPr>
          <w:ilvl w:val="0"/>
          <w:numId w:val="4"/>
        </w:numPr>
        <w:spacing w:after="80" w:line="290"/>
      </w:pPr>
      <w:r>
        <w:rPr>
          <w:rFonts w:ascii="Nunito Sans" w:cs="Nunito Sans" w:eastAsia="Nunito Sans" w:hAnsi="Nunito Sans"/>
          <w:color w:val="102E3B"/>
          <w:sz w:val="20"/>
          <w:szCs w:val="20"/>
        </w:rPr>
        <w:t xml:space="preserve">Antes de pagar a unos datos bancarios nuevos, o modificados, los confirmamos llamando al proveedor a un número que ya tenemos, no a uno indicado en el correo electrónico. Los estafadores suelen enviar datos bancarios falsos por correo electrónico.</w:t>
      </w:r>
    </w:p>
    <w:p>
      <w:pPr>
        <w:pStyle w:val="ListParagraph"/>
        <w:numPr>
          <w:ilvl w:val="0"/>
          <w:numId w:val="4"/>
        </w:numPr>
        <w:spacing w:after="80" w:line="290"/>
      </w:pPr>
      <w:r>
        <w:rPr>
          <w:rFonts w:ascii="Nunito Sans" w:cs="Nunito Sans" w:eastAsia="Nunito Sans" w:hAnsi="Nunito Sans"/>
          <w:color w:val="102E3B"/>
          <w:sz w:val="20"/>
          <w:szCs w:val="20"/>
        </w:rPr>
        <w:t xml:space="preserve">Los gastos de viaje, los viáticos y las solicitudes de reembolso de gastos siguen nuestra Política de Gastos y Viáticos.</w:t>
      </w:r>
    </w:p>
    <w:p>
      <w:pPr>
        <w:pStyle w:val="ListParagraph"/>
        <w:numPr>
          <w:ilvl w:val="0"/>
          <w:numId w:val="4"/>
        </w:numPr>
        <w:spacing w:after="80" w:line="290"/>
      </w:pPr>
      <w:r>
        <w:rPr>
          <w:rFonts w:ascii="Nunito Sans" w:cs="Nunito Sans" w:eastAsia="Nunito Sans" w:hAnsi="Nunito Sans"/>
          <w:color w:val="102E3B"/>
          <w:sz w:val="20"/>
          <w:szCs w:val="20"/>
        </w:rPr>
        <w:t xml:space="preserve">Los anticipos al personal para actividades se registran, se aprueban y se justifican (liquidan)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el final de la actividad o del viaje, como establece nuestra Política de Gastos y Viáticos, con los recibos y la devolución del efectivo no gastado. No se entrega un nuevo anticipo hasta que se haya justificado el anterior.</w:t>
      </w:r>
    </w:p>
    <w:p>
      <w:pPr>
        <w:pStyle w:val="Heading2"/>
        <w:keepNext/>
        <w:spacing w:after="120" w:before="280"/>
      </w:pPr>
      <w:r>
        <w:rPr>
          <w:rFonts w:ascii="DM Serif Display" w:cs="DM Serif Display" w:eastAsia="DM Serif Display" w:hAnsi="DM Serif Display"/>
          <w:color w:val="123C48"/>
          <w:sz w:val="28"/>
          <w:szCs w:val="28"/>
        </w:rPr>
        <w:t xml:space="preserve">5. Efectivo y caja chica</w:t>
      </w:r>
    </w:p>
    <w:p>
      <w:pPr>
        <w:pStyle w:val="ListParagraph"/>
        <w:numPr>
          <w:ilvl w:val="0"/>
          <w:numId w:val="3"/>
        </w:numPr>
        <w:spacing w:after="80" w:line="290"/>
      </w:pPr>
      <w:r>
        <w:rPr>
          <w:rFonts w:ascii="Nunito Sans" w:cs="Nunito Sans" w:eastAsia="Nunito Sans" w:hAnsi="Nunito Sans"/>
          <w:color w:val="102E3B"/>
          <w:sz w:val="20"/>
          <w:szCs w:val="20"/>
        </w:rPr>
        <w:t xml:space="preserve">Mantenemos el menor efectivo posible. El fondo de caja chica no supera los </w:t>
      </w:r>
      <w:r>
        <w:rPr>
          <w:rFonts w:ascii="Nunito Sans" w:cs="Nunito Sans" w:eastAsia="Nunito Sans" w:hAnsi="Nunito Sans"/>
          <w:color w:val="102E3B"/>
          <w:sz w:val="20"/>
          <w:szCs w:val="20"/>
          <w:highlight w:val="yellow"/>
        </w:rPr>
        <w:t xml:space="preserve">[300 USD]</w:t>
      </w:r>
      <w:r>
        <w:rPr>
          <w:rFonts w:ascii="Nunito Sans" w:cs="Nunito Sans" w:eastAsia="Nunito Sans" w:hAnsi="Nunito Sans"/>
          <w:color w:val="102E3B"/>
          <w:sz w:val="20"/>
          <w:szCs w:val="20"/>
        </w:rPr>
        <w:t xml:space="preserve"> y lo guarda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una caja cerrada con llave.</w:t>
      </w:r>
    </w:p>
    <w:p>
      <w:pPr>
        <w:pStyle w:val="ListParagraph"/>
        <w:numPr>
          <w:ilvl w:val="0"/>
          <w:numId w:val="3"/>
        </w:numPr>
        <w:spacing w:after="80" w:line="290"/>
      </w:pPr>
      <w:r>
        <w:rPr>
          <w:rFonts w:ascii="Nunito Sans" w:cs="Nunito Sans" w:eastAsia="Nunito Sans" w:hAnsi="Nunito Sans"/>
          <w:color w:val="102E3B"/>
          <w:sz w:val="20"/>
          <w:szCs w:val="20"/>
        </w:rPr>
        <w:t xml:space="preserve">Cada pago individual de caja chica no supera los </w:t>
      </w:r>
      <w:r>
        <w:rPr>
          <w:rFonts w:ascii="Nunito Sans" w:cs="Nunito Sans" w:eastAsia="Nunito Sans" w:hAnsi="Nunito Sans"/>
          <w:color w:val="102E3B"/>
          <w:sz w:val="20"/>
          <w:szCs w:val="20"/>
          <w:highlight w:val="yellow"/>
        </w:rPr>
        <w:t xml:space="preserve">[50 USD]</w:t>
      </w:r>
      <w:r>
        <w:rPr>
          <w:rFonts w:ascii="Nunito Sans" w:cs="Nunito Sans" w:eastAsia="Nunito Sans" w:hAnsi="Nunito Sans"/>
          <w:color w:val="102E3B"/>
          <w:sz w:val="20"/>
          <w:szCs w:val="20"/>
        </w:rPr>
        <w:t xml:space="preserve">. Los importes mayores se pagan por transferencia.</w:t>
      </w:r>
    </w:p>
    <w:p>
      <w:pPr>
        <w:pStyle w:val="ListParagraph"/>
        <w:numPr>
          <w:ilvl w:val="0"/>
          <w:numId w:val="3"/>
        </w:numPr>
        <w:spacing w:after="80" w:line="290"/>
      </w:pPr>
      <w:r>
        <w:rPr>
          <w:rFonts w:ascii="Nunito Sans" w:cs="Nunito Sans" w:eastAsia="Nunito Sans" w:hAnsi="Nunito Sans"/>
          <w:color w:val="102E3B"/>
          <w:sz w:val="20"/>
          <w:szCs w:val="20"/>
        </w:rPr>
        <w:t xml:space="preserve">Cada pago de caja chica tiene un recibo o un comprobante firmado.</w:t>
      </w:r>
    </w:p>
    <w:p>
      <w:pPr>
        <w:pStyle w:val="ListParagraph"/>
        <w:numPr>
          <w:ilvl w:val="0"/>
          <w:numId w:val="3"/>
        </w:numPr>
        <w:spacing w:after="80" w:line="290"/>
      </w:pPr>
      <w:r>
        <w:rPr>
          <w:rFonts w:ascii="Nunito Sans" w:cs="Nunito Sans" w:eastAsia="Nunito Sans" w:hAnsi="Nunito Sans"/>
          <w:color w:val="102E3B"/>
          <w:sz w:val="20"/>
          <w:szCs w:val="20"/>
        </w:rPr>
        <w:t xml:space="preserve">Reponemos el fondo solo hasta su nivel fijo, contra los recibos de lo gastado (esto se llama sistema de fondo fijo).</w:t>
      </w:r>
    </w:p>
    <w:p>
      <w:pPr>
        <w:pStyle w:val="ListParagraph"/>
        <w:numPr>
          <w:ilvl w:val="0"/>
          <w:numId w:val="3"/>
        </w:numPr>
        <w:spacing w:after="80" w:line="290"/>
      </w:pPr>
      <w:r>
        <w:rPr>
          <w:rFonts w:ascii="Nunito Sans" w:cs="Nunito Sans" w:eastAsia="Nunito Sans" w:hAnsi="Nunito Sans"/>
          <w:color w:val="102E3B"/>
          <w:sz w:val="20"/>
          <w:szCs w:val="20"/>
        </w:rPr>
        <w:t xml:space="preserve">La caja chica se cuenta y se concilia al menos </w:t>
      </w:r>
      <w:r>
        <w:rPr>
          <w:rFonts w:ascii="Nunito Sans" w:cs="Nunito Sans" w:eastAsia="Nunito Sans" w:hAnsi="Nunito Sans"/>
          <w:color w:val="102E3B"/>
          <w:sz w:val="20"/>
          <w:szCs w:val="20"/>
          <w:highlight w:val="yellow"/>
        </w:rPr>
        <w:t xml:space="preserve">[mensualmente]</w:t>
      </w:r>
      <w:r>
        <w:rPr>
          <w:rFonts w:ascii="Nunito Sans" w:cs="Nunito Sans" w:eastAsia="Nunito Sans" w:hAnsi="Nunito Sans"/>
          <w:color w:val="102E3B"/>
          <w:sz w:val="20"/>
          <w:szCs w:val="20"/>
        </w:rPr>
        <w:t xml:space="preserve">, y el arqueo lo firman la persona que custodia el efectivo y una segunda persona. La persona tesorera o la persona directora hacen un arqueo sorpresa al menos </w:t>
      </w:r>
      <w:r>
        <w:rPr>
          <w:rFonts w:ascii="Nunito Sans" w:cs="Nunito Sans" w:eastAsia="Nunito Sans" w:hAnsi="Nunito Sans"/>
          <w:color w:val="102E3B"/>
          <w:sz w:val="20"/>
          <w:szCs w:val="20"/>
          <w:highlight w:val="yellow"/>
        </w:rPr>
        <w:t xml:space="preserve">[dos veces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efectivo recibido, por ejemplo en eventos, lo cuentan dos personas, se registra y se deposita en el banco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efectivo que se lleva para actividades de campo se limita al mínimo necesario, se reparte entre varias personas cuando es seguro y se registra cuando se entrega y cuando se devuelve.</w:t>
      </w:r>
    </w:p>
    <w:p>
      <w:pPr>
        <w:pStyle w:val="Heading2"/>
        <w:keepNext/>
        <w:spacing w:after="120" w:before="280"/>
      </w:pPr>
      <w:r>
        <w:rPr>
          <w:rFonts w:ascii="DM Serif Display" w:cs="DM Serif Display" w:eastAsia="DM Serif Display" w:hAnsi="DM Serif Display"/>
          <w:color w:val="123C48"/>
          <w:sz w:val="28"/>
          <w:szCs w:val="28"/>
        </w:rPr>
        <w:t xml:space="preserve">6. Dinero móvil</w:t>
      </w:r>
    </w:p>
    <w:p>
      <w:pPr>
        <w:spacing w:after="120" w:before="0" w:line="300"/>
      </w:pPr>
      <w:r>
        <w:rPr>
          <w:rFonts w:ascii="Nunito Sans" w:cs="Nunito Sans" w:eastAsia="Nunito Sans" w:hAnsi="Nunito Sans"/>
          <w:color w:val="102E3B"/>
          <w:sz w:val="20"/>
          <w:szCs w:val="20"/>
        </w:rPr>
        <w:t xml:space="preserve">El dinero móvil suele ser la forma más segura, rápida y transparente de pagar a las personas de las comunidades a las que servimos. Lo usamos con estas normas:</w:t>
      </w:r>
    </w:p>
    <w:p>
      <w:pPr>
        <w:pStyle w:val="ListParagraph"/>
        <w:numPr>
          <w:ilvl w:val="0"/>
          <w:numId w:val="3"/>
        </w:numPr>
        <w:spacing w:after="80" w:line="290"/>
      </w:pPr>
      <w:r>
        <w:rPr>
          <w:rFonts w:ascii="Nunito Sans" w:cs="Nunito Sans" w:eastAsia="Nunito Sans" w:hAnsi="Nunito Sans"/>
          <w:color w:val="102E3B"/>
          <w:sz w:val="20"/>
          <w:szCs w:val="20"/>
        </w:rPr>
        <w:t xml:space="preserve">Las cuentas de dinero móvil están registradas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cuenta empresarial o de organización, nunca en el número personal de un miembro del personal.</w:t>
      </w:r>
    </w:p>
    <w:p>
      <w:pPr>
        <w:pStyle w:val="ListParagraph"/>
        <w:numPr>
          <w:ilvl w:val="0"/>
          <w:numId w:val="3"/>
        </w:numPr>
        <w:spacing w:after="80" w:line="290"/>
      </w:pPr>
      <w:r>
        <w:rPr>
          <w:rFonts w:ascii="Nunito Sans" w:cs="Nunito Sans" w:eastAsia="Nunito Sans" w:hAnsi="Nunito Sans"/>
          <w:color w:val="102E3B"/>
          <w:sz w:val="20"/>
          <w:szCs w:val="20"/>
        </w:rPr>
        <w:t xml:space="preserve">Cuando el proveedor lo permite, los pagos necesitan una segunda persona que apruebe. Los PIN nunca se comparten.</w:t>
      </w:r>
    </w:p>
    <w:p>
      <w:pPr>
        <w:pStyle w:val="ListParagraph"/>
        <w:numPr>
          <w:ilvl w:val="0"/>
          <w:numId w:val="3"/>
        </w:numPr>
        <w:spacing w:after="80" w:line="290"/>
      </w:pPr>
      <w:r>
        <w:rPr>
          <w:rFonts w:ascii="Nunito Sans" w:cs="Nunito Sans" w:eastAsia="Nunito Sans" w:hAnsi="Nunito Sans"/>
          <w:color w:val="102E3B"/>
          <w:sz w:val="20"/>
          <w:szCs w:val="20"/>
        </w:rPr>
        <w:t xml:space="preserve">Mantenemos un registro de cada pago: fecha, persona destinataria, número de teléfono, importe, finalidad y partida presupuestaria, vinculado a una lista firmada u otra prueba.</w:t>
      </w:r>
    </w:p>
    <w:p>
      <w:pPr>
        <w:pStyle w:val="ListParagraph"/>
        <w:numPr>
          <w:ilvl w:val="0"/>
          <w:numId w:val="3"/>
        </w:numPr>
        <w:spacing w:after="80" w:line="290"/>
      </w:pPr>
      <w:r>
        <w:rPr>
          <w:rFonts w:ascii="Nunito Sans" w:cs="Nunito Sans" w:eastAsia="Nunito Sans" w:hAnsi="Nunito Sans"/>
          <w:color w:val="102E3B"/>
          <w:sz w:val="20"/>
          <w:szCs w:val="20"/>
        </w:rPr>
        <w:t xml:space="preserve">Descargamos el extracto completo al menos </w:t>
      </w:r>
      <w:r>
        <w:rPr>
          <w:rFonts w:ascii="Nunito Sans" w:cs="Nunito Sans" w:eastAsia="Nunito Sans" w:hAnsi="Nunito Sans"/>
          <w:color w:val="102E3B"/>
          <w:sz w:val="20"/>
          <w:szCs w:val="20"/>
          <w:highlight w:val="yellow"/>
        </w:rPr>
        <w:t xml:space="preserve">[mensualmente]</w:t>
      </w:r>
      <w:r>
        <w:rPr>
          <w:rFonts w:ascii="Nunito Sans" w:cs="Nunito Sans" w:eastAsia="Nunito Sans" w:hAnsi="Nunito Sans"/>
          <w:color w:val="102E3B"/>
          <w:sz w:val="20"/>
          <w:szCs w:val="20"/>
        </w:rPr>
        <w:t xml:space="preserve"> y lo conciliamos con nuestros registros, como una cuenta bancaria.</w:t>
      </w:r>
    </w:p>
    <w:p>
      <w:pPr>
        <w:pStyle w:val="ListParagraph"/>
        <w:numPr>
          <w:ilvl w:val="0"/>
          <w:numId w:val="3"/>
        </w:numPr>
        <w:spacing w:after="80" w:line="290"/>
      </w:pPr>
      <w:r>
        <w:rPr>
          <w:rFonts w:ascii="Nunito Sans" w:cs="Nunito Sans" w:eastAsia="Nunito Sans" w:hAnsi="Nunito Sans"/>
          <w:color w:val="102E3B"/>
          <w:sz w:val="20"/>
          <w:szCs w:val="20"/>
        </w:rPr>
        <w:t xml:space="preserve">Las transferencias entre cuentas de dinero móvil y cuentas bancarias se registran en ambos lados.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las comisiones por transacción como un costo y las incluimos en los presupuestos.</w:t>
      </w:r>
    </w:p>
    <w:p>
      <w:pPr>
        <w:pStyle w:val="ListParagraph"/>
        <w:numPr>
          <w:ilvl w:val="0"/>
          <w:numId w:val="3"/>
        </w:numPr>
        <w:spacing w:after="80" w:line="290"/>
      </w:pPr>
      <w:r>
        <w:rPr>
          <w:rFonts w:ascii="Nunito Sans" w:cs="Nunito Sans" w:eastAsia="Nunito Sans" w:hAnsi="Nunito Sans"/>
          <w:color w:val="102E3B"/>
          <w:sz w:val="20"/>
          <w:szCs w:val="20"/>
        </w:rPr>
        <w:t xml:space="preserve">Si alguna vez un miembro del personal debe recibir fondos en su número personal en una emergencia, la persona directora lo aprueba por escrito y por adelantado, y el miembro del personal presenta un extracto y los recibos en un plazo de </w:t>
      </w:r>
      <w:r>
        <w:rPr>
          <w:rFonts w:ascii="Nunito Sans" w:cs="Nunito Sans" w:eastAsia="Nunito Sans" w:hAnsi="Nunito Sans"/>
          <w:color w:val="102E3B"/>
          <w:sz w:val="20"/>
          <w:szCs w:val="20"/>
          <w:highlight w:val="yellow"/>
        </w:rPr>
        <w:t xml:space="preserve">[3 días hábiles]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Recibos y pruebas</w:t>
      </w:r>
    </w:p>
    <w:p>
      <w:pPr>
        <w:spacing w:after="120" w:before="0" w:line="300"/>
      </w:pPr>
      <w:r>
        <w:rPr>
          <w:rFonts w:ascii="Nunito Sans" w:cs="Nunito Sans" w:eastAsia="Nunito Sans" w:hAnsi="Nunito Sans"/>
          <w:color w:val="102E3B"/>
          <w:sz w:val="20"/>
          <w:szCs w:val="20"/>
        </w:rPr>
        <w:t xml:space="preserve">Cada pago necesita pruebas de que fue real, se aprobó y era para nuestro trabajo. Aceptamos:</w:t>
      </w:r>
    </w:p>
    <w:p>
      <w:pPr>
        <w:pStyle w:val="ListParagraph"/>
        <w:numPr>
          <w:ilvl w:val="0"/>
          <w:numId w:val="3"/>
        </w:numPr>
        <w:spacing w:after="80" w:line="290"/>
      </w:pPr>
      <w:r>
        <w:rPr>
          <w:rFonts w:ascii="Nunito Sans" w:cs="Nunito Sans" w:eastAsia="Nunito Sans" w:hAnsi="Nunito Sans"/>
          <w:color w:val="102E3B"/>
          <w:sz w:val="20"/>
          <w:szCs w:val="20"/>
        </w:rPr>
        <w:t xml:space="preserve">la factura y el recibo de un proveedor, con su nombre, la fecha, los artículos y el importe;</w:t>
      </w:r>
    </w:p>
    <w:p>
      <w:pPr>
        <w:pStyle w:val="ListParagraph"/>
        <w:numPr>
          <w:ilvl w:val="0"/>
          <w:numId w:val="3"/>
        </w:numPr>
        <w:spacing w:after="80" w:line="290"/>
      </w:pPr>
      <w:r>
        <w:rPr>
          <w:rFonts w:ascii="Nunito Sans" w:cs="Nunito Sans" w:eastAsia="Nunito Sans" w:hAnsi="Nunito Sans"/>
          <w:color w:val="102E3B"/>
          <w:sz w:val="20"/>
          <w:szCs w:val="20"/>
        </w:rPr>
        <w:t xml:space="preserve">para compras pequeñas sin recibo disponible, como el transporte local o productos de mercado, un comprobante de pago firmado por la persona que pagó y aprobado por su responsable, que explique por qué no hay recibo;</w:t>
      </w:r>
    </w:p>
    <w:p>
      <w:pPr>
        <w:pStyle w:val="ListParagraph"/>
        <w:numPr>
          <w:ilvl w:val="0"/>
          <w:numId w:val="3"/>
        </w:numPr>
        <w:spacing w:after="80" w:line="290"/>
      </w:pPr>
      <w:r>
        <w:rPr>
          <w:rFonts w:ascii="Nunito Sans" w:cs="Nunito Sans" w:eastAsia="Nunito Sans" w:hAnsi="Nunito Sans"/>
          <w:color w:val="102E3B"/>
          <w:sz w:val="20"/>
          <w:szCs w:val="20"/>
        </w:rPr>
        <w:t xml:space="preserve">para el efectivo o el dinero móvil pagado a participantes, como reembolsos de transporte o estipendios, una lista de todas las personas que recibieron un pago con su nombre, importe, fecha y firma o huella dactilar, la firma de un testigo y la lista de asistencia de la actividad.</w:t>
      </w:r>
    </w:p>
    <w:p>
      <w:pPr>
        <w:spacing w:after="120" w:before="0" w:line="300"/>
      </w:pPr>
      <w:r>
        <w:rPr>
          <w:rFonts w:ascii="Nunito Sans" w:cs="Nunito Sans" w:eastAsia="Nunito Sans" w:hAnsi="Nunito Sans"/>
          <w:color w:val="102E3B"/>
          <w:sz w:val="20"/>
          <w:szCs w:val="20"/>
        </w:rPr>
        <w:t xml:space="preserve">Los recibos fotocopiados, alterados o escritos a mano cuando lo normal es que sean impresos son señales de alerta. Les damos seguimiento, según lo establecido en nuestra Política y Procedimiento contra el Fraude, el Soborno y la Corrupción.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A PARTICIPANTES</w:t>
            </w:r>
          </w:p>
          <w:p>
            <w:pPr>
              <w:spacing w:after="120" w:before="0" w:line="300"/>
            </w:pPr>
            <w:r>
              <w:rPr>
                <w:rFonts w:ascii="Nunito Sans" w:cs="Nunito Sans" w:eastAsia="Nunito Sans" w:hAnsi="Nunito Sans"/>
                <w:color w:val="102E3B"/>
                <w:sz w:val="19"/>
                <w:szCs w:val="19"/>
              </w:rPr>
              <w:t xml:space="preserve">Fija normas que respeten la dignidad y la privacidad de las personas. Recoge en las listas de pago solo la información que necesitas, y guárdalas de forma segura conforme a tu Política de Protección de Datos. Cuando las personas no puedan firmar, usa una huella dactilar o un testigo. Revisa las normas de los financiadores: algunos fijan límites a los pagos a participantes o exigen un formulario específico. En algunos países, los pagos a personas individuales por encima de cierto importe deben declararse a efectos fiscales. Consulta tus normas tributarias locales.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Ingresos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en nuestra contabilidad todos los ingresos, de cualquier origen.</w:t>
      </w:r>
    </w:p>
    <w:p>
      <w:pPr>
        <w:pStyle w:val="ListParagraph"/>
        <w:numPr>
          <w:ilvl w:val="0"/>
          <w:numId w:val="3"/>
        </w:numPr>
        <w:spacing w:after="80" w:line="290"/>
      </w:pPr>
      <w:r>
        <w:rPr>
          <w:rFonts w:ascii="Nunito Sans" w:cs="Nunito Sans" w:eastAsia="Nunito Sans" w:hAnsi="Nunito Sans"/>
          <w:color w:val="102E3B"/>
          <w:sz w:val="20"/>
          <w:szCs w:val="20"/>
        </w:rPr>
        <w:t xml:space="preserve">Los acuerdos de subvención los firman las personas designadas en la Matriz de Delegación de Autoridad y se anotan en un registro de subvenciones con el importe, el periodo, las restricciones y las fechas de presentación de informes.</w:t>
      </w:r>
    </w:p>
    <w:p>
      <w:pPr>
        <w:pStyle w:val="ListParagraph"/>
        <w:numPr>
          <w:ilvl w:val="0"/>
          <w:numId w:val="3"/>
        </w:numPr>
        <w:spacing w:after="80" w:line="290"/>
      </w:pPr>
      <w:r>
        <w:rPr>
          <w:rFonts w:ascii="Nunito Sans" w:cs="Nunito Sans" w:eastAsia="Nunito Sans" w:hAnsi="Nunito Sans"/>
          <w:color w:val="102E3B"/>
          <w:sz w:val="20"/>
          <w:szCs w:val="20"/>
        </w:rPr>
        <w:t xml:space="preserve">Las donaciones siguen nuestra Política de Aceptación de Regalos y Donaciones. Emitimos recibos cuando la ley o la persona donante lo exigen.</w:t>
      </w:r>
    </w:p>
    <w:p>
      <w:pPr>
        <w:pStyle w:val="ListParagraph"/>
        <w:numPr>
          <w:ilvl w:val="0"/>
          <w:numId w:val="3"/>
        </w:numPr>
        <w:spacing w:after="80" w:line="290"/>
      </w:pPr>
      <w:r>
        <w:rPr>
          <w:rFonts w:ascii="Nunito Sans" w:cs="Nunito Sans" w:eastAsia="Nunito Sans" w:hAnsi="Nunito Sans"/>
          <w:color w:val="102E3B"/>
          <w:sz w:val="20"/>
          <w:szCs w:val="20"/>
        </w:rPr>
        <w:t xml:space="preserve">Los ingresos por ventas o servicios se facturan con prontitud y se reclaman cuando están vencidos.</w:t>
      </w:r>
    </w:p>
    <w:p>
      <w:pPr>
        <w:pStyle w:val="Heading2"/>
        <w:keepNext/>
        <w:spacing w:after="120" w:before="280"/>
      </w:pPr>
      <w:r>
        <w:rPr>
          <w:rFonts w:ascii="DM Serif Display" w:cs="DM Serif Display" w:eastAsia="DM Serif Display" w:hAnsi="DM Serif Display"/>
          <w:color w:val="123C48"/>
          <w:sz w:val="28"/>
          <w:szCs w:val="28"/>
        </w:rPr>
        <w:t xml:space="preserve">9. Nómina</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a las que pagamos un salario tienen un contrato por escrito y un expediente personal.</w:t>
      </w:r>
    </w:p>
    <w:p>
      <w:pPr>
        <w:pStyle w:val="ListParagraph"/>
        <w:numPr>
          <w:ilvl w:val="0"/>
          <w:numId w:val="3"/>
        </w:numPr>
        <w:spacing w:after="80" w:line="290"/>
      </w:pPr>
      <w:r>
        <w:rPr>
          <w:rFonts w:ascii="Nunito Sans" w:cs="Nunito Sans" w:eastAsia="Nunito Sans" w:hAnsi="Nunito Sans"/>
          <w:color w:val="102E3B"/>
          <w:sz w:val="20"/>
          <w:szCs w:val="20"/>
        </w:rPr>
        <w:t xml:space="preserve">Las tarifas salariales y sus cambios se aprueban según lo establecido en la Matriz de Delegación de Autoridad. Nadie aprueba su propio salario.</w:t>
      </w:r>
    </w:p>
    <w:p>
      <w:pPr>
        <w:pStyle w:val="ListParagraph"/>
        <w:numPr>
          <w:ilvl w:val="0"/>
          <w:numId w:val="3"/>
        </w:numPr>
        <w:spacing w:after="80" w:line="290"/>
      </w:pPr>
      <w:r>
        <w:rPr>
          <w:rFonts w:ascii="Nunito Sans" w:cs="Nunito Sans" w:eastAsia="Nunito Sans" w:hAnsi="Nunito Sans"/>
          <w:color w:val="102E3B"/>
          <w:sz w:val="20"/>
          <w:szCs w:val="20"/>
        </w:rPr>
        <w:t xml:space="preserve">La nómina la prepara </w:t>
      </w:r>
      <w:r>
        <w:rPr>
          <w:rFonts w:ascii="Nunito Sans" w:cs="Nunito Sans" w:eastAsia="Nunito Sans" w:hAnsi="Nunito Sans"/>
          <w:color w:val="102E3B"/>
          <w:sz w:val="20"/>
          <w:szCs w:val="20"/>
          <w:highlight w:val="yellow"/>
        </w:rPr>
        <w:t xml:space="preserve">[Nombre, cargo / proveedor de nómina]</w:t>
      </w:r>
      <w:r>
        <w:rPr>
          <w:rFonts w:ascii="Nunito Sans" w:cs="Nunito Sans" w:eastAsia="Nunito Sans" w:hAnsi="Nunito Sans"/>
          <w:color w:val="102E3B"/>
          <w:sz w:val="20"/>
          <w:szCs w:val="20"/>
        </w:rPr>
        <w:t xml:space="preserve"> y una segunda persona la aprueba antes del pago.</w:t>
      </w:r>
    </w:p>
    <w:p>
      <w:pPr>
        <w:pStyle w:val="ListParagraph"/>
        <w:numPr>
          <w:ilvl w:val="0"/>
          <w:numId w:val="3"/>
        </w:numPr>
        <w:spacing w:after="80" w:line="290"/>
      </w:pPr>
      <w:r>
        <w:rPr>
          <w:rFonts w:ascii="Nunito Sans" w:cs="Nunito Sans" w:eastAsia="Nunito Sans" w:hAnsi="Nunito Sans"/>
          <w:color w:val="102E3B"/>
          <w:sz w:val="20"/>
          <w:szCs w:val="20"/>
        </w:rPr>
        <w:t xml:space="preserve">Retenemos y pagamos a tiempo el impuesto sobre la renta, la seguridad social y las demás cotizaciones obligatorias, según exige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salarios se pagan por transferencia bancaria o dinero móvil, nunca en efectivo, salvo que la persona directora apruebe una excepción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El personal cuyo tiempo se imputa a una subvención completa hojas de horas, aprobadas por su responsable, para que podamos demostrar el tiempo dedicado.</w:t>
      </w:r>
    </w:p>
    <w:p>
      <w:pPr>
        <w:pStyle w:val="ListParagraph"/>
        <w:numPr>
          <w:ilvl w:val="0"/>
          <w:numId w:val="3"/>
        </w:numPr>
        <w:spacing w:after="80" w:line="290"/>
      </w:pPr>
      <w:r>
        <w:rPr>
          <w:rFonts w:ascii="Nunito Sans" w:cs="Nunito Sans" w:eastAsia="Nunito Sans" w:hAnsi="Nunito Sans"/>
          <w:color w:val="102E3B"/>
          <w:sz w:val="20"/>
          <w:szCs w:val="20"/>
        </w:rPr>
        <w:t xml:space="preserve">Cuando alguien se va, lo damos de baja de la nómina a partir de su último día de trabajo.</w:t>
      </w:r>
    </w:p>
    <w:p>
      <w:pPr>
        <w:pStyle w:val="Heading2"/>
        <w:keepNext/>
        <w:spacing w:after="120" w:before="280"/>
      </w:pPr>
      <w:r>
        <w:rPr>
          <w:rFonts w:ascii="DM Serif Display" w:cs="DM Serif Display" w:eastAsia="DM Serif Display" w:hAnsi="DM Serif Display"/>
          <w:color w:val="123C48"/>
          <w:sz w:val="28"/>
          <w:szCs w:val="28"/>
        </w:rPr>
        <w:t xml:space="preserve">10. Conciliaciones mensuales</w:t>
      </w:r>
    </w:p>
    <w:p>
      <w:pPr>
        <w:spacing w:after="120" w:before="0" w:line="300"/>
      </w:pPr>
      <w:r>
        <w:rPr>
          <w:rFonts w:ascii="Nunito Sans" w:cs="Nunito Sans" w:eastAsia="Nunito Sans" w:hAnsi="Nunito Sans"/>
          <w:color w:val="102E3B"/>
          <w:sz w:val="20"/>
          <w:szCs w:val="20"/>
        </w:rPr>
        <w:t xml:space="preserve">A más tardar el </w:t>
      </w:r>
      <w:r>
        <w:rPr>
          <w:rFonts w:ascii="Nunito Sans" w:cs="Nunito Sans" w:eastAsia="Nunito Sans" w:hAnsi="Nunito Sans"/>
          <w:color w:val="102E3B"/>
          <w:sz w:val="20"/>
          <w:szCs w:val="20"/>
          <w:highlight w:val="yellow"/>
        </w:rPr>
        <w:t xml:space="preserve">[10.º]</w:t>
      </w:r>
      <w:r>
        <w:rPr>
          <w:rFonts w:ascii="Nunito Sans" w:cs="Nunito Sans" w:eastAsia="Nunito Sans" w:hAnsi="Nunito Sans"/>
          <w:color w:val="102E3B"/>
          <w:sz w:val="20"/>
          <w:szCs w:val="20"/>
        </w:rPr>
        <w:t xml:space="preserve"> día hábil de cada mes, la persona responsable de finanzas concilia cada cuenta bancaria, cada cuenta de dinero móvil y cada fondo de efectivo con nuestros registros. Conciliar significa comprobar que nuestros registros coinciden con el extracto y explicar cualquier diferencia. La persona tesorera revisa y firma cada conciliación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y pregunta por cualquier cosa inusual. Las diferencias sin explicación se investigan de inmediato.</w:t>
      </w:r>
    </w:p>
    <w:p>
      <w:pPr>
        <w:pStyle w:val="Heading2"/>
        <w:keepNext/>
        <w:spacing w:after="120" w:before="280"/>
      </w:pPr>
      <w:r>
        <w:rPr>
          <w:rFonts w:ascii="DM Serif Display" w:cs="DM Serif Display" w:eastAsia="DM Serif Display" w:hAnsi="DM Serif Display"/>
          <w:color w:val="123C48"/>
          <w:sz w:val="28"/>
          <w:szCs w:val="28"/>
        </w:rPr>
        <w:t xml:space="preserve">11. Fondos restringidos y no restringidos</w:t>
      </w:r>
    </w:p>
    <w:p>
      <w:pPr>
        <w:pStyle w:val="ListParagraph"/>
        <w:numPr>
          <w:ilvl w:val="0"/>
          <w:numId w:val="3"/>
        </w:numPr>
        <w:spacing w:after="80" w:line="290"/>
      </w:pPr>
      <w:r>
        <w:rPr>
          <w:rFonts w:ascii="Nunito Sans" w:cs="Nunito Sans" w:eastAsia="Nunito Sans" w:hAnsi="Nunito Sans"/>
          <w:color w:val="102E3B"/>
          <w:sz w:val="20"/>
          <w:szCs w:val="20"/>
        </w:rPr>
        <w:t xml:space="preserve">Los </w:t>
      </w:r>
      <w:r>
        <w:rPr>
          <w:rFonts w:ascii="Nunito Sans" w:cs="Nunito Sans" w:eastAsia="Nunito Sans" w:hAnsi="Nunito Sans"/>
          <w:b/>
          <w:bCs/>
          <w:color w:val="102E3B"/>
          <w:sz w:val="20"/>
          <w:szCs w:val="20"/>
        </w:rPr>
        <w:t xml:space="preserve">fondos restringidos</w:t>
      </w:r>
      <w:r>
        <w:rPr>
          <w:rFonts w:ascii="Nunito Sans" w:cs="Nunito Sans" w:eastAsia="Nunito Sans" w:hAnsi="Nunito Sans"/>
          <w:color w:val="102E3B"/>
          <w:sz w:val="20"/>
          <w:szCs w:val="20"/>
        </w:rPr>
        <w:t xml:space="preserve"> solo pueden usarse para la finalidad que fijó el financiador o la persona donante. Los </w:t>
      </w:r>
      <w:r>
        <w:rPr>
          <w:rFonts w:ascii="Nunito Sans" w:cs="Nunito Sans" w:eastAsia="Nunito Sans" w:hAnsi="Nunito Sans"/>
          <w:b/>
          <w:bCs/>
          <w:color w:val="102E3B"/>
          <w:sz w:val="20"/>
          <w:szCs w:val="20"/>
        </w:rPr>
        <w:t xml:space="preserve">fondos no restringidos</w:t>
      </w:r>
      <w:r>
        <w:rPr>
          <w:rFonts w:ascii="Nunito Sans" w:cs="Nunito Sans" w:eastAsia="Nunito Sans" w:hAnsi="Nunito Sans"/>
          <w:color w:val="102E3B"/>
          <w:sz w:val="20"/>
          <w:szCs w:val="20"/>
        </w:rPr>
        <w:t xml:space="preserve"> pueden usarse para cualquiera de nuestros fines, según decida el órgano de gobierno. Los </w:t>
      </w:r>
      <w:r>
        <w:rPr>
          <w:rFonts w:ascii="Nunito Sans" w:cs="Nunito Sans" w:eastAsia="Nunito Sans" w:hAnsi="Nunito Sans"/>
          <w:b/>
          <w:bCs/>
          <w:color w:val="102E3B"/>
          <w:sz w:val="20"/>
          <w:szCs w:val="20"/>
        </w:rPr>
        <w:t xml:space="preserve">fondos designados</w:t>
      </w:r>
      <w:r>
        <w:rPr>
          <w:rFonts w:ascii="Nunito Sans" w:cs="Nunito Sans" w:eastAsia="Nunito Sans" w:hAnsi="Nunito Sans"/>
          <w:color w:val="102E3B"/>
          <w:sz w:val="20"/>
          <w:szCs w:val="20"/>
        </w:rPr>
        <w:t xml:space="preserve"> son fondos no restringidos que el órgano de gobierno ha reservado para una finalidad; el órgano de gobierno puede cambiar esa decisión.</w:t>
      </w:r>
    </w:p>
    <w:p>
      <w:pPr>
        <w:pStyle w:val="ListParagraph"/>
        <w:numPr>
          <w:ilvl w:val="0"/>
          <w:numId w:val="3"/>
        </w:numPr>
        <w:spacing w:after="80" w:line="290"/>
      </w:pPr>
      <w:r>
        <w:rPr>
          <w:rFonts w:ascii="Nunito Sans" w:cs="Nunito Sans" w:eastAsia="Nunito Sans" w:hAnsi="Nunito Sans"/>
          <w:color w:val="102E3B"/>
          <w:sz w:val="20"/>
          <w:szCs w:val="20"/>
        </w:rPr>
        <w:t xml:space="preserve">Cada transacción se asigna en nuestra contabilidad a un fondo o subvención y a una partida presupuestaria.</w:t>
      </w:r>
    </w:p>
    <w:p>
      <w:pPr>
        <w:pStyle w:val="ListParagraph"/>
        <w:numPr>
          <w:ilvl w:val="0"/>
          <w:numId w:val="3"/>
        </w:numPr>
        <w:spacing w:after="80" w:line="290"/>
      </w:pPr>
      <w:r>
        <w:rPr>
          <w:rFonts w:ascii="Nunito Sans" w:cs="Nunito Sans" w:eastAsia="Nunito Sans" w:hAnsi="Nunito Sans"/>
          <w:color w:val="102E3B"/>
          <w:sz w:val="20"/>
          <w:szCs w:val="20"/>
        </w:rPr>
        <w:t xml:space="preserve">No usamos un fondo restringido para pagar los costos de otro fondo, ni siquiera temporalmente, salvo que ambos financiadores lo acepten por escrito.</w:t>
      </w:r>
    </w:p>
    <w:p>
      <w:pPr>
        <w:pStyle w:val="ListParagraph"/>
        <w:numPr>
          <w:ilvl w:val="0"/>
          <w:numId w:val="3"/>
        </w:numPr>
        <w:spacing w:after="80" w:line="290"/>
      </w:pPr>
      <w:r>
        <w:rPr>
          <w:rFonts w:ascii="Nunito Sans" w:cs="Nunito Sans" w:eastAsia="Nunito Sans" w:hAnsi="Nunito Sans"/>
          <w:color w:val="102E3B"/>
          <w:sz w:val="20"/>
          <w:szCs w:val="20"/>
        </w:rPr>
        <w:t xml:space="preserve">Los costos compartidos, como el alquiler o el tiempo de la persona responsable de finanzas, se imputan a las subvenciones con un método justo y documentado, por ejemplo el tiempo dedicado o el número de miembros del personal, y solo en la medida en que cada financiador lo permita.</w:t>
      </w:r>
    </w:p>
    <w:p>
      <w:pPr>
        <w:pStyle w:val="ListParagraph"/>
        <w:numPr>
          <w:ilvl w:val="0"/>
          <w:numId w:val="3"/>
        </w:numPr>
        <w:spacing w:after="80" w:line="290"/>
      </w:pPr>
      <w:r>
        <w:rPr>
          <w:rFonts w:ascii="Nunito Sans" w:cs="Nunito Sans" w:eastAsia="Nunito Sans" w:hAnsi="Nunito Sans"/>
          <w:color w:val="102E3B"/>
          <w:sz w:val="20"/>
          <w:szCs w:val="20"/>
        </w:rPr>
        <w:t xml:space="preserve">Los fondos restringidos no gastados al final de una subvención se tratan según indique el acuerdo: se devuelven, se trasladan al periodo siguiente o se reasignan con la aprobación por escrito del financiador.</w:t>
      </w:r>
    </w:p>
    <w:p>
      <w:pPr>
        <w:pStyle w:val="Heading2"/>
        <w:keepNext/>
        <w:spacing w:after="120" w:before="280"/>
      </w:pPr>
      <w:r>
        <w:rPr>
          <w:rFonts w:ascii="DM Serif Display" w:cs="DM Serif Display" w:eastAsia="DM Serif Display" w:hAnsi="DM Serif Display"/>
          <w:color w:val="123C48"/>
          <w:sz w:val="28"/>
          <w:szCs w:val="28"/>
        </w:rPr>
        <w:t xml:space="preserve">12. Moneda extranjera y tipos de cambio</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las transacciones en </w:t>
      </w:r>
      <w:r>
        <w:rPr>
          <w:rFonts w:ascii="Nunito Sans" w:cs="Nunito Sans" w:eastAsia="Nunito Sans" w:hAnsi="Nunito Sans"/>
          <w:color w:val="102E3B"/>
          <w:sz w:val="20"/>
          <w:szCs w:val="20"/>
          <w:highlight w:val="yellow"/>
        </w:rPr>
        <w:t xml:space="preserve">[moneda de presentación]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Cuando recibimos fondos en otra moneda, registramos el tipo de cambio realmente obtenido del banco en la fecha de conversión, con el aviso bancario como prueba.</w:t>
      </w:r>
    </w:p>
    <w:p>
      <w:pPr>
        <w:pStyle w:val="ListParagraph"/>
        <w:numPr>
          <w:ilvl w:val="0"/>
          <w:numId w:val="3"/>
        </w:numPr>
        <w:spacing w:after="80" w:line="290"/>
      </w:pPr>
      <w:r>
        <w:rPr>
          <w:rFonts w:ascii="Nunito Sans" w:cs="Nunito Sans" w:eastAsia="Nunito Sans" w:hAnsi="Nunito Sans"/>
          <w:color w:val="102E3B"/>
          <w:sz w:val="20"/>
          <w:szCs w:val="20"/>
        </w:rPr>
        <w:t xml:space="preserve">Para los informes a los financiadores, usamos el método que exija su acuerdo. Si no hay ninguno, usamos </w:t>
      </w:r>
      <w:r>
        <w:rPr>
          <w:rFonts w:ascii="Nunito Sans" w:cs="Nunito Sans" w:eastAsia="Nunito Sans" w:hAnsi="Nunito Sans"/>
          <w:color w:val="102E3B"/>
          <w:sz w:val="20"/>
          <w:szCs w:val="20"/>
          <w:highlight w:val="yellow"/>
        </w:rPr>
        <w:t xml:space="preserve">[el tipo real de cada conversión / una media ponderada de las conversiones de esa subvención]</w:t>
      </w:r>
      <w:r>
        <w:rPr>
          <w:rFonts w:ascii="Nunito Sans" w:cs="Nunito Sans" w:eastAsia="Nunito Sans" w:hAnsi="Nunito Sans"/>
          <w:color w:val="102E3B"/>
          <w:sz w:val="20"/>
          <w:szCs w:val="20"/>
        </w:rPr>
        <w:t xml:space="preserve">, y lo indicamos en el informe.</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por separado las ganancias y pérdidas por tipo de cambio. Puede que una pérdida en una subvención restringida tenga que cubrirse con fondos no restringidos, salvo que el financiador acepte otra cosa.</w:t>
      </w:r>
    </w:p>
    <w:p>
      <w:pPr>
        <w:pStyle w:val="ListParagraph"/>
        <w:numPr>
          <w:ilvl w:val="0"/>
          <w:numId w:val="3"/>
        </w:numPr>
        <w:spacing w:after="80" w:line="290"/>
      </w:pPr>
      <w:r>
        <w:rPr>
          <w:rFonts w:ascii="Nunito Sans" w:cs="Nunito Sans" w:eastAsia="Nunito Sans" w:hAnsi="Nunito Sans"/>
          <w:color w:val="102E3B"/>
          <w:sz w:val="20"/>
          <w:szCs w:val="20"/>
        </w:rPr>
        <w:t xml:space="preserve">No cambiamos dinero a través de cambistas informales salvo que no haya alternativa, la persona directora lo apruebe por escrito y dejemos constancia del tipo de cambio y del motivo.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TIPOS DE CAMBIO</w:t>
            </w:r>
          </w:p>
          <w:p>
            <w:pPr>
              <w:spacing w:after="120" w:before="0" w:line="300"/>
            </w:pPr>
            <w:r>
              <w:rPr>
                <w:rFonts w:ascii="Nunito Sans" w:cs="Nunito Sans" w:eastAsia="Nunito Sans" w:hAnsi="Nunito Sans"/>
                <w:color w:val="102E3B"/>
                <w:sz w:val="19"/>
                <w:szCs w:val="19"/>
              </w:rPr>
              <w:t xml:space="preserve">Elige un método y úsalo de forma coherente. Los financiadores suelen indicar qué tipo de cambio usar, así que revisa cada acuerdo de subvención. Si trabajas en un país con más de un tipo de cambio oficial, o con una gran diferencia entre el tipo oficial y el de mercado, pide asesoramiento a tu contador e informa a los financiadores de cómo lo vas a gestionar antes de que empiece la subvención. Pregunta a tu banco por la posibilidad de tener una cuenta en moneda extranjera para reducir los costos de conversión.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Registro de activos</w:t>
      </w:r>
    </w:p>
    <w:p>
      <w:pPr>
        <w:pStyle w:val="ListParagraph"/>
        <w:numPr>
          <w:ilvl w:val="0"/>
          <w:numId w:val="3"/>
        </w:numPr>
        <w:spacing w:after="80" w:line="290"/>
      </w:pPr>
      <w:r>
        <w:rPr>
          <w:rFonts w:ascii="Nunito Sans" w:cs="Nunito Sans" w:eastAsia="Nunito Sans" w:hAnsi="Nunito Sans"/>
          <w:color w:val="102E3B"/>
          <w:sz w:val="20"/>
          <w:szCs w:val="20"/>
        </w:rPr>
        <w:t xml:space="preserve">Registramos en un registro de activos cada artículo que valga más de </w:t>
      </w:r>
      <w:r>
        <w:rPr>
          <w:rFonts w:ascii="Nunito Sans" w:cs="Nunito Sans" w:eastAsia="Nunito Sans" w:hAnsi="Nunito Sans"/>
          <w:color w:val="102E3B"/>
          <w:sz w:val="20"/>
          <w:szCs w:val="20"/>
          <w:highlight w:val="yellow"/>
        </w:rPr>
        <w:t xml:space="preserve">[300 USD]</w:t>
      </w:r>
      <w:r>
        <w:rPr>
          <w:rFonts w:ascii="Nunito Sans" w:cs="Nunito Sans" w:eastAsia="Nunito Sans" w:hAnsi="Nunito Sans"/>
          <w:color w:val="102E3B"/>
          <w:sz w:val="20"/>
          <w:szCs w:val="20"/>
        </w:rPr>
        <w:t xml:space="preserve">, y todos los portátiles, teléfonos y vehículos, sea cual sea su valor.</w:t>
      </w:r>
    </w:p>
    <w:p>
      <w:pPr>
        <w:pStyle w:val="ListParagraph"/>
        <w:numPr>
          <w:ilvl w:val="0"/>
          <w:numId w:val="3"/>
        </w:numPr>
        <w:spacing w:after="80" w:line="290"/>
      </w:pPr>
      <w:r>
        <w:rPr>
          <w:rFonts w:ascii="Nunito Sans" w:cs="Nunito Sans" w:eastAsia="Nunito Sans" w:hAnsi="Nunito Sans"/>
          <w:color w:val="102E3B"/>
          <w:sz w:val="20"/>
          <w:szCs w:val="20"/>
        </w:rPr>
        <w:t xml:space="preserve">El registro indica la descripción, el número de serie, la fecha de compra, el costo, el financiador, la ubicación y quién lo usa.</w:t>
      </w:r>
    </w:p>
    <w:p>
      <w:pPr>
        <w:pStyle w:val="ListParagraph"/>
        <w:numPr>
          <w:ilvl w:val="0"/>
          <w:numId w:val="3"/>
        </w:numPr>
        <w:spacing w:after="80" w:line="290"/>
      </w:pPr>
      <w:r>
        <w:rPr>
          <w:rFonts w:ascii="Nunito Sans" w:cs="Nunito Sans" w:eastAsia="Nunito Sans" w:hAnsi="Nunito Sans"/>
          <w:color w:val="102E3B"/>
          <w:sz w:val="20"/>
          <w:szCs w:val="20"/>
        </w:rPr>
        <w:t xml:space="preserve">Cada activo lleva una etiqueta con nuestro nombre y un número de referencia.</w:t>
      </w:r>
    </w:p>
    <w:p>
      <w:pPr>
        <w:pStyle w:val="ListParagraph"/>
        <w:numPr>
          <w:ilvl w:val="0"/>
          <w:numId w:val="3"/>
        </w:numPr>
        <w:spacing w:after="80" w:line="290"/>
      </w:pPr>
      <w:r>
        <w:rPr>
          <w:rFonts w:ascii="Nunito Sans" w:cs="Nunito Sans" w:eastAsia="Nunito Sans" w:hAnsi="Nunito Sans"/>
          <w:color w:val="102E3B"/>
          <w:sz w:val="20"/>
          <w:szCs w:val="20"/>
        </w:rPr>
        <w:t xml:space="preserve">Comprobamos el registro con los activos físicos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activos comprados con fondos de subvenciones se usan y se dan de baja según exija el financiador. Las bajas y los saneamientos se aprueban como establece la Matriz de Delegación de Autoridad (la persona directora junto con la persona tesorera hasta </w:t>
      </w:r>
      <w:r>
        <w:rPr>
          <w:rFonts w:ascii="Nunito Sans" w:cs="Nunito Sans" w:eastAsia="Nunito Sans" w:hAnsi="Nunito Sans"/>
          <w:color w:val="102E3B"/>
          <w:sz w:val="20"/>
          <w:szCs w:val="20"/>
          <w:highlight w:val="yellow"/>
        </w:rPr>
        <w:t xml:space="preserve">[500 USD]</w:t>
      </w:r>
      <w:r>
        <w:rPr>
          <w:rFonts w:ascii="Nunito Sans" w:cs="Nunito Sans" w:eastAsia="Nunito Sans" w:hAnsi="Nunito Sans"/>
          <w:color w:val="102E3B"/>
          <w:sz w:val="20"/>
          <w:szCs w:val="20"/>
        </w:rPr>
        <w:t xml:space="preserve">; el órgano de gobierno por encima de ese importe) y se registran.</w:t>
      </w:r>
    </w:p>
    <w:p>
      <w:pPr>
        <w:pStyle w:val="Heading2"/>
        <w:keepNext/>
        <w:spacing w:after="120" w:before="280"/>
      </w:pPr>
      <w:r>
        <w:rPr>
          <w:rFonts w:ascii="DM Serif Display" w:cs="DM Serif Display" w:eastAsia="DM Serif Display" w:hAnsi="DM Serif Display"/>
          <w:color w:val="123C48"/>
          <w:sz w:val="28"/>
          <w:szCs w:val="28"/>
        </w:rPr>
        <w:t xml:space="preserve">14. Cuentas de gestión e informes</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la persona responsable de finanzas prepara las cuentas de gestión para el órgano de gobierno. Incluyen:</w:t>
      </w:r>
    </w:p>
    <w:p>
      <w:pPr>
        <w:pStyle w:val="ListParagraph"/>
        <w:numPr>
          <w:ilvl w:val="0"/>
          <w:numId w:val="3"/>
        </w:numPr>
        <w:spacing w:after="80" w:line="290"/>
      </w:pPr>
      <w:r>
        <w:rPr>
          <w:rFonts w:ascii="Nunito Sans" w:cs="Nunito Sans" w:eastAsia="Nunito Sans" w:hAnsi="Nunito Sans"/>
          <w:color w:val="102E3B"/>
          <w:sz w:val="20"/>
          <w:szCs w:val="20"/>
        </w:rPr>
        <w:t xml:space="preserve">los ingresos y gastos frente al presupuesto, con explicaciones de las diferencias importantes;</w:t>
      </w:r>
    </w:p>
    <w:p>
      <w:pPr>
        <w:pStyle w:val="ListParagraph"/>
        <w:numPr>
          <w:ilvl w:val="0"/>
          <w:numId w:val="3"/>
        </w:numPr>
        <w:spacing w:after="80" w:line="290"/>
      </w:pPr>
      <w:r>
        <w:rPr>
          <w:rFonts w:ascii="Nunito Sans" w:cs="Nunito Sans" w:eastAsia="Nunito Sans" w:hAnsi="Nunito Sans"/>
          <w:color w:val="102E3B"/>
          <w:sz w:val="20"/>
          <w:szCs w:val="20"/>
        </w:rPr>
        <w:t xml:space="preserve">la posición de tesorería y la previsión de flujo de caja;</w:t>
      </w:r>
    </w:p>
    <w:p>
      <w:pPr>
        <w:pStyle w:val="ListParagraph"/>
        <w:numPr>
          <w:ilvl w:val="0"/>
          <w:numId w:val="3"/>
        </w:numPr>
        <w:spacing w:after="80" w:line="290"/>
      </w:pPr>
      <w:r>
        <w:rPr>
          <w:rFonts w:ascii="Nunito Sans" w:cs="Nunito Sans" w:eastAsia="Nunito Sans" w:hAnsi="Nunito Sans"/>
          <w:color w:val="102E3B"/>
          <w:sz w:val="20"/>
          <w:szCs w:val="20"/>
        </w:rPr>
        <w:t xml:space="preserve">los saldos de los fondos restringidos, designados y no restringidos, y nuestra posición de reservas según nuestra 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los plazos de presentación de informes de las subvenciones y cualquier preocupación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cualquier pérdida, irregularidad o debilidad de control.</w:t>
      </w:r>
    </w:p>
    <w:p>
      <w:pPr>
        <w:spacing w:after="120" w:before="0" w:line="300"/>
      </w:pPr>
      <w:r>
        <w:rPr>
          <w:rFonts w:ascii="Nunito Sans" w:cs="Nunito Sans" w:eastAsia="Nunito Sans" w:hAnsi="Nunito Sans"/>
          <w:color w:val="102E3B"/>
          <w:sz w:val="20"/>
          <w:szCs w:val="20"/>
        </w:rPr>
        <w:t xml:space="preserve">La persona directora y la persona responsable de finanzas también revisan un breve resumen mensual. Enviamos los informes financieros a los financiadores a tiempo, según exija cada acuerdo.</w:t>
      </w:r>
    </w:p>
    <w:p>
      <w:pPr>
        <w:pStyle w:val="Heading2"/>
        <w:keepNext/>
        <w:spacing w:after="120" w:before="280"/>
      </w:pPr>
      <w:r>
        <w:rPr>
          <w:rFonts w:ascii="DM Serif Display" w:cs="DM Serif Display" w:eastAsia="DM Serif Display" w:hAnsi="DM Serif Display"/>
          <w:color w:val="123C48"/>
          <w:sz w:val="28"/>
          <w:szCs w:val="28"/>
        </w:rPr>
        <w:t xml:space="preserve">15. Cuentas anuales, auditoría y revisión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Preparamos las cuentas anuales en los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siguientes al cierre de nuestro ejercicio financiero.</w:t>
      </w:r>
    </w:p>
    <w:p>
      <w:pPr>
        <w:pStyle w:val="ListParagraph"/>
        <w:numPr>
          <w:ilvl w:val="0"/>
          <w:numId w:val="3"/>
        </w:numPr>
        <w:spacing w:after="80" w:line="290"/>
      </w:pPr>
      <w:r>
        <w:rPr>
          <w:rFonts w:ascii="Nunito Sans" w:cs="Nunito Sans" w:eastAsia="Nunito Sans" w:hAnsi="Nunito Sans"/>
          <w:color w:val="102E3B"/>
          <w:sz w:val="20"/>
          <w:szCs w:val="20"/>
        </w:rPr>
        <w:t xml:space="preserve">Nuestras cuentas son </w:t>
      </w:r>
      <w:r>
        <w:rPr>
          <w:rFonts w:ascii="Nunito Sans" w:cs="Nunito Sans" w:eastAsia="Nunito Sans" w:hAnsi="Nunito Sans"/>
          <w:color w:val="102E3B"/>
          <w:sz w:val="20"/>
          <w:szCs w:val="20"/>
          <w:highlight w:val="yellow"/>
        </w:rPr>
        <w:t xml:space="preserve">[auditadas por un auditor registrado / revisadas de forma independiente por una persona cualificada]</w:t>
      </w:r>
      <w:r>
        <w:rPr>
          <w:rFonts w:ascii="Nunito Sans" w:cs="Nunito Sans" w:eastAsia="Nunito Sans" w:hAnsi="Nunito Sans"/>
          <w:color w:val="102E3B"/>
          <w:sz w:val="20"/>
          <w:szCs w:val="20"/>
        </w:rPr>
        <w:t xml:space="preserve">, según exijan la ley, nuestro documento constitutivo o nuestros financiadores. El órgano de gobierno nombra al auditor o revisor.</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aprueba las cuentas anuales y el informe del auditor o revisor, y revisa cualquier carta de recomendaciones y las medidas adoptadas.</w:t>
      </w:r>
    </w:p>
    <w:p>
      <w:pPr>
        <w:pStyle w:val="ListParagraph"/>
        <w:numPr>
          <w:ilvl w:val="0"/>
          <w:numId w:val="3"/>
        </w:numPr>
        <w:spacing w:after="80" w:line="290"/>
      </w:pPr>
      <w:r>
        <w:rPr>
          <w:rFonts w:ascii="Nunito Sans" w:cs="Nunito Sans" w:eastAsia="Nunito Sans" w:hAnsi="Nunito Sans"/>
          <w:color w:val="102E3B"/>
          <w:sz w:val="20"/>
          <w:szCs w:val="20"/>
        </w:rPr>
        <w:t xml:space="preserve">Presentamos las cuentas ante </w:t>
      </w:r>
      <w:r>
        <w:rPr>
          <w:rFonts w:ascii="Nunito Sans" w:cs="Nunito Sans" w:eastAsia="Nunito Sans" w:hAnsi="Nunito Sans"/>
          <w:color w:val="102E3B"/>
          <w:sz w:val="20"/>
          <w:szCs w:val="20"/>
          <w:highlight w:val="yellow"/>
        </w:rPr>
        <w:t xml:space="preserve">[regulador / autoridad tributaria]</w:t>
      </w:r>
      <w:r>
        <w:rPr>
          <w:rFonts w:ascii="Nunito Sans" w:cs="Nunito Sans" w:eastAsia="Nunito Sans" w:hAnsi="Nunito Sans"/>
          <w:color w:val="102E3B"/>
          <w:sz w:val="20"/>
          <w:szCs w:val="20"/>
        </w:rPr>
        <w:t xml:space="preserve"> a más tardar el </w:t>
      </w:r>
      <w:r>
        <w:rPr>
          <w:rFonts w:ascii="Nunito Sans" w:cs="Nunito Sans" w:eastAsia="Nunito Sans" w:hAnsi="Nunito Sans"/>
          <w:color w:val="102E3B"/>
          <w:sz w:val="20"/>
          <w:szCs w:val="20"/>
          <w:highlight w:val="yellow"/>
        </w:rPr>
        <w:t xml:space="preserve">[plazo]</w:t>
      </w:r>
      <w:r>
        <w:rPr>
          <w:rFonts w:ascii="Nunito Sans" w:cs="Nunito Sans" w:eastAsia="Nunito Sans" w:hAnsi="Nunito Sans"/>
          <w:color w:val="102E3B"/>
          <w:sz w:val="20"/>
          <w:szCs w:val="20"/>
        </w:rPr>
        <w:t xml:space="preserve">, y las compartimos con los financiadores que las pidan.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AUDITORÍA Y REVISIÓN INDEPENDIENTE</w:t>
            </w:r>
          </w:p>
          <w:p>
            <w:pPr>
              <w:spacing w:after="120" w:before="0" w:line="300"/>
            </w:pPr>
            <w:r>
              <w:rPr>
                <w:rFonts w:ascii="Nunito Sans" w:cs="Nunito Sans" w:eastAsia="Nunito Sans" w:hAnsi="Nunito Sans"/>
                <w:color w:val="102E3B"/>
                <w:sz w:val="19"/>
                <w:szCs w:val="19"/>
              </w:rPr>
              <w:t xml:space="preserve">Las normas dependen de tu país, tu forma jurídica y tus ingresos. Por ejemplo, en Inglaterra y Gales, que una entidad benéfica necesite una revisión independiente o una auditoría completa depende de sus ingresos y activos, y los umbrales cambian de vez en cuando; consulta las cifras vigentes con la Charity Commission. En muchos países, toda ONG registrada debe presentar cada año cuentas auditadas. Algunos financiadores también exigen una auditoría de proyecto de su subvención. Una revisión independiente es un examen más ligero que una auditoría. Consulta tu ley local sobre las cuentas de las ONG o las sociedades y tus acuerdos de subvención, y presupuesta el costo.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el presupuesto anual, las cuentas bancarias y los firmantes, y las cuentas anuales; nombra al auditor; revisa las cuentas de gestión.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tesorera</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 mensualmente las conciliaciones y los extractos, dirige la supervisión financiera del órgano de gobierno y aprueba los pagos a la persona directora.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directora</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 de que se cumpla esta política, designa a las personas responsables del presupuesto y aprueba el gasto dentro de sus límites.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finanzas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Lleva la contabilidad, prepara los pagos, las conciliaciones y los informes, y gestiona la caja chica y el registro de activos.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responsables del presupuesto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Aprueban el gasto dentro de su presupuesto y sus límites, comprueban que los costos sean reales y explican las desviaciones.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guardan los recibos e informan de sus preocupaciones.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pStyle w:val="ListParagraph"/>
        <w:numPr>
          <w:ilvl w:val="0"/>
          <w:numId w:val="3"/>
        </w:numPr>
        <w:spacing w:after="80" w:line="290"/>
      </w:pPr>
      <w:r>
        <w:rPr>
          <w:rFonts w:ascii="Nunito Sans" w:cs="Nunito Sans" w:eastAsia="Nunito Sans" w:hAnsi="Nunito Sans"/>
          <w:color w:val="102E3B"/>
          <w:sz w:val="20"/>
          <w:szCs w:val="20"/>
        </w:rPr>
        <w:t xml:space="preserve">Conservamos los registros financieros, incluidos recibos, comprobantes, extractos, nóminas y contratos, durante al menos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cierre del ejercicio financiero, o más tiempo si la ley o un financiador lo exigen. Nuestro Calendario de Conservación de Registros da los detalles.</w:t>
      </w:r>
    </w:p>
    <w:p>
      <w:pPr>
        <w:pStyle w:val="ListParagraph"/>
        <w:numPr>
          <w:ilvl w:val="0"/>
          <w:numId w:val="3"/>
        </w:numPr>
        <w:spacing w:after="80" w:line="290"/>
      </w:pPr>
      <w:r>
        <w:rPr>
          <w:rFonts w:ascii="Nunito Sans" w:cs="Nunito Sans" w:eastAsia="Nunito Sans" w:hAnsi="Nunito Sans"/>
          <w:color w:val="102E3B"/>
          <w:sz w:val="20"/>
          <w:szCs w:val="20"/>
        </w:rPr>
        <w:t xml:space="preserve">Guardamos los documentos originales en papel en un lugar cerrado con llave y los escaneamos en </w:t>
      </w:r>
      <w:r>
        <w:rPr>
          <w:rFonts w:ascii="Nunito Sans" w:cs="Nunito Sans" w:eastAsia="Nunito Sans" w:hAnsi="Nunito Sans"/>
          <w:color w:val="102E3B"/>
          <w:sz w:val="20"/>
          <w:szCs w:val="20"/>
          <w:highlight w:val="yellow"/>
        </w:rPr>
        <w:t xml:space="preserve">[nuestra unidad compartida / el sistema contable]</w:t>
      </w:r>
      <w:r>
        <w:rPr>
          <w:rFonts w:ascii="Nunito Sans" w:cs="Nunito Sans" w:eastAsia="Nunito Sans" w:hAnsi="Nunito Sans"/>
          <w:color w:val="102E3B"/>
          <w:sz w:val="20"/>
          <w:szCs w:val="20"/>
        </w:rPr>
        <w:t xml:space="preserve">. Se hace una copia de seguridad de los registros electrónicos al menos </w:t>
      </w:r>
      <w:r>
        <w:rPr>
          <w:rFonts w:ascii="Nunito Sans" w:cs="Nunito Sans" w:eastAsia="Nunito Sans" w:hAnsi="Nunito Sans"/>
          <w:color w:val="102E3B"/>
          <w:sz w:val="20"/>
          <w:szCs w:val="20"/>
          <w:highlight w:val="yellow"/>
        </w:rPr>
        <w:t xml:space="preserve">[semanalmente]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Cada documento lleva una referencia para que pueda vincularse con su transacción.</w:t>
      </w:r>
    </w:p>
    <w:p>
      <w:pPr>
        <w:pStyle w:val="ListParagraph"/>
        <w:numPr>
          <w:ilvl w:val="0"/>
          <w:numId w:val="3"/>
        </w:numPr>
        <w:spacing w:after="80" w:line="290"/>
      </w:pPr>
      <w:r>
        <w:rPr>
          <w:rFonts w:ascii="Nunito Sans" w:cs="Nunito Sans" w:eastAsia="Nunito Sans" w:hAnsi="Nunito Sans"/>
          <w:color w:val="102E3B"/>
          <w:sz w:val="20"/>
          <w:szCs w:val="20"/>
        </w:rPr>
        <w:t xml:space="preserve">Los registros de nómina y de pagos a participantes contienen información personal. El acceso se limita a las personas que lo necesitan,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Un incumplimiento de esta política, como aprobar su propio pago, usar una cuenta personal u omitir una aprobación, puede dar lugar a medidas disciplinarias, al fin de un rol o de un contrato y a la recuperación de cualquier pérdida. Informe de cualquier incumplimiento o preocupación a la persona responsable de finanzas o a la persona tesorera. Si sospecha un fraude, siga nuestra Política y Procedimiento contra el Fraude, el Soborno y la Corrupción.</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La persona tesorera informa al órgano de gobierno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sobre si estos controles funcionan, incluidas las conciliaciones atrasadas y cualquier excepción aprobada. El órgano de gobierno revisa esta política </w:t>
      </w:r>
      <w:r>
        <w:rPr>
          <w:rFonts w:ascii="Nunito Sans" w:cs="Nunito Sans" w:eastAsia="Nunito Sans" w:hAnsi="Nunito Sans"/>
          <w:color w:val="102E3B"/>
          <w:sz w:val="20"/>
          <w:szCs w:val="20"/>
          <w:highlight w:val="yellow"/>
        </w:rPr>
        <w:t xml:space="preserve">[cada año]</w:t>
      </w:r>
      <w:r>
        <w:rPr>
          <w:rFonts w:ascii="Nunito Sans" w:cs="Nunito Sans" w:eastAsia="Nunito Sans" w:hAnsi="Nunito Sans"/>
          <w:color w:val="102E3B"/>
          <w:sz w:val="20"/>
          <w:szCs w:val="20"/>
        </w:rPr>
        <w:t xml:space="preserve">, y después de cualquier hallazgo de auditoría, pérdida o cambio importante en nuestra financiación.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Gastos y Viáticos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Reservas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Conflictos de Interés</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[Acuerdos de subvención y normas financieras de los financiadores]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Procedimientos Financieros</w:t>
      </w:r>
    </w:p>
    <w:p>
      <w:pPr>
        <w:pStyle w:val="Heading1"/>
        <w:keepNext/>
        <w:spacing w:after="160" w:before="360"/>
      </w:pPr>
      <w:r>
        <w:rPr>
          <w:rFonts w:ascii="DM Serif Display" w:cs="DM Serif Display" w:eastAsia="DM Serif Display" w:hAnsi="DM Serif Display"/>
          <w:color w:val="123C48"/>
          <w:sz w:val="40"/>
          <w:szCs w:val="40"/>
        </w:rPr>
        <w:t xml:space="preserve">Reconocimiento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Controles Financieros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 cumpliré siempre que presupueste, gaste, apruebe, reciba o registre dinero para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Nunca usaré una cuenta personal para nuestros fondos ni aprobaré un pago a mi favor, e informaré de inmediato de cualquier preocupación.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Resumen de límites</w:t>
      </w:r>
    </w:p>
    <w:p>
      <w:pPr>
        <w:spacing w:after="120" w:before="0" w:line="300"/>
      </w:pPr>
      <w:r>
        <w:rPr>
          <w:rFonts w:ascii="Nunito Sans" w:cs="Nunito Sans" w:eastAsia="Nunito Sans" w:hAnsi="Nunito Sans"/>
          <w:color w:val="102E3B"/>
          <w:sz w:val="20"/>
          <w:szCs w:val="20"/>
        </w:rPr>
        <w:t xml:space="preserve">Todos los importes son ilustrativos. Fíjelos con su contador y haga que coincidan con su Matriz de Delegación de Autoridad.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LÍMITE (ILUSTRATIVO)</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Fondo de caja chica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[300 USD]</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 individual de caja chica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[50 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Activos anotados en el registro</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[300 USD]</w:t>
            </w:r>
            <w:r>
              <w:rPr>
                <w:rFonts w:ascii="Nunito Sans" w:cs="Nunito Sans" w:eastAsia="Nunito Sans" w:hAnsi="Nunito Sans"/>
                <w:color w:val="102E3B"/>
                <w:sz w:val="18"/>
                <w:szCs w:val="18"/>
              </w:rPr>
              <w:t xml:space="preserve">, y todos los portátiles, teléfonos y vehículos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Pagos incluidos en la lista para el órgano de gobierno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 </w:t>
            </w:r>
            <w:r>
              <w:rPr>
                <w:rFonts w:ascii="Nunito Sans" w:cs="Nunito Sans" w:eastAsia="Nunito Sans" w:hAnsi="Nunito Sans"/>
                <w:color w:val="102E3B"/>
                <w:sz w:val="18"/>
                <w:szCs w:val="18"/>
                <w:highlight w:val="yellow"/>
              </w:rPr>
              <w:t xml:space="preserve">[500 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Exceso de gasto en una partida presupuestaria que necesita aprobación</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Más del </w:t>
            </w:r>
            <w:r>
              <w:rPr>
                <w:rFonts w:ascii="Nunito Sans" w:cs="Nunito Sans" w:eastAsia="Nunito Sans" w:hAnsi="Nunito Sans"/>
                <w:color w:val="102E3B"/>
                <w:sz w:val="18"/>
                <w:szCs w:val="18"/>
                <w:highlight w:val="yellow"/>
              </w:rPr>
              <w:t xml:space="preserve">[10 %]</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Depósito en el banco del efectivo recibido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 días hábiles]</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Justificación de los anticipos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siguientes a la actividad o el viaje</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Conciliaciones mensuales completadas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más tardar el </w:t>
            </w:r>
            <w:r>
              <w:rPr>
                <w:rFonts w:ascii="Nunito Sans" w:cs="Nunito Sans" w:eastAsia="Nunito Sans" w:hAnsi="Nunito Sans"/>
                <w:color w:val="102E3B"/>
                <w:sz w:val="18"/>
                <w:szCs w:val="18"/>
                <w:highlight w:val="yellow"/>
              </w:rPr>
              <w:t xml:space="preserve">[10.º]</w:t>
            </w:r>
            <w:r>
              <w:rPr>
                <w:rFonts w:ascii="Nunito Sans" w:cs="Nunito Sans" w:eastAsia="Nunito Sans" w:hAnsi="Nunito Sans"/>
                <w:color w:val="102E3B"/>
                <w:sz w:val="18"/>
                <w:szCs w:val="18"/>
              </w:rPr>
              <w:t xml:space="preserve"> día hábil</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de las conciliaciones por la persona tesorera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Conservación de los registros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[7 años]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Lista de pagos a participantes</w:t>
      </w:r>
    </w:p>
    <w:p>
      <w:pPr>
        <w:spacing w:after="120" w:before="0" w:line="300"/>
      </w:pPr>
      <w:r>
        <w:rPr>
          <w:rFonts w:ascii="Nunito Sans" w:cs="Nunito Sans" w:eastAsia="Nunito Sans" w:hAnsi="Nunito Sans"/>
          <w:color w:val="102E3B"/>
          <w:sz w:val="20"/>
          <w:szCs w:val="20"/>
        </w:rPr>
        <w:t xml:space="preserve">Use una lista por actividad. Adjúntela al comprobante de pago y a la lista de asistencia.</w:t>
      </w:r>
    </w:p>
    <w:p>
      <w:pPr>
        <w:spacing w:after="120" w:before="0" w:line="300"/>
      </w:pPr>
      <w:r>
        <w:rPr>
          <w:rFonts w:ascii="Nunito Sans" w:cs="Nunito Sans" w:eastAsia="Nunito Sans" w:hAnsi="Nunito Sans"/>
          <w:color w:val="102E3B"/>
          <w:sz w:val="20"/>
          <w:szCs w:val="20"/>
        </w:rPr>
        <w:t xml:space="preserve">Actividad: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Lugar: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 Partida presupuestaria: </w:t>
      </w:r>
      <w:r>
        <w:rPr>
          <w:rFonts w:ascii="Nunito Sans" w:cs="Nunito Sans" w:eastAsia="Nunito Sans" w:hAnsi="Nunito Sans"/>
          <w:color w:val="102E3B"/>
          <w:sz w:val="20"/>
          <w:szCs w:val="20"/>
          <w:highlight w:val="yellow"/>
        </w:rPr>
        <w:t xml:space="preserve">[código]</w:t>
      </w:r>
      <w:r>
        <w:rPr>
          <w:rFonts w:ascii="Nunito Sans" w:cs="Nunito Sans" w:eastAsia="Nunito Sans" w:hAnsi="Nunito Sans"/>
          <w:color w:val="102E3B"/>
          <w:sz w:val="20"/>
          <w:szCs w:val="20"/>
        </w:rPr>
        <w:t xml:space="preserve"> · Pagado por: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Método: </w:t>
      </w:r>
      <w:r>
        <w:rPr>
          <w:rFonts w:ascii="Nunito Sans" w:cs="Nunito Sans" w:eastAsia="Nunito Sans" w:hAnsi="Nunito Sans"/>
          <w:color w:val="102E3B"/>
          <w:sz w:val="20"/>
          <w:szCs w:val="20"/>
          <w:highlight w:val="yellow"/>
        </w:rPr>
        <w:t xml:space="preserve">[efectivo / dinero móvil]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047"/>
        <w:gridCol w:w="1904"/>
        <w:gridCol w:w="1428"/>
        <w:gridCol w:w="2384"/>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 COMPLETO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TELÉFONO (SI ES DINERO MÓVIL)</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238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FIRMA O HUELLA DACTILAR</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Total pagado: </w:t>
      </w:r>
      <w:r>
        <w:rPr>
          <w:rFonts w:ascii="Nunito Sans" w:cs="Nunito Sans" w:eastAsia="Nunito Sans" w:hAnsi="Nunito Sans"/>
          <w:color w:val="102E3B"/>
          <w:sz w:val="20"/>
          <w:szCs w:val="20"/>
          <w:highlight w:val="yellow"/>
        </w:rPr>
        <w:t xml:space="preserve">[importe]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Pagado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Testigo: nombre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Controles Financieros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9B36D40-137A-916B-247C-B43601069BA6}"/>
  </w:font>
  <w:font w:name="DM Serif Display">
    <w:family w:val="auto"/>
    <w:pitch w:val="variable"/>
    <w:sig w:usb0="E0002AFF" w:usb1="C000247B" w:usb2="00000009" w:usb3="00000000" w:csb0="000001FF" w:csb1="00000000"/>
    <w:embedRegular r:id="rId2" w:fontKey="{7B88F3E5-F92A-0317-0E44-56BC566EB06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Controles Financieros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CONTROLES FINANCIEROS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Controles Financieros</dc:title>
  <dc:creator>Method into Impact</dc:creator>
  <dc:description>Las normas que sigue [[Nombre de la organización]] para planificar, aprobar, pagar, registrar e informar de cada unidad de dinero, de modo que los fondos estén seguros, se usen según lo acordado y sea fácil rendir cuentas de ellos.</dc:description>
  <cp:lastModifiedBy>Un-named</cp:lastModifiedBy>
  <cp:revision>1</cp:revision>
  <dcterms:created xsi:type="dcterms:W3CDTF">2026-10-29T06:03:17.731Z</dcterms:created>
  <dcterms:modified xsi:type="dcterms:W3CDTF">2026-10-29T06:03:17.731Z</dcterms:modified>
</cp:coreProperties>
</file>

<file path=docProps/custom.xml><?xml version="1.0" encoding="utf-8"?>
<Properties xmlns="http://schemas.openxmlformats.org/officeDocument/2006/custom-properties" xmlns:vt="http://schemas.openxmlformats.org/officeDocument/2006/docPropsVTypes"/>
</file>