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FRAUDE, SOBORNO Y CORRUPCIÓN</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y Procedimiento contra el Fraude, el Soborno y la Corrupción</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previene, detecta y responde al fraude, el robo, el soborno, la corrupción, el blanqueo de capitales y el uso indebido de fondos, con un plan de respuesta al fraude paso a paso.</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Los financiadores, los bancos y las organizaciones socias esperan que toda organización que gestiona dinero demuestre cómo previene y aborda el fraude y el soborno. Esta plantilla le ofrece una posición clara de tolerancia cero, controles prácticos para un equipo pequeño, una lista de señales de alerta y un plan de respuesta al fraude con plazos. También trata los pagos realizados bajo amenaza y qué informar a los financiadores y cuándo.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en la debida diligencia y en los acuerdos de subvención; agencias de la ONU y ONG internacionales antes de establecer una alianza; bancos y auditores;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3–4 horas para adaptarla; 30 minutos para que el órgano de gobierno la apruebe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9 (Gestión financiera) y Módulo 10 (Legal, cumplimiento, políticas y riesgos)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Código de Conducta · Política y Procedimiento de Denuncia de Irregularidades · Política de Conflictos de Interés · Política de Aceptación de Regalos y Donaciones · Política de Controles Financieros · Matriz de Delegación de Autoridad · Política de Compras y Contrataciones · Política de Debida Diligencia de Socios y Control de Sanciones · Acuerdo de Subvención a Socios · Registro de Riesgos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y Procedimiento contra el Fraude, el Soborno y la Corrupción</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 y 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personas en prácticas, miembros del órgano de gobierno, contratistas y consultores, y organizaciones socias y proveedores que gestionan nuestros fondos o actúan en nuestro nombre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[finanzas@tuorganizacion.org]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[preocupaciones@tuorganizacion.org]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Nuestra posición</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entendemos por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denunciar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Declaración de conformidad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Plan de respuesta al fraude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Registro de un pago realizado bajo coacción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Funciones y responsabilidades</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Esta es la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esta política: establece lo que hacemos ahora y quién lo hace. La ampliaremos a medida que crezcamos y aumente nuestro equipo de finanzas. Hasta entonces: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la persona responsable antifraude.</w:t>
            </w:r>
            <w:r>
              <w:rPr>
                <w:rFonts w:ascii="Nunito Sans" w:cs="Nunito Sans" w:eastAsia="Nunito Sans" w:hAnsi="Nunito Sans"/>
                <w:color w:val="102E3B"/>
                <w:sz w:val="19"/>
                <w:szCs w:val="19"/>
              </w:rPr>
              <w:t xml:space="preserve"> Recibe las denuncias, pone en marcha el plan de respuesta al fraude, informa a los financiadores y mantiene los registros de casos que se describen aquí.</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nuestro segundo contacto.</w:t>
            </w:r>
            <w:r>
              <w:rPr>
                <w:rFonts w:ascii="Nunito Sans" w:cs="Nunito Sans" w:eastAsia="Nunito Sans" w:hAnsi="Nunito Sans"/>
                <w:color w:val="102E3B"/>
                <w:sz w:val="19"/>
                <w:szCs w:val="19"/>
              </w:rPr>
              <w:t xml:space="preserve"> Suele ser </w:t>
            </w:r>
            <w:r>
              <w:rPr>
                <w:rFonts w:ascii="Nunito Sans" w:cs="Nunito Sans" w:eastAsia="Nunito Sans" w:hAnsi="Nunito Sans"/>
                <w:color w:val="102E3B"/>
                <w:sz w:val="19"/>
                <w:szCs w:val="19"/>
                <w:highlight w:val="yellow"/>
              </w:rPr>
              <w:t xml:space="preserve">[la tesorería / la presidencia / un miembro del órgano de gobierno]</w:t>
            </w:r>
            <w:r>
              <w:rPr>
                <w:rFonts w:ascii="Nunito Sans" w:cs="Nunito Sans" w:eastAsia="Nunito Sans" w:hAnsi="Nunito Sans"/>
                <w:color w:val="102E3B"/>
                <w:sz w:val="19"/>
                <w:szCs w:val="19"/>
              </w:rPr>
              <w:t xml:space="preserve">. Gestiona cualquier denuncia sobre la persona responsable antifraude, o en la que esta esté implicada, y atiende los casos urgentes cuando no se puede localizar a la persona responsable antifraude durante más de </w:t>
            </w:r>
            <w:r>
              <w:rPr>
                <w:rFonts w:ascii="Nunito Sans" w:cs="Nunito Sans" w:eastAsia="Nunito Sans" w:hAnsi="Nunito Sans"/>
                <w:color w:val="102E3B"/>
                <w:sz w:val="19"/>
                <w:szCs w:val="19"/>
                <w:highlight w:val="yellow"/>
              </w:rPr>
              <w:t xml:space="preserve">[48 horas]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El órgano de gobierno</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[patronato / junta directiva / comité]</w:t>
            </w:r>
            <w:r>
              <w:rPr>
                <w:rFonts w:ascii="Nunito Sans" w:cs="Nunito Sans" w:eastAsia="Nunito Sans" w:hAnsi="Nunito Sans"/>
                <w:color w:val="102E3B"/>
                <w:sz w:val="19"/>
                <w:szCs w:val="19"/>
              </w:rPr>
              <w:t xml:space="preserve"> recibe un informe de cada caso confirmado y un resumen anual.</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después de cualquier fraude confirmado y cuando nuestra financiación o nuestras actividades cambian de forma significativa.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Nombra a personas reales. En una organización pequeña, la dirección suele liderar el tema del fraude porque gestiona el presupuesto. El segundo contacto debe ser alguien que no dependa de la dirección, como la persona que ocupa la tesorería u otro miembro del órgano de gobierno. Si la persona tesorera también tiene firma en el banco, no hay problema, pero entonces una preocupación sobre ella debe dirigirse a la presidencia. Deja por escrito la cadena para que una denuncia siempre tenga un lugar seguro adonde ir.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Tenemos tolerancia cero con el fraude, el robo, el soborno, la corrupción, el blanqueo de capitales y la financiación del terrorismo, por parte de cualquier persona y en cualquier forma.</w:t>
            </w:r>
          </w:p>
          <w:p>
            <w:pPr>
              <w:pStyle w:val="ListParagraph"/>
              <w:numPr>
                <w:ilvl w:val="0"/>
                <w:numId w:val="3"/>
              </w:numPr>
              <w:spacing w:after="80" w:line="290"/>
            </w:pPr>
            <w:r>
              <w:rPr>
                <w:rFonts w:ascii="Nunito Sans" w:cs="Nunito Sans" w:eastAsia="Nunito Sans" w:hAnsi="Nunito Sans"/>
                <w:color w:val="102E3B"/>
                <w:sz w:val="19"/>
                <w:szCs w:val="19"/>
              </w:rPr>
              <w:t xml:space="preserve">Nunca ofrecemos, pagamos, pedimos ni aceptamos sobornos, comisiones ilegales ni pagos de facilitación, aunque sean pequeños y aunque sean habituales.</w:t>
            </w:r>
          </w:p>
          <w:p>
            <w:pPr>
              <w:pStyle w:val="ListParagraph"/>
              <w:numPr>
                <w:ilvl w:val="0"/>
                <w:numId w:val="3"/>
              </w:numPr>
              <w:spacing w:after="80" w:line="290"/>
            </w:pPr>
            <w:r>
              <w:rPr>
                <w:rFonts w:ascii="Nunito Sans" w:cs="Nunito Sans" w:eastAsia="Nunito Sans" w:hAnsi="Nunito Sans"/>
                <w:color w:val="102E3B"/>
                <w:sz w:val="19"/>
                <w:szCs w:val="19"/>
              </w:rPr>
              <w:t xml:space="preserve">Si le amenazan con hacerle daño si no paga, su seguridad está primero: pague, póngase a salvo y después notifíquelo en un plazo de </w:t>
            </w:r>
            <w:r>
              <w:rPr>
                <w:rFonts w:ascii="Nunito Sans" w:cs="Nunito Sans" w:eastAsia="Nunito Sans" w:hAnsi="Nunito Sans"/>
                <w:color w:val="102E3B"/>
                <w:sz w:val="19"/>
                <w:szCs w:val="19"/>
                <w:highlight w:val="yellow"/>
              </w:rPr>
              <w:t xml:space="preserve">[24 horas]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Todo pago necesita dos personas, un recibo y una partida presupuestaria. Seguimos nuestra Política de Controles Financieros y nuestra Matriz de Delegación de Autoridad.</w:t>
            </w:r>
          </w:p>
          <w:p>
            <w:pPr>
              <w:pStyle w:val="ListParagraph"/>
              <w:numPr>
                <w:ilvl w:val="0"/>
                <w:numId w:val="3"/>
              </w:numPr>
              <w:spacing w:after="80" w:line="290"/>
            </w:pPr>
            <w:r>
              <w:rPr>
                <w:rFonts w:ascii="Nunito Sans" w:cs="Nunito Sans" w:eastAsia="Nunito Sans" w:hAnsi="Nunito Sans"/>
                <w:color w:val="102E3B"/>
                <w:sz w:val="19"/>
                <w:szCs w:val="19"/>
              </w:rPr>
              <w:t xml:space="preserve">Comunique cualquier sospecha de inmediato a </w:t>
            </w:r>
            <w:r>
              <w:rPr>
                <w:rFonts w:ascii="Nunito Sans" w:cs="Nunito Sans" w:eastAsia="Nunito Sans" w:hAnsi="Nunito Sans"/>
                <w:color w:val="102E3B"/>
                <w:sz w:val="19"/>
                <w:szCs w:val="19"/>
                <w:highlight w:val="yellow"/>
              </w:rPr>
              <w:t xml:space="preserve">[Nombre, cargo]</w:t>
            </w:r>
            <w:r>
              <w:rPr>
                <w:rFonts w:ascii="Nunito Sans" w:cs="Nunito Sans" w:eastAsia="Nunito Sans" w:hAnsi="Nunito Sans"/>
                <w:color w:val="102E3B"/>
                <w:sz w:val="19"/>
                <w:szCs w:val="19"/>
              </w:rPr>
              <w:t xml:space="preserve">. No necesita pruebas. No investigue por su cuenta.</w:t>
            </w:r>
          </w:p>
          <w:p>
            <w:pPr>
              <w:pStyle w:val="ListParagraph"/>
              <w:numPr>
                <w:ilvl w:val="0"/>
                <w:numId w:val="3"/>
              </w:numPr>
              <w:spacing w:after="80" w:line="290"/>
            </w:pPr>
            <w:r>
              <w:rPr>
                <w:rFonts w:ascii="Nunito Sans" w:cs="Nunito Sans" w:eastAsia="Nunito Sans" w:hAnsi="Nunito Sans"/>
                <w:color w:val="102E3B"/>
                <w:sz w:val="19"/>
                <w:szCs w:val="19"/>
              </w:rPr>
              <w:t xml:space="preserve">Aseguramos las pruebas, no alertamos a nadie, investigamos de forma justa e intentamos recuperar las pérdidas.</w:t>
            </w:r>
          </w:p>
          <w:p>
            <w:pPr>
              <w:pStyle w:val="ListParagraph"/>
              <w:numPr>
                <w:ilvl w:val="0"/>
                <w:numId w:val="3"/>
              </w:numPr>
              <w:spacing w:after="80" w:line="290"/>
            </w:pPr>
            <w:r>
              <w:rPr>
                <w:rFonts w:ascii="Nunito Sans" w:cs="Nunito Sans" w:eastAsia="Nunito Sans" w:hAnsi="Nunito Sans"/>
                <w:color w:val="102E3B"/>
                <w:sz w:val="19"/>
                <w:szCs w:val="19"/>
              </w:rPr>
              <w:t xml:space="preserve">Informamos a los financiadores en el plazo que fija su acuerdo, a menudo </w:t>
            </w:r>
            <w:r>
              <w:rPr>
                <w:rFonts w:ascii="Nunito Sans" w:cs="Nunito Sans" w:eastAsia="Nunito Sans" w:hAnsi="Nunito Sans"/>
                <w:color w:val="102E3B"/>
                <w:sz w:val="19"/>
                <w:szCs w:val="19"/>
                <w:highlight w:val="yellow"/>
              </w:rPr>
              <w:t xml:space="preserve">[24–72 horas]</w:t>
            </w:r>
            <w:r>
              <w:rPr>
                <w:rFonts w:ascii="Nunito Sans" w:cs="Nunito Sans" w:eastAsia="Nunito Sans" w:hAnsi="Nunito Sans"/>
                <w:color w:val="102E3B"/>
                <w:sz w:val="19"/>
                <w:szCs w:val="19"/>
              </w:rPr>
              <w:t xml:space="preserve"> desde la primera sospecha.</w:t>
            </w:r>
          </w:p>
          <w:p>
            <w:pPr>
              <w:pStyle w:val="ListParagraph"/>
              <w:numPr>
                <w:ilvl w:val="0"/>
                <w:numId w:val="3"/>
              </w:numPr>
              <w:spacing w:after="80" w:line="290"/>
            </w:pPr>
            <w:r>
              <w:rPr>
                <w:rFonts w:ascii="Nunito Sans" w:cs="Nunito Sans" w:eastAsia="Nunito Sans" w:hAnsi="Nunito Sans"/>
                <w:color w:val="102E3B"/>
                <w:sz w:val="19"/>
                <w:szCs w:val="19"/>
              </w:rPr>
              <w:t xml:space="preserve">Las organizaciones socias y los proveedores que gestionan nuestros fondos deben cumplir las mismas normas.</w:t>
            </w:r>
          </w:p>
          <w:p>
            <w:pPr>
              <w:pStyle w:val="ListParagraph"/>
              <w:numPr>
                <w:ilvl w:val="0"/>
                <w:numId w:val="3"/>
              </w:numPr>
              <w:spacing w:after="80" w:line="290"/>
            </w:pPr>
            <w:r>
              <w:rPr>
                <w:rFonts w:ascii="Nunito Sans" w:cs="Nunito Sans" w:eastAsia="Nunito Sans" w:hAnsi="Nunito Sans"/>
                <w:color w:val="102E3B"/>
                <w:sz w:val="19"/>
                <w:szCs w:val="19"/>
              </w:rPr>
              <w:t xml:space="preserve">Nadie recibe una sanción por denunciar de buena fe ni por negarse a pagar un soborno.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 todas las personas que trabajan con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o para ella:</w:t>
      </w:r>
    </w:p>
    <w:p>
      <w:pPr>
        <w:pStyle w:val="ListParagraph"/>
        <w:numPr>
          <w:ilvl w:val="0"/>
          <w:numId w:val="3"/>
        </w:numPr>
        <w:spacing w:after="80" w:line="290"/>
      </w:pPr>
      <w:r>
        <w:rPr>
          <w:rFonts w:ascii="Nunito Sans" w:cs="Nunito Sans" w:eastAsia="Nunito Sans" w:hAnsi="Nunito Sans"/>
          <w:b/>
          <w:bCs/>
          <w:color w:val="102E3B"/>
          <w:sz w:val="20"/>
          <w:szCs w:val="20"/>
        </w:rPr>
        <w:t xml:space="preserve">Personal:</w:t>
      </w:r>
      <w:r>
        <w:rPr>
          <w:rFonts w:ascii="Nunito Sans" w:cs="Nunito Sans" w:eastAsia="Nunito Sans" w:hAnsi="Nunito Sans"/>
          <w:color w:val="102E3B"/>
          <w:sz w:val="20"/>
          <w:szCs w:val="20"/>
        </w:rPr>
        <w:t xml:space="preserve"> todas las personas que empleamos, a tiempo completo, a tiempo parcial o de forma temporal.</w:t>
      </w:r>
    </w:p>
    <w:p>
      <w:pPr>
        <w:pStyle w:val="ListParagraph"/>
        <w:numPr>
          <w:ilvl w:val="0"/>
          <w:numId w:val="3"/>
        </w:numPr>
        <w:spacing w:after="80" w:line="290"/>
      </w:pPr>
      <w:r>
        <w:rPr>
          <w:rFonts w:ascii="Nunito Sans" w:cs="Nunito Sans" w:eastAsia="Nunito Sans" w:hAnsi="Nunito Sans"/>
          <w:b/>
          <w:bCs/>
          <w:color w:val="102E3B"/>
          <w:sz w:val="20"/>
          <w:szCs w:val="20"/>
        </w:rPr>
        <w:t xml:space="preserve">Personas voluntarias y en prácticas</w:t>
      </w:r>
      <w:r>
        <w:rPr>
          <w:rFonts w:ascii="Nunito Sans" w:cs="Nunito Sans" w:eastAsia="Nunito Sans" w:hAnsi="Nunito Sans"/>
          <w:color w:val="102E3B"/>
          <w:sz w:val="20"/>
          <w:szCs w:val="20"/>
        </w:rPr>
        <w:t xml:space="preserve">, desde el día en que empiezan.</w:t>
      </w:r>
    </w:p>
    <w:p>
      <w:pPr>
        <w:pStyle w:val="ListParagraph"/>
        <w:numPr>
          <w:ilvl w:val="0"/>
          <w:numId w:val="3"/>
        </w:numPr>
        <w:spacing w:after="80" w:line="290"/>
      </w:pPr>
      <w:r>
        <w:rPr>
          <w:rFonts w:ascii="Nunito Sans" w:cs="Nunito Sans" w:eastAsia="Nunito Sans" w:hAnsi="Nunito Sans"/>
          <w:b/>
          <w:bCs/>
          <w:color w:val="102E3B"/>
          <w:sz w:val="20"/>
          <w:szCs w:val="20"/>
        </w:rPr>
        <w:t xml:space="preserve">Miembros del órgano de gobierno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[patronato / junta directiva / comité]</w:t>
      </w:r>
      <w:r>
        <w:rPr>
          <w:rFonts w:ascii="Nunito Sans" w:cs="Nunito Sans" w:eastAsia="Nunito Sans" w:hAnsi="Nunito Sans"/>
          <w:color w:val="102E3B"/>
          <w:sz w:val="20"/>
          <w:szCs w:val="20"/>
        </w:rPr>
        <w:t xml:space="preserve"> y personas asesoras.</w:t>
      </w:r>
    </w:p>
    <w:p>
      <w:pPr>
        <w:pStyle w:val="ListParagraph"/>
        <w:numPr>
          <w:ilvl w:val="0"/>
          <w:numId w:val="3"/>
        </w:numPr>
        <w:spacing w:after="80" w:line="290"/>
      </w:pPr>
      <w:r>
        <w:rPr>
          <w:rFonts w:ascii="Nunito Sans" w:cs="Nunito Sans" w:eastAsia="Nunito Sans" w:hAnsi="Nunito Sans"/>
          <w:b/>
          <w:bCs/>
          <w:color w:val="102E3B"/>
          <w:sz w:val="20"/>
          <w:szCs w:val="20"/>
        </w:rPr>
        <w:t xml:space="preserve">Contratistas y consultores</w:t>
      </w:r>
      <w:r>
        <w:rPr>
          <w:rFonts w:ascii="Nunito Sans" w:cs="Nunito Sans" w:eastAsia="Nunito Sans" w:hAnsi="Nunito Sans"/>
          <w:color w:val="102E3B"/>
          <w:sz w:val="20"/>
          <w:szCs w:val="20"/>
        </w:rPr>
        <w:t xml:space="preserve"> a quienes pagamos para que realicen trabajos para nosotros.</w:t>
      </w:r>
    </w:p>
    <w:p>
      <w:pPr>
        <w:pStyle w:val="ListParagraph"/>
        <w:numPr>
          <w:ilvl w:val="0"/>
          <w:numId w:val="3"/>
        </w:numPr>
        <w:spacing w:after="80" w:line="290"/>
      </w:pPr>
      <w:r>
        <w:rPr>
          <w:rFonts w:ascii="Nunito Sans" w:cs="Nunito Sans" w:eastAsia="Nunito Sans" w:hAnsi="Nunito Sans"/>
          <w:b/>
          <w:bCs/>
          <w:color w:val="102E3B"/>
          <w:sz w:val="20"/>
          <w:szCs w:val="20"/>
        </w:rPr>
        <w:t xml:space="preserve">Organizaciones socias, subreceptoras de fondos y proveedores</w:t>
      </w:r>
      <w:r>
        <w:rPr>
          <w:rFonts w:ascii="Nunito Sans" w:cs="Nunito Sans" w:eastAsia="Nunito Sans" w:hAnsi="Nunito Sans"/>
          <w:color w:val="102E3B"/>
          <w:sz w:val="20"/>
          <w:szCs w:val="20"/>
        </w:rPr>
        <w:t xml:space="preserve"> que reciben, gastan o gestionan nuestros fondos, o actúan en nuestro nombre. Sus acuerdos les exigen cumplir esta política u otra equivalente.</w:t>
      </w:r>
    </w:p>
    <w:p>
      <w:pPr>
        <w:spacing w:after="120" w:before="0" w:line="300"/>
      </w:pPr>
      <w:r>
        <w:rPr>
          <w:rFonts w:ascii="Nunito Sans" w:cs="Nunito Sans" w:eastAsia="Nunito Sans" w:hAnsi="Nunito Sans"/>
          <w:color w:val="102E3B"/>
          <w:sz w:val="20"/>
          <w:szCs w:val="20"/>
        </w:rPr>
        <w:t xml:space="preserve">Cubre todo el dinero y los bienes que tenemos o controlamos: subvenciones, donaciones, ingresos propios, efectivo, dinero móvil, equipos, vehículos, existencias y datos. Se aplica en todos los lugares donde trabajamos, en todo momento, también en línea.</w:t>
      </w:r>
    </w:p>
    <w:p>
      <w:pPr>
        <w:spacing w:after="120" w:before="0" w:line="300"/>
      </w:pPr>
      <w:r>
        <w:rPr>
          <w:rFonts w:ascii="Nunito Sans" w:cs="Nunito Sans" w:eastAsia="Nunito Sans" w:hAnsi="Nunito Sans"/>
          <w:b/>
          <w:bCs/>
          <w:color w:val="102E3B"/>
          <w:sz w:val="20"/>
          <w:szCs w:val="20"/>
        </w:rPr>
        <w:t xml:space="preserve">Legislación.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sus leyes sobre fraude, soborno, corrupción, blanqueo de capitales y sanciones. Cuando trabajamos en otros países, o con financiadores con sede en otros países, también cumplimos las leyes que se aplican allí. Cuando las normas difieren, aplicamos la más estricta. Si la política de un financiador o de una organización socia es más estricta que esta, la norma más estricta se aplica a sus fondos.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LEGISLACIÓN Y PAÍSES</w:t>
            </w:r>
          </w:p>
          <w:p>
            <w:pPr>
              <w:spacing w:after="120" w:before="0" w:line="300"/>
            </w:pPr>
            <w:r>
              <w:rPr>
                <w:rFonts w:ascii="Nunito Sans" w:cs="Nunito Sans" w:eastAsia="Nunito Sans" w:hAnsi="Nunito Sans"/>
                <w:color w:val="102E3B"/>
                <w:sz w:val="19"/>
                <w:szCs w:val="19"/>
              </w:rPr>
              <w:t xml:space="preserve">Indica tu país de registro y cualquier otro donde trabajes o tengas cuentas bancarias, y enumera las leyes principales. Ejemplos, que debes contrastar con los textos vigentes: Kenia, Anti-Corruption and Economic Crimes Act 2003 y Bribery Act 2016; Nigeria, Corrupt Practices and Other Related Offences Act 2000 y Money Laundering (Prevention and Prohibition) Act 2022; Sudáfrica, Prevention and Combating of Corrupt Activities Act 2004; India, Prevention of Corruption Act 1988 (modificada en 2018); Brasil, Ley 12.846 de 2013 (Lei Anticorrupção, también conocida como Clean Company Act). Algunas leyes tienen alcance más allá de sus fronteras. La UK Bribery Act 2010 puede aplicarse a organizaciones que realizan actividades en el Reino Unido, sin importar dónde se pague el soborno, y no admite ninguna excepción para los pagos de facilitación. La Foreign Corrupt Practices Act (FCPA) de Estados Unidos puede aplicarse a organizaciones y personas estadounidenses, y a otras que actúen en territorio de Estados Unidos. Contiene una excepción limitada para los pagos de facilitación, y en 2025 el Departamento de Justicia de Estados Unidos redujo sus prioridades de aplicación, pero la ley sigue vigente y, en cualquier caso, esta política prohíbe los pagos de facilitación. Si tienes financiación, personal o miembros del órgano de gobierno del Reino Unido o de Estados Unidos, consulta a un abogado si estas leyes se te aplican. Nombra solo las leyes que se apliquen a tu organización.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Nuestra posición</w:t>
      </w:r>
    </w:p>
    <w:p>
      <w:pPr>
        <w:spacing w:after="120" w:before="0" w:line="300"/>
      </w:pPr>
      <w:r>
        <w:rPr>
          <w:rFonts w:ascii="Nunito Sans" w:cs="Nunito Sans" w:eastAsia="Nunito Sans" w:hAnsi="Nunito Sans"/>
          <w:color w:val="102E3B"/>
          <w:sz w:val="20"/>
          <w:szCs w:val="20"/>
        </w:rPr>
        <w:t xml:space="preserve">Cada unidad de dinero que tenemos se nos confió. El fraude y la corrupción quitan recursos a las personas para las que existimos, y pueden acabar con relaciones de financiación y con la confianza de la comunidad.</w:t>
      </w:r>
    </w:p>
    <w:p>
      <w:pPr>
        <w:pStyle w:val="ListParagraph"/>
        <w:numPr>
          <w:ilvl w:val="0"/>
          <w:numId w:val="4"/>
        </w:numPr>
        <w:spacing w:after="80" w:line="290"/>
      </w:pPr>
      <w:r>
        <w:rPr>
          <w:rFonts w:ascii="Nunito Sans" w:cs="Nunito Sans" w:eastAsia="Nunito Sans" w:hAnsi="Nunito Sans"/>
          <w:color w:val="102E3B"/>
          <w:sz w:val="20"/>
          <w:szCs w:val="20"/>
        </w:rPr>
        <w:t xml:space="preserve">Tenemos </w:t>
      </w:r>
      <w:r>
        <w:rPr>
          <w:rFonts w:ascii="Nunito Sans" w:cs="Nunito Sans" w:eastAsia="Nunito Sans" w:hAnsi="Nunito Sans"/>
          <w:b/>
          <w:bCs/>
          <w:color w:val="102E3B"/>
          <w:sz w:val="20"/>
          <w:szCs w:val="20"/>
        </w:rPr>
        <w:t xml:space="preserve">tolerancia cero</w:t>
      </w:r>
      <w:r>
        <w:rPr>
          <w:rFonts w:ascii="Nunito Sans" w:cs="Nunito Sans" w:eastAsia="Nunito Sans" w:hAnsi="Nunito Sans"/>
          <w:color w:val="102E3B"/>
          <w:sz w:val="20"/>
          <w:szCs w:val="20"/>
        </w:rPr>
        <w:t xml:space="preserve"> con el fraude, el robo, el soborno, la corrupción, la extorsión, el blanqueo de capitales y la financiación del terrorismo. Esto se aplica tanto si se hace directamente como a través de terceros, como un agente, una organización socia o un proveedor.</w:t>
      </w:r>
    </w:p>
    <w:p>
      <w:pPr>
        <w:pStyle w:val="ListParagraph"/>
        <w:numPr>
          <w:ilvl w:val="0"/>
          <w:numId w:val="4"/>
        </w:numPr>
        <w:spacing w:after="80" w:line="290"/>
      </w:pPr>
      <w:r>
        <w:rPr>
          <w:rFonts w:ascii="Nunito Sans" w:cs="Nunito Sans" w:eastAsia="Nunito Sans" w:hAnsi="Nunito Sans"/>
          <w:color w:val="102E3B"/>
          <w:sz w:val="20"/>
          <w:szCs w:val="20"/>
        </w:rPr>
        <w:t xml:space="preserve">Tolerancia cero significa que </w:t>
      </w:r>
      <w:r>
        <w:rPr>
          <w:rFonts w:ascii="Nunito Sans" w:cs="Nunito Sans" w:eastAsia="Nunito Sans" w:hAnsi="Nunito Sans"/>
          <w:b/>
          <w:bCs/>
          <w:color w:val="102E3B"/>
          <w:sz w:val="20"/>
          <w:szCs w:val="20"/>
        </w:rPr>
        <w:t xml:space="preserve">siempre actuamos</w:t>
      </w:r>
      <w:r>
        <w:rPr>
          <w:rFonts w:ascii="Nunito Sans" w:cs="Nunito Sans" w:eastAsia="Nunito Sans" w:hAnsi="Nunito Sans"/>
          <w:color w:val="102E3B"/>
          <w:sz w:val="20"/>
          <w:szCs w:val="20"/>
        </w:rPr>
        <w:t xml:space="preserve"> ante una sospecha razonable. No significa que presumamos la culpabilidad.</w:t>
      </w:r>
    </w:p>
    <w:p>
      <w:pPr>
        <w:pStyle w:val="ListParagraph"/>
        <w:numPr>
          <w:ilvl w:val="0"/>
          <w:numId w:val="4"/>
        </w:numPr>
        <w:spacing w:after="80" w:line="290"/>
      </w:pPr>
      <w:r>
        <w:rPr>
          <w:rFonts w:ascii="Nunito Sans" w:cs="Nunito Sans" w:eastAsia="Nunito Sans" w:hAnsi="Nunito Sans"/>
          <w:b/>
          <w:bCs/>
          <w:color w:val="102E3B"/>
          <w:sz w:val="20"/>
          <w:szCs w:val="20"/>
        </w:rPr>
        <w:t xml:space="preserve">Nunca pagamos sobornos ni pagos de facilitación</w:t>
      </w:r>
      <w:r>
        <w:rPr>
          <w:rFonts w:ascii="Nunito Sans" w:cs="Nunito Sans" w:eastAsia="Nunito Sans" w:hAnsi="Nunito Sans"/>
          <w:color w:val="102E3B"/>
          <w:sz w:val="20"/>
          <w:szCs w:val="20"/>
        </w:rPr>
        <w:t xml:space="preserve">, aunque eso cause retrasos o la pérdida de oportunidades.</w:t>
      </w:r>
    </w:p>
    <w:p>
      <w:pPr>
        <w:pStyle w:val="ListParagraph"/>
        <w:numPr>
          <w:ilvl w:val="0"/>
          <w:numId w:val="4"/>
        </w:numPr>
        <w:spacing w:after="80" w:line="290"/>
      </w:pPr>
      <w:r>
        <w:rPr>
          <w:rFonts w:ascii="Nunito Sans" w:cs="Nunito Sans" w:eastAsia="Nunito Sans" w:hAnsi="Nunito Sans"/>
          <w:color w:val="102E3B"/>
          <w:sz w:val="20"/>
          <w:szCs w:val="20"/>
        </w:rPr>
        <w:t xml:space="preserve">Todas las personas </w:t>
      </w:r>
      <w:r>
        <w:rPr>
          <w:rFonts w:ascii="Nunito Sans" w:cs="Nunito Sans" w:eastAsia="Nunito Sans" w:hAnsi="Nunito Sans"/>
          <w:b/>
          <w:bCs/>
          <w:color w:val="102E3B"/>
          <w:sz w:val="20"/>
          <w:szCs w:val="20"/>
        </w:rPr>
        <w:t xml:space="preserve">ayudan a prevenir y a denunciar</w:t>
      </w:r>
      <w:r>
        <w:rPr>
          <w:rFonts w:ascii="Nunito Sans" w:cs="Nunito Sans" w:eastAsia="Nunito Sans" w:hAnsi="Nunito Sans"/>
          <w:color w:val="102E3B"/>
          <w:sz w:val="20"/>
          <w:szCs w:val="20"/>
        </w:rPr>
        <w:t xml:space="preserve"> las irregularidades. Quien conocía un fraude y no hizo nada también puede enfrentarse a medidas.</w:t>
      </w:r>
    </w:p>
    <w:p>
      <w:pPr>
        <w:pStyle w:val="ListParagraph"/>
        <w:numPr>
          <w:ilvl w:val="0"/>
          <w:numId w:val="4"/>
        </w:numPr>
        <w:spacing w:after="80" w:line="290"/>
      </w:pPr>
      <w:r>
        <w:rPr>
          <w:rFonts w:ascii="Nunito Sans" w:cs="Nunito Sans" w:eastAsia="Nunito Sans" w:hAnsi="Nunito Sans"/>
          <w:b/>
          <w:bCs/>
          <w:color w:val="102E3B"/>
          <w:sz w:val="20"/>
          <w:szCs w:val="20"/>
        </w:rPr>
        <w:t xml:space="preserve">Informamos a los financiadores y a las autoridades</w:t>
      </w:r>
      <w:r>
        <w:rPr>
          <w:rFonts w:ascii="Nunito Sans" w:cs="Nunito Sans" w:eastAsia="Nunito Sans" w:hAnsi="Nunito Sans"/>
          <w:color w:val="102E3B"/>
          <w:sz w:val="20"/>
          <w:szCs w:val="20"/>
        </w:rPr>
        <w:t xml:space="preserve"> cuando los acuerdos o la ley lo exigen, e </w:t>
      </w:r>
      <w:r>
        <w:rPr>
          <w:rFonts w:ascii="Nunito Sans" w:cs="Nunito Sans" w:eastAsia="Nunito Sans" w:hAnsi="Nunito Sans"/>
          <w:b/>
          <w:bCs/>
          <w:color w:val="102E3B"/>
          <w:sz w:val="20"/>
          <w:szCs w:val="20"/>
        </w:rPr>
        <w:t xml:space="preserve">intentamos recuperar</w:t>
      </w:r>
      <w:r>
        <w:rPr>
          <w:rFonts w:ascii="Nunito Sans" w:cs="Nunito Sans" w:eastAsia="Nunito Sans" w:hAnsi="Nunito Sans"/>
          <w:color w:val="102E3B"/>
          <w:sz w:val="20"/>
          <w:szCs w:val="20"/>
        </w:rPr>
        <w:t xml:space="preserve"> todas las pérdidas.</w:t>
      </w:r>
    </w:p>
    <w:p>
      <w:pPr>
        <w:pStyle w:val="ListParagraph"/>
        <w:numPr>
          <w:ilvl w:val="0"/>
          <w:numId w:val="4"/>
        </w:numPr>
        <w:spacing w:after="80" w:line="290"/>
      </w:pPr>
      <w:r>
        <w:rPr>
          <w:rFonts w:ascii="Nunito Sans" w:cs="Nunito Sans" w:eastAsia="Nunito Sans" w:hAnsi="Nunito Sans"/>
          <w:b/>
          <w:bCs/>
          <w:color w:val="102E3B"/>
          <w:sz w:val="20"/>
          <w:szCs w:val="20"/>
        </w:rPr>
        <w:t xml:space="preserve">Nadie recibe una sanción</w:t>
      </w:r>
      <w:r>
        <w:rPr>
          <w:rFonts w:ascii="Nunito Sans" w:cs="Nunito Sans" w:eastAsia="Nunito Sans" w:hAnsi="Nunito Sans"/>
          <w:color w:val="102E3B"/>
          <w:sz w:val="20"/>
          <w:szCs w:val="20"/>
        </w:rPr>
        <w:t xml:space="preserve"> por negarse a un soborno ni por denunciar una preocupación genuina, aunque resulte infundada.</w:t>
      </w:r>
    </w:p>
    <w:p>
      <w:pPr>
        <w:pStyle w:val="Heading1"/>
        <w:keepNext/>
        <w:spacing w:after="160" w:before="360"/>
      </w:pPr>
      <w:r>
        <w:rPr>
          <w:rFonts w:ascii="DM Serif Display" w:cs="DM Serif Display" w:eastAsia="DM Serif Display" w:hAnsi="DM Serif Display"/>
          <w:color w:val="123C48"/>
          <w:sz w:val="40"/>
          <w:szCs w:val="40"/>
        </w:rPr>
        <w:t xml:space="preserve">Qué entendemos por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3809"/>
        <w:gridCol w:w="3620"/>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TÉRMINO</w:t>
            </w:r>
          </w:p>
        </w:tc>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SIGNIFICA</w:t>
            </w:r>
          </w:p>
        </w:tc>
        <w:tc>
          <w:tcPr>
            <w:tcW w:type="dxa" w:w="362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EJEMPLO EN NUESTRO TRABAJO</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Fraude</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Engañar a alguien para obtener algo o causar una pérdida, aunque no se consiga.</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Inflar una solicitud de reembolso de gastos, inventar participantes en una lista de asistencia, falsificar un recibo, informar de actividades que no se realizaron.</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Robo</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Tomar dinero o bienes sin permiso.</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Tomar dinero de la caja chica, quedarse con un portátil después de irse, vender suministros donados.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Soborno</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Ofrecer, dar, pedir o aceptar cualquier ventaja, no solo dinero, para que alguien actúe de forma indebida en su función.</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Pagar a un funcionario para que apruebe un registro, o que un proveedor ofrezca un teléfono a una persona del equipo para ganar un contrato.</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Pago de facilitación</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pequeño pago no oficial a un funcionario para que agilice un trámite rutinario que debería hacer de todos modos. Es una forma de soborno según esta política.</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Pagar a un agente de aduanas para que libere mercancías más rápido, o a un empleado público para que emita un permiso que ya corresponde.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Comisión ilegal</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Parte de un pago que se devuelve en secreto a la persona que lo gestionó.</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proveedor añade un 10 % a una factura y entrega esa cantidad a la persona del equipo que lo eligió.</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Corrupción</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Abusar de una posición de confianza para obtener un beneficio privado.</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Elegir un local propiedad de un amigo a un precio inflado.</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Extorsión</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Obtener dinero, trabajo o favores mediante amenazas o presiones.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grupo armado exige un pago para dejar pasar un vehículo por un puesto de control.</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Nepotismo y favoritismo</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Dar empleos, contratos o apoyo a familiares o amistades por la relación, no por méritos.</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Contratar a un primo sin un proceso abierto, o añadir a la familia de un amigo a una lista de personas que reciben apoyo.</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Blanqueo de capitales</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Ocultar el origen delictivo del dinero haciéndolo pasar por cuentas o actividades legítimas.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"donante" entrega una gran suma en efectivo y después pide que se le reembolse la mayor parte a otra cuenta.</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Financiación del terrorismo</w:t>
            </w:r>
          </w:p>
        </w:tc>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Proporcionar o recaudar fondos sabiendo o sospechando que pueden usarse para el terrorismo.</w:t>
            </w:r>
          </w:p>
        </w:tc>
        <w:tc>
          <w:tcPr>
            <w:tcW w:type="dxa" w:w="362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Fondos o bienes desviados a un grupo que figura en una lista de sanciones.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Uso indebido de fondos por organizaciones socias</w:t>
            </w:r>
          </w:p>
        </w:tc>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Que una organización socia o subreceptora use nuestros fondos para fines distintos de los acordados, o sin los registros adecuados.</w:t>
            </w:r>
          </w:p>
        </w:tc>
        <w:tc>
          <w:tcPr>
            <w:tcW w:type="dxa" w:w="362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organización socia imputa el mismo salario a dos financiadores, o usa fondos de formación para costos no relacionados sin aprobación.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DEFINICIONES Y LEGISLACIÓN LOCAL</w:t>
            </w:r>
          </w:p>
          <w:p>
            <w:pPr>
              <w:spacing w:after="120" w:before="0" w:line="300"/>
            </w:pPr>
            <w:r>
              <w:rPr>
                <w:rFonts w:ascii="Nunito Sans" w:cs="Nunito Sans" w:eastAsia="Nunito Sans" w:hAnsi="Nunito Sans"/>
                <w:color w:val="102E3B"/>
                <w:sz w:val="19"/>
                <w:szCs w:val="19"/>
              </w:rPr>
              <w:t xml:space="preserve">Estas definiciones en lenguaje sencillo pueden diferir de tu legislación nacional. Algunas leyes también cubren el soborno entre dos organizaciones privadas, no solo el de funcionarios públicos. Si el acuerdo de un financiador tiene sus propias definiciones, indica que esas se aplican a sus fondos. Sustituye los ejemplos por otros de tu trabajo, como entregas de efectivo, semillas o tasas escolares.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Política</w:t>
      </w:r>
    </w:p>
    <w:p>
      <w:pPr>
        <w:pStyle w:val="Heading2"/>
        <w:keepNext/>
        <w:spacing w:after="120" w:before="280"/>
      </w:pPr>
      <w:r>
        <w:rPr>
          <w:rFonts w:ascii="DM Serif Display" w:cs="DM Serif Display" w:eastAsia="DM Serif Display" w:hAnsi="DM Serif Display"/>
          <w:color w:val="123C48"/>
          <w:sz w:val="28"/>
          <w:szCs w:val="28"/>
        </w:rPr>
        <w:t xml:space="preserve">1. Soborno y pagos de facilitación</w:t>
      </w:r>
    </w:p>
    <w:p>
      <w:pPr>
        <w:pStyle w:val="ListParagraph"/>
        <w:numPr>
          <w:ilvl w:val="0"/>
          <w:numId w:val="3"/>
        </w:numPr>
        <w:spacing w:after="80" w:line="290"/>
      </w:pPr>
      <w:r>
        <w:rPr>
          <w:rFonts w:ascii="Nunito Sans" w:cs="Nunito Sans" w:eastAsia="Nunito Sans" w:hAnsi="Nunito Sans"/>
          <w:color w:val="102E3B"/>
          <w:sz w:val="20"/>
          <w:szCs w:val="20"/>
        </w:rPr>
        <w:t xml:space="preserve">Nunca ofrezca, prometa, dé, pida ni acepte un soborno, una comisión ilegal ni ninguna otra ventaja indebida, directamente o a través de terceros.</w:t>
      </w:r>
    </w:p>
    <w:p>
      <w:pPr>
        <w:pStyle w:val="ListParagraph"/>
        <w:numPr>
          <w:ilvl w:val="0"/>
          <w:numId w:val="3"/>
        </w:numPr>
        <w:spacing w:after="80" w:line="290"/>
      </w:pPr>
      <w:r>
        <w:rPr>
          <w:rFonts w:ascii="Nunito Sans" w:cs="Nunito Sans" w:eastAsia="Nunito Sans" w:hAnsi="Nunito Sans"/>
          <w:color w:val="102E3B"/>
          <w:sz w:val="20"/>
          <w:szCs w:val="20"/>
        </w:rPr>
        <w:t xml:space="preserve">Nunca haga un pago de facilitación, sea cual sea el importe y por habitual que sea en el lugar.</w:t>
      </w:r>
    </w:p>
    <w:p>
      <w:pPr>
        <w:pStyle w:val="ListParagraph"/>
        <w:numPr>
          <w:ilvl w:val="0"/>
          <w:numId w:val="3"/>
        </w:numPr>
        <w:spacing w:after="80" w:line="290"/>
      </w:pPr>
      <w:r>
        <w:rPr>
          <w:rFonts w:ascii="Nunito Sans" w:cs="Nunito Sans" w:eastAsia="Nunito Sans" w:hAnsi="Nunito Sans"/>
          <w:color w:val="102E3B"/>
          <w:sz w:val="20"/>
          <w:szCs w:val="20"/>
        </w:rPr>
        <w:t xml:space="preserve">Pague tasas oficiales solo cuando estén publicadas o establecidas por ley, y pida siempre un recibo oficial.</w:t>
      </w:r>
    </w:p>
    <w:p>
      <w:pPr>
        <w:pStyle w:val="ListParagraph"/>
        <w:numPr>
          <w:ilvl w:val="0"/>
          <w:numId w:val="3"/>
        </w:numPr>
        <w:spacing w:after="80" w:line="290"/>
      </w:pPr>
      <w:r>
        <w:rPr>
          <w:rFonts w:ascii="Nunito Sans" w:cs="Nunito Sans" w:eastAsia="Nunito Sans" w:hAnsi="Nunito Sans"/>
          <w:color w:val="102E3B"/>
          <w:sz w:val="20"/>
          <w:szCs w:val="20"/>
        </w:rPr>
        <w:t xml:space="preserve">Si le piden un pago no oficial, niéguese con educación, pregunte cuál es la base oficial de la tasa e informe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el mismo día.</w:t>
      </w:r>
    </w:p>
    <w:p>
      <w:pPr>
        <w:pStyle w:val="ListParagraph"/>
        <w:numPr>
          <w:ilvl w:val="0"/>
          <w:numId w:val="3"/>
        </w:numPr>
        <w:spacing w:after="80" w:line="290"/>
      </w:pPr>
      <w:r>
        <w:rPr>
          <w:rFonts w:ascii="Nunito Sans" w:cs="Nunito Sans" w:eastAsia="Nunito Sans" w:hAnsi="Nunito Sans"/>
          <w:color w:val="102E3B"/>
          <w:sz w:val="20"/>
          <w:szCs w:val="20"/>
        </w:rPr>
        <w:t xml:space="preserve">Nunca use a un agente, a un conductor o a una organización socia para hacer un pago que usted no podría hacer.</w:t>
      </w:r>
    </w:p>
    <w:p>
      <w:pPr>
        <w:pStyle w:val="ListParagraph"/>
        <w:numPr>
          <w:ilvl w:val="0"/>
          <w:numId w:val="3"/>
        </w:numPr>
        <w:spacing w:after="80" w:line="290"/>
      </w:pPr>
      <w:r>
        <w:rPr>
          <w:rFonts w:ascii="Nunito Sans" w:cs="Nunito Sans" w:eastAsia="Nunito Sans" w:hAnsi="Nunito Sans"/>
          <w:color w:val="102E3B"/>
          <w:sz w:val="20"/>
          <w:szCs w:val="20"/>
        </w:rPr>
        <w:t xml:space="preserve">Nunca haga donaciones a partidos políticos ni a candidaturas en nombre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2. Cuando su seguridad está en riesgo</w:t>
      </w:r>
    </w:p>
    <w:p>
      <w:pPr>
        <w:spacing w:after="120" w:before="0" w:line="300"/>
      </w:pPr>
      <w:r>
        <w:rPr>
          <w:rFonts w:ascii="Nunito Sans" w:cs="Nunito Sans" w:eastAsia="Nunito Sans" w:hAnsi="Nunito Sans"/>
          <w:color w:val="102E3B"/>
          <w:sz w:val="20"/>
          <w:szCs w:val="20"/>
        </w:rPr>
        <w:t xml:space="preserve">Su seguridad personal está siempre primero. Si usted, o alguien que le acompaña, se enfrenta a una amenaza real e inmediata para la vida, la salud o la libertad a menos que se haga un pago, puede pagar. Según esta política, esto no es un soborno. Es un pago realizado bajo coacción.</w:t>
      </w:r>
    </w:p>
    <w:p>
      <w:pPr>
        <w:pStyle w:val="ListParagraph"/>
        <w:numPr>
          <w:ilvl w:val="0"/>
          <w:numId w:val="5"/>
        </w:numPr>
        <w:spacing w:after="80" w:line="290"/>
      </w:pPr>
      <w:r>
        <w:rPr>
          <w:rFonts w:ascii="Nunito Sans" w:cs="Nunito Sans" w:eastAsia="Nunito Sans" w:hAnsi="Nunito Sans"/>
          <w:color w:val="102E3B"/>
          <w:sz w:val="20"/>
          <w:szCs w:val="20"/>
        </w:rPr>
        <w:t xml:space="preserve">Pague solo lo necesario para ponerse a salvo usted y las demás personas.</w:t>
      </w:r>
    </w:p>
    <w:p>
      <w:pPr>
        <w:pStyle w:val="ListParagraph"/>
        <w:numPr>
          <w:ilvl w:val="0"/>
          <w:numId w:val="5"/>
        </w:numPr>
        <w:spacing w:after="80" w:line="290"/>
      </w:pPr>
      <w:r>
        <w:rPr>
          <w:rFonts w:ascii="Nunito Sans" w:cs="Nunito Sans" w:eastAsia="Nunito Sans" w:hAnsi="Nunito Sans"/>
          <w:color w:val="102E3B"/>
          <w:sz w:val="20"/>
          <w:szCs w:val="20"/>
        </w:rPr>
        <w:t xml:space="preserve">Márchese en cuanto sea seguro hacerlo.</w:t>
      </w:r>
    </w:p>
    <w:p>
      <w:pPr>
        <w:pStyle w:val="ListParagraph"/>
        <w:numPr>
          <w:ilvl w:val="0"/>
          <w:numId w:val="5"/>
        </w:numPr>
        <w:spacing w:after="80" w:line="290"/>
      </w:pPr>
      <w:r>
        <w:rPr>
          <w:rFonts w:ascii="Nunito Sans" w:cs="Nunito Sans" w:eastAsia="Nunito Sans" w:hAnsi="Nunito Sans"/>
          <w:color w:val="102E3B"/>
          <w:sz w:val="20"/>
          <w:szCs w:val="20"/>
        </w:rPr>
        <w:t xml:space="preserve">Notifique el pago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o en cuanto esté a salvo. Use el formulario del anexo.</w:t>
      </w:r>
    </w:p>
    <w:p>
      <w:pPr>
        <w:pStyle w:val="ListParagraph"/>
        <w:numPr>
          <w:ilvl w:val="0"/>
          <w:numId w:val="5"/>
        </w:numPr>
        <w:spacing w:after="80" w:line="290"/>
      </w:pPr>
      <w:r>
        <w:rPr>
          <w:rFonts w:ascii="Nunito Sans" w:cs="Nunito Sans" w:eastAsia="Nunito Sans" w:hAnsi="Nunito Sans"/>
          <w:color w:val="102E3B"/>
          <w:sz w:val="20"/>
          <w:szCs w:val="20"/>
        </w:rPr>
        <w:t xml:space="preserve">Lo registramos con honestidad en nuestra contabilidad como pago bajo coacción, nunca oculto como otro gasto.</w:t>
      </w:r>
    </w:p>
    <w:p>
      <w:pPr>
        <w:pStyle w:val="ListParagraph"/>
        <w:numPr>
          <w:ilvl w:val="0"/>
          <w:numId w:val="5"/>
        </w:numPr>
        <w:spacing w:after="80" w:line="290"/>
      </w:pPr>
      <w:r>
        <w:rPr>
          <w:rFonts w:ascii="Nunito Sans" w:cs="Nunito Sans" w:eastAsia="Nunito Sans" w:hAnsi="Nunito Sans"/>
          <w:color w:val="102E3B"/>
          <w:sz w:val="20"/>
          <w:szCs w:val="20"/>
        </w:rPr>
        <w:t xml:space="preserve">Decidimos si informar a los financiadores o a las autoridades, y actualizamos nuestros planes de seguridad.</w:t>
      </w:r>
    </w:p>
    <w:p>
      <w:pPr>
        <w:spacing w:after="120" w:before="0" w:line="300"/>
      </w:pPr>
      <w:r>
        <w:rPr>
          <w:rFonts w:ascii="Nunito Sans" w:cs="Nunito Sans" w:eastAsia="Nunito Sans" w:hAnsi="Nunito Sans"/>
          <w:color w:val="102E3B"/>
          <w:sz w:val="20"/>
          <w:szCs w:val="20"/>
        </w:rPr>
        <w:t xml:space="preserve">Nadie recibe una sanción disciplinaria por un pago bajo coacción genuino que se notifique con prontitud. Un retraso o una molestia no es una amenaza para la seguridad y nunca justifica un pago.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PAGOS BAJO COACCIÓN</w:t>
            </w:r>
          </w:p>
          <w:p>
            <w:pPr>
              <w:spacing w:after="120" w:before="0" w:line="300"/>
            </w:pPr>
            <w:r>
              <w:rPr>
                <w:rFonts w:ascii="Nunito Sans" w:cs="Nunito Sans" w:eastAsia="Nunito Sans" w:hAnsi="Nunito Sans"/>
                <w:color w:val="102E3B"/>
                <w:sz w:val="19"/>
                <w:szCs w:val="19"/>
              </w:rPr>
              <w:t xml:space="preserve">Mantén esta sección si tu equipo viaja, trabaja en zonas inseguras o pasa por puestos de control. Añade consejos prácticos: llevar una pequeña cantidad de efectivo separada de los fondos del proyecto, viajar en pareja, llevar una carta que indique que no pagamos tasas no oficiales. Los financiadores suelen aceptar los pagos bajo coacción genuinos si se notifican y se registran; comprueba si tus acuerdos establecen un formato de notificación. Vincula esta sección con nuestra Política de Seguridad en Viajes y Deber de Cuidado, si la tienes.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Regalos e invitaciones</w:t>
      </w:r>
    </w:p>
    <w:p>
      <w:pPr>
        <w:spacing w:after="120" w:before="0" w:line="300"/>
      </w:pPr>
      <w:r>
        <w:rPr>
          <w:rFonts w:ascii="Nunito Sans" w:cs="Nunito Sans" w:eastAsia="Nunito Sans" w:hAnsi="Nunito Sans"/>
          <w:color w:val="102E3B"/>
          <w:sz w:val="20"/>
          <w:szCs w:val="20"/>
        </w:rPr>
        <w:t xml:space="preserve">Los regalos y las invitaciones pueden usarse para encubrir un soborno. Siga nuestra Política de Aceptación de Regalos y Donaciones. En resumen:</w:t>
      </w:r>
    </w:p>
    <w:p>
      <w:pPr>
        <w:pStyle w:val="ListParagraph"/>
        <w:numPr>
          <w:ilvl w:val="0"/>
          <w:numId w:val="3"/>
        </w:numPr>
        <w:spacing w:after="80" w:line="290"/>
      </w:pPr>
      <w:r>
        <w:rPr>
          <w:rFonts w:ascii="Nunito Sans" w:cs="Nunito Sans" w:eastAsia="Nunito Sans" w:hAnsi="Nunito Sans"/>
          <w:color w:val="102E3B"/>
          <w:sz w:val="20"/>
          <w:szCs w:val="20"/>
        </w:rPr>
        <w:t xml:space="preserve">Nunca acepte ni dé nada que pueda influir, o parecer que influye, en una decisión.</w:t>
      </w:r>
    </w:p>
    <w:p>
      <w:pPr>
        <w:pStyle w:val="ListParagraph"/>
        <w:numPr>
          <w:ilvl w:val="0"/>
          <w:numId w:val="3"/>
        </w:numPr>
        <w:spacing w:after="80" w:line="290"/>
      </w:pPr>
      <w:r>
        <w:rPr>
          <w:rFonts w:ascii="Nunito Sans" w:cs="Nunito Sans" w:eastAsia="Nunito Sans" w:hAnsi="Nunito Sans"/>
          <w:color w:val="102E3B"/>
          <w:sz w:val="20"/>
          <w:szCs w:val="20"/>
        </w:rPr>
        <w:t xml:space="preserve">Nunca acepte efectivo, saldo de dinero móvil ni vales, ni nada de un proveedor durante una licitación.</w:t>
      </w:r>
    </w:p>
    <w:p>
      <w:pPr>
        <w:pStyle w:val="ListParagraph"/>
        <w:numPr>
          <w:ilvl w:val="0"/>
          <w:numId w:val="3"/>
        </w:numPr>
        <w:spacing w:after="80" w:line="290"/>
      </w:pPr>
      <w:r>
        <w:rPr>
          <w:rFonts w:ascii="Nunito Sans" w:cs="Nunito Sans" w:eastAsia="Nunito Sans" w:hAnsi="Nunito Sans"/>
          <w:color w:val="102E3B"/>
          <w:sz w:val="20"/>
          <w:szCs w:val="20"/>
        </w:rPr>
        <w:t xml:space="preserve">Registre en el registro de regalos e invitaciones todo regalo o invitación ofrecido por encima de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4. Conflictos de interés y nepotismo</w:t>
      </w:r>
    </w:p>
    <w:p>
      <w:pPr>
        <w:spacing w:after="120" w:before="0" w:line="300"/>
      </w:pPr>
      <w:r>
        <w:rPr>
          <w:rFonts w:ascii="Nunito Sans" w:cs="Nunito Sans" w:eastAsia="Nunito Sans" w:hAnsi="Nunito Sans"/>
          <w:color w:val="102E3B"/>
          <w:sz w:val="20"/>
          <w:szCs w:val="20"/>
        </w:rPr>
        <w:t xml:space="preserve">Declare cualquier vínculo personal, familiar, económico o profesional con un proveedor, una organización socia, una persona candidata a un empleo, una persona que recibe apoyo o un financiador antes de cualquier decisión relacionada. Apártese de la decisión. Nuestra Política de Conflictos de Interés explica cómo registramos y gestionamos los conflictos. La contratación de familiares se rige por esa política.</w:t>
      </w:r>
    </w:p>
    <w:p>
      <w:pPr>
        <w:pStyle w:val="Heading2"/>
        <w:keepNext/>
        <w:spacing w:after="120" w:before="280"/>
      </w:pPr>
      <w:r>
        <w:rPr>
          <w:rFonts w:ascii="DM Serif Display" w:cs="DM Serif Display" w:eastAsia="DM Serif Display" w:hAnsi="DM Serif Display"/>
          <w:color w:val="123C48"/>
          <w:sz w:val="28"/>
          <w:szCs w:val="28"/>
        </w:rPr>
        <w:t xml:space="preserve">5. Blanqueo de capitales, financiación del terrorismo y sanciones</w:t>
      </w:r>
    </w:p>
    <w:p>
      <w:pPr>
        <w:spacing w:after="120" w:before="0" w:line="300"/>
      </w:pPr>
      <w:r>
        <w:rPr>
          <w:rFonts w:ascii="Nunito Sans" w:cs="Nunito Sans" w:eastAsia="Nunito Sans" w:hAnsi="Nunito Sans"/>
          <w:color w:val="102E3B"/>
          <w:sz w:val="20"/>
          <w:szCs w:val="20"/>
        </w:rPr>
        <w:t xml:space="preserve">El Grupo de Acción Financiera Internacional (GAFI) establece las normas mundiales sobre blanqueo de capitales. Su Recomendación 8 reconoce que algunas organizaciones sin fines de lucro pueden ser utilizadas indebidamente para financiar el terrorismo, y pide un enfoque basado en el riesgo que no perturbe el trabajo legítimo. Tomamos medidas proporcionadas:</w:t>
      </w:r>
    </w:p>
    <w:p>
      <w:pPr>
        <w:pStyle w:val="ListParagraph"/>
        <w:numPr>
          <w:ilvl w:val="0"/>
          <w:numId w:val="3"/>
        </w:numPr>
        <w:spacing w:after="80" w:line="290"/>
      </w:pPr>
      <w:r>
        <w:rPr>
          <w:rFonts w:ascii="Nunito Sans" w:cs="Nunito Sans" w:eastAsia="Nunito Sans" w:hAnsi="Nunito Sans"/>
          <w:color w:val="102E3B"/>
          <w:sz w:val="20"/>
          <w:szCs w:val="20"/>
        </w:rPr>
        <w:t xml:space="preserve">Sabemos quiénes son nuestros financiadores, donantes, organizaciones socias y proveedores principales. Seguimos nuestra Política de Debida Diligencia de Socios y Control de Sanciones antes de firmar un acuerdo o hacer un pago significativo.</w:t>
      </w:r>
    </w:p>
    <w:p>
      <w:pPr>
        <w:pStyle w:val="ListParagraph"/>
        <w:numPr>
          <w:ilvl w:val="0"/>
          <w:numId w:val="3"/>
        </w:numPr>
        <w:spacing w:after="80" w:line="290"/>
      </w:pPr>
      <w:r>
        <w:rPr>
          <w:rFonts w:ascii="Nunito Sans" w:cs="Nunito Sans" w:eastAsia="Nunito Sans" w:hAnsi="Nunito Sans"/>
          <w:color w:val="102E3B"/>
          <w:sz w:val="20"/>
          <w:szCs w:val="20"/>
        </w:rPr>
        <w:t xml:space="preserve">Contrastamos a las organizaciones socias, subreceptoras, proveedores principales y grandes donantes con la Lista Consolidada del Consejo de Seguridad de las Naciones Unidas y con las listas que exigen nuestros financiadores, como la lista de la Oficina de Control de Activos Extranjeros (OFAC) de Estados Unidos, la lista consolidada de la UE y la UK Sanctions List del Reino Unido.</w:t>
      </w:r>
    </w:p>
    <w:p>
      <w:pPr>
        <w:pStyle w:val="ListParagraph"/>
        <w:numPr>
          <w:ilvl w:val="0"/>
          <w:numId w:val="3"/>
        </w:numPr>
        <w:spacing w:after="80" w:line="290"/>
      </w:pPr>
      <w:r>
        <w:rPr>
          <w:rFonts w:ascii="Nunito Sans" w:cs="Nunito Sans" w:eastAsia="Nunito Sans" w:hAnsi="Nunito Sans"/>
          <w:color w:val="102E3B"/>
          <w:sz w:val="20"/>
          <w:szCs w:val="20"/>
        </w:rPr>
        <w:t xml:space="preserve">No aceptamos grandes donaciones en efectivo ni de origen desconocido sin hacer comprobaciones. Nuestra Política de Aceptación de Regalos y Donaciones fija el umbral.</w:t>
      </w:r>
    </w:p>
    <w:p>
      <w:pPr>
        <w:pStyle w:val="ListParagraph"/>
        <w:numPr>
          <w:ilvl w:val="0"/>
          <w:numId w:val="3"/>
        </w:numPr>
        <w:spacing w:after="80" w:line="290"/>
      </w:pPr>
      <w:r>
        <w:rPr>
          <w:rFonts w:ascii="Nunito Sans" w:cs="Nunito Sans" w:eastAsia="Nunito Sans" w:hAnsi="Nunito Sans"/>
          <w:color w:val="102E3B"/>
          <w:sz w:val="20"/>
          <w:szCs w:val="20"/>
        </w:rPr>
        <w:t xml:space="preserve">No reembolsamos donaciones a una persona o cuenta distinta de la que pagó.</w:t>
      </w:r>
    </w:p>
    <w:p>
      <w:pPr>
        <w:pStyle w:val="ListParagraph"/>
        <w:numPr>
          <w:ilvl w:val="0"/>
          <w:numId w:val="3"/>
        </w:numPr>
        <w:spacing w:after="80" w:line="290"/>
      </w:pPr>
      <w:r>
        <w:rPr>
          <w:rFonts w:ascii="Nunito Sans" w:cs="Nunito Sans" w:eastAsia="Nunito Sans" w:hAnsi="Nunito Sans"/>
          <w:color w:val="102E3B"/>
          <w:sz w:val="20"/>
          <w:szCs w:val="20"/>
        </w:rPr>
        <w:t xml:space="preserve">Movemos los fondos a través de bancos regulados o dinero móvil siempre que es posible, y registramos el motivo de cualquier transferencia en efectivo.</w:t>
      </w:r>
    </w:p>
    <w:p>
      <w:pPr>
        <w:pStyle w:val="ListParagraph"/>
        <w:numPr>
          <w:ilvl w:val="0"/>
          <w:numId w:val="3"/>
        </w:numPr>
        <w:spacing w:after="80" w:line="290"/>
      </w:pPr>
      <w:r>
        <w:rPr>
          <w:rFonts w:ascii="Nunito Sans" w:cs="Nunito Sans" w:eastAsia="Nunito Sans" w:hAnsi="Nunito Sans"/>
          <w:color w:val="102E3B"/>
          <w:sz w:val="20"/>
          <w:szCs w:val="20"/>
        </w:rPr>
        <w:t xml:space="preserve">Comunicamos las operaciones sospechosas cuando la ley lo exige.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SANCIONES Y BLANQUEO DE CAPITALES</w:t>
            </w:r>
          </w:p>
          <w:p>
            <w:pPr>
              <w:spacing w:after="120" w:before="0" w:line="300"/>
            </w:pPr>
            <w:r>
              <w:rPr>
                <w:rFonts w:ascii="Nunito Sans" w:cs="Nunito Sans" w:eastAsia="Nunito Sans" w:hAnsi="Nunito Sans"/>
                <w:color w:val="102E3B"/>
                <w:sz w:val="19"/>
                <w:szCs w:val="19"/>
              </w:rPr>
              <w:t xml:space="preserve">Nombra las listas que exigen tus financiadores y quién hace las comprobaciones; registra la fecha y el resultado de cada una. En algunos países, las organizaciones sin fines de lucro deben registrarse ante la unidad de inteligencia financiera o ante un supervisor especial, y estas normas cambian. Por ejemplo, la ley de blanqueo de capitales de Nigeria de 2022 eliminó a las organizaciones sin fines de lucro de la lista de entidades obligadas a informar, aunque los bancos pueden seguir aplicando controles adicionales. Consulta tu legislación local al respecto. Si trabajas cerca de zonas controladas por grupos sancionados, busca asesoramiento especializado y habla antes con tus financiadores.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6. Organizaciones socias, proveedores y subreceptores de fondos</w:t>
      </w:r>
    </w:p>
    <w:p>
      <w:pPr>
        <w:spacing w:after="120" w:before="0" w:line="300"/>
      </w:pPr>
      <w:r>
        <w:rPr>
          <w:rFonts w:ascii="Nunito Sans" w:cs="Nunito Sans" w:eastAsia="Nunito Sans" w:hAnsi="Nunito Sans"/>
          <w:color w:val="102E3B"/>
          <w:sz w:val="20"/>
          <w:szCs w:val="20"/>
        </w:rPr>
        <w:t xml:space="preserve">Cuando transferimos fondos a una organización socia, o pagamos a un proveedor para que actúe en nuestro nombre, seguimos siendo responsables ante nuestros financiadores. Nosotros:</w:t>
      </w:r>
    </w:p>
    <w:p>
      <w:pPr>
        <w:pStyle w:val="ListParagraph"/>
        <w:numPr>
          <w:ilvl w:val="0"/>
          <w:numId w:val="3"/>
        </w:numPr>
        <w:spacing w:after="80" w:line="290"/>
      </w:pPr>
      <w:r>
        <w:rPr>
          <w:rFonts w:ascii="Nunito Sans" w:cs="Nunito Sans" w:eastAsia="Nunito Sans" w:hAnsi="Nunito Sans"/>
          <w:color w:val="102E3B"/>
          <w:sz w:val="20"/>
          <w:szCs w:val="20"/>
        </w:rPr>
        <w:t xml:space="preserve">realizamos primero la debida diligencia, con el Cuestionario de Debida Diligencia para Socios;</w:t>
      </w:r>
    </w:p>
    <w:p>
      <w:pPr>
        <w:pStyle w:val="ListParagraph"/>
        <w:numPr>
          <w:ilvl w:val="0"/>
          <w:numId w:val="3"/>
        </w:numPr>
        <w:spacing w:after="80" w:line="290"/>
      </w:pPr>
      <w:r>
        <w:rPr>
          <w:rFonts w:ascii="Nunito Sans" w:cs="Nunito Sans" w:eastAsia="Nunito Sans" w:hAnsi="Nunito Sans"/>
          <w:color w:val="102E3B"/>
          <w:sz w:val="20"/>
          <w:szCs w:val="20"/>
        </w:rPr>
        <w:t xml:space="preserve">incluimos cláusulas contra el fraude y el soborno, de sanciones y de auditoría en todo Acuerdo de Subvención a Socios y en todo Contrato de Servicios;</w:t>
      </w:r>
    </w:p>
    <w:p>
      <w:pPr>
        <w:pStyle w:val="ListParagraph"/>
        <w:numPr>
          <w:ilvl w:val="0"/>
          <w:numId w:val="3"/>
        </w:numPr>
        <w:spacing w:after="80" w:line="290"/>
      </w:pPr>
      <w:r>
        <w:rPr>
          <w:rFonts w:ascii="Nunito Sans" w:cs="Nunito Sans" w:eastAsia="Nunito Sans" w:hAnsi="Nunito Sans"/>
          <w:color w:val="102E3B"/>
          <w:sz w:val="20"/>
          <w:szCs w:val="20"/>
        </w:rPr>
        <w:t xml:space="preserve">exigimos a las organizaciones socias que nos comuniquen cualquier sospecha de fraude que afecte a nuestros fondos en un plazo de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exigimos a las organizaciones socias que conserven los recibos y registros originales durante </w:t>
      </w:r>
      <w:r>
        <w:rPr>
          <w:rFonts w:ascii="Nunito Sans" w:cs="Nunito Sans" w:eastAsia="Nunito Sans" w:hAnsi="Nunito Sans"/>
          <w:color w:val="102E3B"/>
          <w:sz w:val="20"/>
          <w:szCs w:val="20"/>
          <w:highlight w:val="yellow"/>
        </w:rPr>
        <w:t xml:space="preserve">[7 años]</w:t>
      </w:r>
      <w:r>
        <w:rPr>
          <w:rFonts w:ascii="Nunito Sans" w:cs="Nunito Sans" w:eastAsia="Nunito Sans" w:hAnsi="Nunito Sans"/>
          <w:color w:val="102E3B"/>
          <w:sz w:val="20"/>
          <w:szCs w:val="20"/>
        </w:rPr>
        <w:t xml:space="preserve"> y que nos den acceso a ellos a nosotros, a nuestros financiadores y a los auditores;</w:t>
      </w:r>
    </w:p>
    <w:p>
      <w:pPr>
        <w:pStyle w:val="ListParagraph"/>
        <w:numPr>
          <w:ilvl w:val="0"/>
          <w:numId w:val="3"/>
        </w:numPr>
        <w:spacing w:after="80" w:line="290"/>
      </w:pPr>
      <w:r>
        <w:rPr>
          <w:rFonts w:ascii="Nunito Sans" w:cs="Nunito Sans" w:eastAsia="Nunito Sans" w:hAnsi="Nunito Sans"/>
          <w:color w:val="102E3B"/>
          <w:sz w:val="20"/>
          <w:szCs w:val="20"/>
        </w:rPr>
        <w:t xml:space="preserve">liberamos los fondos por tramos, vinculados a informes financieros y de actividades;</w:t>
      </w:r>
    </w:p>
    <w:p>
      <w:pPr>
        <w:pStyle w:val="ListParagraph"/>
        <w:numPr>
          <w:ilvl w:val="0"/>
          <w:numId w:val="3"/>
        </w:numPr>
        <w:spacing w:after="80" w:line="290"/>
      </w:pPr>
      <w:r>
        <w:rPr>
          <w:rFonts w:ascii="Nunito Sans" w:cs="Nunito Sans" w:eastAsia="Nunito Sans" w:hAnsi="Nunito Sans"/>
          <w:color w:val="102E3B"/>
          <w:sz w:val="20"/>
          <w:szCs w:val="20"/>
        </w:rPr>
        <w:t xml:space="preserve">revisamos una muestra de las operaciones de las organizaciones socias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exigimos a las organizaciones socias que trasladen las mismas normas a quien paguen con nuestros fondos (esto se denomina traslado de obligaciones o flow-down).</w:t>
      </w:r>
    </w:p>
    <w:p>
      <w:pPr>
        <w:pStyle w:val="Heading2"/>
        <w:keepNext/>
        <w:spacing w:after="120" w:before="280"/>
      </w:pPr>
      <w:r>
        <w:rPr>
          <w:rFonts w:ascii="DM Serif Display" w:cs="DM Serif Display" w:eastAsia="DM Serif Display" w:hAnsi="DM Serif Display"/>
          <w:color w:val="123C48"/>
          <w:sz w:val="28"/>
          <w:szCs w:val="28"/>
        </w:rPr>
        <w:t xml:space="preserve">7. Cómo prevenimos el fraude</w:t>
      </w:r>
    </w:p>
    <w:p>
      <w:pPr>
        <w:spacing w:after="120" w:before="0" w:line="300"/>
      </w:pPr>
      <w:r>
        <w:rPr>
          <w:rFonts w:ascii="Nunito Sans" w:cs="Nunito Sans" w:eastAsia="Nunito Sans" w:hAnsi="Nunito Sans"/>
          <w:color w:val="102E3B"/>
          <w:sz w:val="20"/>
          <w:szCs w:val="20"/>
        </w:rPr>
        <w:t xml:space="preserve">Nuestros controles principales se establecen en nuestra Política de Controles Financieros y en nuestra Matriz de Delegación de Autoridad. Incluyen:</w:t>
      </w:r>
    </w:p>
    <w:p>
      <w:pPr>
        <w:pStyle w:val="ListParagraph"/>
        <w:numPr>
          <w:ilvl w:val="0"/>
          <w:numId w:val="3"/>
        </w:numPr>
        <w:spacing w:after="80" w:line="290"/>
      </w:pPr>
      <w:r>
        <w:rPr>
          <w:rFonts w:ascii="Nunito Sans" w:cs="Nunito Sans" w:eastAsia="Nunito Sans" w:hAnsi="Nunito Sans"/>
          <w:b/>
          <w:bCs/>
          <w:color w:val="102E3B"/>
          <w:sz w:val="20"/>
          <w:szCs w:val="20"/>
        </w:rPr>
        <w:t xml:space="preserve">Separación de funciones:</w:t>
      </w:r>
      <w:r>
        <w:rPr>
          <w:rFonts w:ascii="Nunito Sans" w:cs="Nunito Sans" w:eastAsia="Nunito Sans" w:hAnsi="Nunito Sans"/>
          <w:color w:val="102E3B"/>
          <w:sz w:val="20"/>
          <w:szCs w:val="20"/>
        </w:rPr>
        <w:t xml:space="preserve"> quien solicita un pago no lo aprueba ni concilia la cuenta. Cuando somos demasiado pocos, la tesorería hace la revisión en su lugar.</w:t>
      </w:r>
    </w:p>
    <w:p>
      <w:pPr>
        <w:pStyle w:val="ListParagraph"/>
        <w:numPr>
          <w:ilvl w:val="0"/>
          <w:numId w:val="3"/>
        </w:numPr>
        <w:spacing w:after="80" w:line="290"/>
      </w:pPr>
      <w:r>
        <w:rPr>
          <w:rFonts w:ascii="Nunito Sans" w:cs="Nunito Sans" w:eastAsia="Nunito Sans" w:hAnsi="Nunito Sans"/>
          <w:b/>
          <w:bCs/>
          <w:color w:val="102E3B"/>
          <w:sz w:val="20"/>
          <w:szCs w:val="20"/>
        </w:rPr>
        <w:t xml:space="preserve">Dos personas para cada pago</w:t>
      </w:r>
      <w:r>
        <w:rPr>
          <w:rFonts w:ascii="Nunito Sans" w:cs="Nunito Sans" w:eastAsia="Nunito Sans" w:hAnsi="Nunito Sans"/>
          <w:color w:val="102E3B"/>
          <w:sz w:val="20"/>
          <w:szCs w:val="20"/>
        </w:rPr>
        <w:t xml:space="preserve"> y dos firmas autorizadas en cada cuenta bancaria.</w:t>
      </w:r>
    </w:p>
    <w:p>
      <w:pPr>
        <w:pStyle w:val="ListParagraph"/>
        <w:numPr>
          <w:ilvl w:val="0"/>
          <w:numId w:val="3"/>
        </w:numPr>
        <w:spacing w:after="80" w:line="290"/>
      </w:pPr>
      <w:r>
        <w:rPr>
          <w:rFonts w:ascii="Nunito Sans" w:cs="Nunito Sans" w:eastAsia="Nunito Sans" w:hAnsi="Nunito Sans"/>
          <w:b/>
          <w:bCs/>
          <w:color w:val="102E3B"/>
          <w:sz w:val="20"/>
          <w:szCs w:val="20"/>
        </w:rPr>
        <w:t xml:space="preserve">Cuentas a nombre de la organización</w:t>
      </w:r>
      <w:r>
        <w:rPr>
          <w:rFonts w:ascii="Nunito Sans" w:cs="Nunito Sans" w:eastAsia="Nunito Sans" w:hAnsi="Nunito Sans"/>
          <w:color w:val="102E3B"/>
          <w:sz w:val="20"/>
          <w:szCs w:val="20"/>
        </w:rPr>
        <w:t xml:space="preserve">, nunca a nombre personal, incluido el dinero móvil.</w:t>
      </w:r>
    </w:p>
    <w:p>
      <w:pPr>
        <w:pStyle w:val="ListParagraph"/>
        <w:numPr>
          <w:ilvl w:val="0"/>
          <w:numId w:val="3"/>
        </w:numPr>
        <w:spacing w:after="80" w:line="290"/>
      </w:pPr>
      <w:r>
        <w:rPr>
          <w:rFonts w:ascii="Nunito Sans" w:cs="Nunito Sans" w:eastAsia="Nunito Sans" w:hAnsi="Nunito Sans"/>
          <w:b/>
          <w:bCs/>
          <w:color w:val="102E3B"/>
          <w:sz w:val="20"/>
          <w:szCs w:val="20"/>
        </w:rPr>
        <w:t xml:space="preserve">Recibos de todo.</w:t>
      </w:r>
      <w:r>
        <w:rPr>
          <w:rFonts w:ascii="Nunito Sans" w:cs="Nunito Sans" w:eastAsia="Nunito Sans" w:hAnsi="Nunito Sans"/>
          <w:color w:val="102E3B"/>
          <w:sz w:val="20"/>
          <w:szCs w:val="20"/>
        </w:rPr>
        <w:t xml:space="preserve"> El efectivo entregado a participantes se registra en una lista firmada o con huella dactilar.</w:t>
      </w:r>
    </w:p>
    <w:p>
      <w:pPr>
        <w:pStyle w:val="ListParagraph"/>
        <w:numPr>
          <w:ilvl w:val="0"/>
          <w:numId w:val="3"/>
        </w:numPr>
        <w:spacing w:after="80" w:line="290"/>
      </w:pPr>
      <w:r>
        <w:rPr>
          <w:rFonts w:ascii="Nunito Sans" w:cs="Nunito Sans" w:eastAsia="Nunito Sans" w:hAnsi="Nunito Sans"/>
          <w:b/>
          <w:bCs/>
          <w:color w:val="102E3B"/>
          <w:sz w:val="20"/>
          <w:szCs w:val="20"/>
        </w:rPr>
        <w:t xml:space="preserve">Conciliación mensual</w:t>
      </w:r>
      <w:r>
        <w:rPr>
          <w:rFonts w:ascii="Nunito Sans" w:cs="Nunito Sans" w:eastAsia="Nunito Sans" w:hAnsi="Nunito Sans"/>
          <w:color w:val="102E3B"/>
          <w:sz w:val="20"/>
          <w:szCs w:val="20"/>
        </w:rPr>
        <w:t xml:space="preserve"> del banco, del dinero móvil y del efectivo, revisada por </w:t>
      </w:r>
      <w:r>
        <w:rPr>
          <w:rFonts w:ascii="Nunito Sans" w:cs="Nunito Sans" w:eastAsia="Nunito Sans" w:hAnsi="Nunito Sans"/>
          <w:color w:val="102E3B"/>
          <w:sz w:val="20"/>
          <w:szCs w:val="20"/>
          <w:highlight w:val="yellow"/>
        </w:rPr>
        <w:t xml:space="preserve">[la tesorería]</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Compras justas</w:t>
      </w:r>
      <w:r>
        <w:rPr>
          <w:rFonts w:ascii="Nunito Sans" w:cs="Nunito Sans" w:eastAsia="Nunito Sans" w:hAnsi="Nunito Sans"/>
          <w:color w:val="102E3B"/>
          <w:sz w:val="20"/>
          <w:szCs w:val="20"/>
        </w:rPr>
        <w:t xml:space="preserve"> por encima de los límites fijados, conforme a nuestra Política de Compras y Contrataciones.</w:t>
      </w:r>
    </w:p>
    <w:p>
      <w:pPr>
        <w:pStyle w:val="ListParagraph"/>
        <w:numPr>
          <w:ilvl w:val="0"/>
          <w:numId w:val="3"/>
        </w:numPr>
        <w:spacing w:after="80" w:line="290"/>
      </w:pPr>
      <w:r>
        <w:rPr>
          <w:rFonts w:ascii="Nunito Sans" w:cs="Nunito Sans" w:eastAsia="Nunito Sans" w:hAnsi="Nunito Sans"/>
          <w:b/>
          <w:bCs/>
          <w:color w:val="102E3B"/>
          <w:sz w:val="20"/>
          <w:szCs w:val="20"/>
        </w:rPr>
        <w:t xml:space="preserve">Referencias</w:t>
      </w:r>
      <w:r>
        <w:rPr>
          <w:rFonts w:ascii="Nunito Sans" w:cs="Nunito Sans" w:eastAsia="Nunito Sans" w:hAnsi="Nunito Sans"/>
          <w:color w:val="102E3B"/>
          <w:sz w:val="20"/>
          <w:szCs w:val="20"/>
        </w:rPr>
        <w:t xml:space="preserve"> de toda persona que vaya a manejar efectivo o aprobar pagos.</w:t>
      </w:r>
    </w:p>
    <w:p>
      <w:pPr>
        <w:pStyle w:val="ListParagraph"/>
        <w:numPr>
          <w:ilvl w:val="0"/>
          <w:numId w:val="3"/>
        </w:numPr>
        <w:spacing w:after="80" w:line="290"/>
      </w:pPr>
      <w:r>
        <w:rPr>
          <w:rFonts w:ascii="Nunito Sans" w:cs="Nunito Sans" w:eastAsia="Nunito Sans" w:hAnsi="Nunito Sans"/>
          <w:b/>
          <w:bCs/>
          <w:color w:val="102E3B"/>
          <w:sz w:val="20"/>
          <w:szCs w:val="20"/>
        </w:rPr>
        <w:t xml:space="preserve">Formación</w:t>
      </w:r>
      <w:r>
        <w:rPr>
          <w:rFonts w:ascii="Nunito Sans" w:cs="Nunito Sans" w:eastAsia="Nunito Sans" w:hAnsi="Nunito Sans"/>
          <w:color w:val="102E3B"/>
          <w:sz w:val="20"/>
          <w:szCs w:val="20"/>
        </w:rPr>
        <w:t xml:space="preserve"> al incorporarse y </w:t>
      </w:r>
      <w:r>
        <w:rPr>
          <w:rFonts w:ascii="Nunito Sans" w:cs="Nunito Sans" w:eastAsia="Nunito Sans" w:hAnsi="Nunito Sans"/>
          <w:color w:val="102E3B"/>
          <w:sz w:val="20"/>
          <w:szCs w:val="20"/>
          <w:highlight w:val="yellow"/>
        </w:rPr>
        <w:t xml:space="preserve">[cada año]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Riesgos de fraude en nuestro Registro de Riesgos</w:t>
      </w:r>
      <w:r>
        <w:rPr>
          <w:rFonts w:ascii="Nunito Sans" w:cs="Nunito Sans" w:eastAsia="Nunito Sans" w:hAnsi="Nunito Sans"/>
          <w:color w:val="102E3B"/>
          <w:sz w:val="20"/>
          <w:szCs w:val="20"/>
        </w:rPr>
        <w:t xml:space="preserve">, revisados antes de cualquier nuevo proyecto, organización socia o medio de pago.</w:t>
      </w:r>
    </w:p>
    <w:p>
      <w:pPr>
        <w:pStyle w:val="Heading2"/>
        <w:keepNext/>
        <w:spacing w:after="120" w:before="280"/>
      </w:pPr>
      <w:r>
        <w:rPr>
          <w:rFonts w:ascii="DM Serif Display" w:cs="DM Serif Display" w:eastAsia="DM Serif Display" w:hAnsi="DM Serif Display"/>
          <w:color w:val="123C48"/>
          <w:sz w:val="28"/>
          <w:szCs w:val="28"/>
        </w:rPr>
        <w:t xml:space="preserve">8. Señales de alerta</w:t>
      </w:r>
    </w:p>
    <w:p>
      <w:pPr>
        <w:spacing w:after="120" w:before="0" w:line="300"/>
      </w:pPr>
      <w:r>
        <w:rPr>
          <w:rFonts w:ascii="Nunito Sans" w:cs="Nunito Sans" w:eastAsia="Nunito Sans" w:hAnsi="Nunito Sans"/>
          <w:color w:val="102E3B"/>
          <w:sz w:val="20"/>
          <w:szCs w:val="20"/>
        </w:rPr>
        <w:t xml:space="preserve">Las señales de alerta no prueban un fraude, pero exigen una revisión más atenta. Comuníquelas si observa:</w:t>
      </w:r>
    </w:p>
    <w:p>
      <w:pPr>
        <w:pStyle w:val="ListParagraph"/>
        <w:numPr>
          <w:ilvl w:val="0"/>
          <w:numId w:val="3"/>
        </w:numPr>
        <w:spacing w:after="80" w:line="290"/>
      </w:pPr>
      <w:r>
        <w:rPr>
          <w:rFonts w:ascii="Nunito Sans" w:cs="Nunito Sans" w:eastAsia="Nunito Sans" w:hAnsi="Nunito Sans"/>
          <w:color w:val="102E3B"/>
          <w:sz w:val="20"/>
          <w:szCs w:val="20"/>
        </w:rPr>
        <w:t xml:space="preserve">recibos que faltan, alterados, fotocopiados o escritos a mano cuando lo normal es que sean impresos;</w:t>
      </w:r>
    </w:p>
    <w:p>
      <w:pPr>
        <w:pStyle w:val="ListParagraph"/>
        <w:numPr>
          <w:ilvl w:val="0"/>
          <w:numId w:val="3"/>
        </w:numPr>
        <w:spacing w:after="80" w:line="290"/>
      </w:pPr>
      <w:r>
        <w:rPr>
          <w:rFonts w:ascii="Nunito Sans" w:cs="Nunito Sans" w:eastAsia="Nunito Sans" w:hAnsi="Nunito Sans"/>
          <w:color w:val="102E3B"/>
          <w:sz w:val="20"/>
          <w:szCs w:val="20"/>
        </w:rPr>
        <w:t xml:space="preserve">proveedores sin dirección ni número de registro, o varios que comparten los mismos datos de contacto;</w:t>
      </w:r>
    </w:p>
    <w:p>
      <w:pPr>
        <w:pStyle w:val="ListParagraph"/>
        <w:numPr>
          <w:ilvl w:val="0"/>
          <w:numId w:val="3"/>
        </w:numPr>
        <w:spacing w:after="80" w:line="290"/>
      </w:pPr>
      <w:r>
        <w:rPr>
          <w:rFonts w:ascii="Nunito Sans" w:cs="Nunito Sans" w:eastAsia="Nunito Sans" w:hAnsi="Nunito Sans"/>
          <w:color w:val="102E3B"/>
          <w:sz w:val="20"/>
          <w:szCs w:val="20"/>
        </w:rPr>
        <w:t xml:space="preserve">presupuestos que se parecen entre sí, que siempre quedan justo por debajo de un límite de aprobación o que siempre proceden del mismo grupo de proveedores;</w:t>
      </w:r>
    </w:p>
    <w:p>
      <w:pPr>
        <w:pStyle w:val="ListParagraph"/>
        <w:numPr>
          <w:ilvl w:val="0"/>
          <w:numId w:val="3"/>
        </w:numPr>
        <w:spacing w:after="80" w:line="290"/>
      </w:pPr>
      <w:r>
        <w:rPr>
          <w:rFonts w:ascii="Nunito Sans" w:cs="Nunito Sans" w:eastAsia="Nunito Sans" w:hAnsi="Nunito Sans"/>
          <w:color w:val="102E3B"/>
          <w:sz w:val="20"/>
          <w:szCs w:val="20"/>
        </w:rPr>
        <w:t xml:space="preserve">pagos fraccionados en importes menores para quedar por debajo de un límite de aprobación;</w:t>
      </w:r>
    </w:p>
    <w:p>
      <w:pPr>
        <w:pStyle w:val="ListParagraph"/>
        <w:numPr>
          <w:ilvl w:val="0"/>
          <w:numId w:val="3"/>
        </w:numPr>
        <w:spacing w:after="80" w:line="290"/>
      </w:pPr>
      <w:r>
        <w:rPr>
          <w:rFonts w:ascii="Nunito Sans" w:cs="Nunito Sans" w:eastAsia="Nunito Sans" w:hAnsi="Nunito Sans"/>
          <w:color w:val="102E3B"/>
          <w:sz w:val="20"/>
          <w:szCs w:val="20"/>
        </w:rPr>
        <w:t xml:space="preserve">cambios en los datos bancarios o de dinero móvil de un proveedor o de una persona empleada, sobre todo por correo electrónico o mensaje;</w:t>
      </w:r>
    </w:p>
    <w:p>
      <w:pPr>
        <w:pStyle w:val="ListParagraph"/>
        <w:numPr>
          <w:ilvl w:val="0"/>
          <w:numId w:val="3"/>
        </w:numPr>
        <w:spacing w:after="80" w:line="290"/>
      </w:pPr>
      <w:r>
        <w:rPr>
          <w:rFonts w:ascii="Nunito Sans" w:cs="Nunito Sans" w:eastAsia="Nunito Sans" w:hAnsi="Nunito Sans"/>
          <w:color w:val="102E3B"/>
          <w:sz w:val="20"/>
          <w:szCs w:val="20"/>
        </w:rPr>
        <w:t xml:space="preserve">nombres repetidos o desconocidos en listas de asistencia o de distribución, o muchas firmas con la misma letra;</w:t>
      </w:r>
    </w:p>
    <w:p>
      <w:pPr>
        <w:pStyle w:val="ListParagraph"/>
        <w:numPr>
          <w:ilvl w:val="0"/>
          <w:numId w:val="3"/>
        </w:numPr>
        <w:spacing w:after="80" w:line="290"/>
      </w:pPr>
      <w:r>
        <w:rPr>
          <w:rFonts w:ascii="Nunito Sans" w:cs="Nunito Sans" w:eastAsia="Nunito Sans" w:hAnsi="Nunito Sans"/>
          <w:color w:val="102E3B"/>
          <w:sz w:val="20"/>
          <w:szCs w:val="20"/>
        </w:rPr>
        <w:t xml:space="preserve">alguien que se niega a tomar vacaciones o a compartir tareas, o que insiste en tratar a solas con un proveedor;</w:t>
      </w:r>
    </w:p>
    <w:p>
      <w:pPr>
        <w:pStyle w:val="ListParagraph"/>
        <w:numPr>
          <w:ilvl w:val="0"/>
          <w:numId w:val="3"/>
        </w:numPr>
        <w:spacing w:after="80" w:line="290"/>
      </w:pPr>
      <w:r>
        <w:rPr>
          <w:rFonts w:ascii="Nunito Sans" w:cs="Nunito Sans" w:eastAsia="Nunito Sans" w:hAnsi="Nunito Sans"/>
          <w:color w:val="102E3B"/>
          <w:sz w:val="20"/>
          <w:szCs w:val="20"/>
        </w:rPr>
        <w:t xml:space="preserve">conciliaciones atrasadas o extractos bancarios que faltan;</w:t>
      </w:r>
    </w:p>
    <w:p>
      <w:pPr>
        <w:pStyle w:val="ListParagraph"/>
        <w:numPr>
          <w:ilvl w:val="0"/>
          <w:numId w:val="3"/>
        </w:numPr>
        <w:spacing w:after="80" w:line="290"/>
      </w:pPr>
      <w:r>
        <w:rPr>
          <w:rFonts w:ascii="Nunito Sans" w:cs="Nunito Sans" w:eastAsia="Nunito Sans" w:hAnsi="Nunito Sans"/>
          <w:color w:val="102E3B"/>
          <w:sz w:val="20"/>
          <w:szCs w:val="20"/>
        </w:rPr>
        <w:t xml:space="preserve">una organización socia que retrasa los informes, no comparte documentos originales o pide que los fondos se envíen a una cuenta personal;</w:t>
      </w:r>
    </w:p>
    <w:p>
      <w:pPr>
        <w:pStyle w:val="ListParagraph"/>
        <w:numPr>
          <w:ilvl w:val="0"/>
          <w:numId w:val="3"/>
        </w:numPr>
        <w:spacing w:after="80" w:line="290"/>
      </w:pPr>
      <w:r>
        <w:rPr>
          <w:rFonts w:ascii="Nunito Sans" w:cs="Nunito Sans" w:eastAsia="Nunito Sans" w:hAnsi="Nunito Sans"/>
          <w:color w:val="102E3B"/>
          <w:sz w:val="20"/>
          <w:szCs w:val="20"/>
        </w:rPr>
        <w:t xml:space="preserve">presiones para hacer un pago urgente, saltarse las comprobaciones habituales o mantener algo en secreto.</w:t>
      </w:r>
    </w:p>
    <w:p>
      <w:pPr>
        <w:pStyle w:val="Heading1"/>
        <w:keepNext/>
        <w:spacing w:after="160" w:before="360"/>
      </w:pPr>
      <w:r>
        <w:rPr>
          <w:rFonts w:ascii="DM Serif Display" w:cs="DM Serif Display" w:eastAsia="DM Serif Display" w:hAnsi="DM Serif Display"/>
          <w:color w:val="123C48"/>
          <w:sz w:val="40"/>
          <w:szCs w:val="40"/>
        </w:rPr>
        <w:t xml:space="preserve">Cómo denunciar</w:t>
      </w:r>
    </w:p>
    <w:p>
      <w:pPr>
        <w:spacing w:after="120" w:before="0" w:line="300"/>
      </w:pPr>
      <w:r>
        <w:rPr>
          <w:rFonts w:ascii="Nunito Sans" w:cs="Nunito Sans" w:eastAsia="Nunito Sans" w:hAnsi="Nunito Sans"/>
          <w:color w:val="102E3B"/>
          <w:sz w:val="20"/>
          <w:szCs w:val="20"/>
        </w:rPr>
        <w:t xml:space="preserve">Denuncie en cuanto sospeche un fraude, un soborno, un caso de corrupción o un uso indebido de fondos. No necesita pruebas. Use la vía con la que se sienta más seguro: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33"/>
        <w:gridCol w:w="6191"/>
      </w:tblGrid>
      <w:tr>
        <w:trPr>
          <w:cantSplit/>
          <w:tblHeader/>
        </w:trPr>
        <w:tc>
          <w:tcPr>
            <w:tcW w:type="dxa" w:w="3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VÍA</w:t>
            </w:r>
          </w:p>
        </w:tc>
        <w:tc>
          <w:tcPr>
            <w:tcW w:type="dxa" w:w="619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antifraude</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r>
              <w:rPr>
                <w:rFonts w:ascii="Nunito Sans" w:cs="Nunito Sans" w:eastAsia="Nunito Sans" w:hAnsi="Nunito Sans"/>
                <w:color w:val="102E3B"/>
                <w:sz w:val="18"/>
                <w:szCs w:val="18"/>
              </w:rPr>
              <w:t xml:space="preserve">, en </w:t>
            </w:r>
            <w:r>
              <w:rPr>
                <w:rFonts w:ascii="Nunito Sans" w:cs="Nunito Sans" w:eastAsia="Nunito Sans" w:hAnsi="Nunito Sans"/>
                <w:color w:val="102E3B"/>
                <w:sz w:val="18"/>
                <w:szCs w:val="18"/>
                <w:highlight w:val="yellow"/>
              </w:rPr>
              <w:t xml:space="preserve">[correo electrónico / teléfono]</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Segundo contacto (si la preocupación se refiere a la persona responsable antifraude, o esta está implicada)</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r>
              <w:rPr>
                <w:rFonts w:ascii="Nunito Sans" w:cs="Nunito Sans" w:eastAsia="Nunito Sans" w:hAnsi="Nunito Sans"/>
                <w:color w:val="102E3B"/>
                <w:sz w:val="18"/>
                <w:szCs w:val="18"/>
              </w:rPr>
              <w:t xml:space="preserve">, en </w:t>
            </w:r>
            <w:r>
              <w:rPr>
                <w:rFonts w:ascii="Nunito Sans" w:cs="Nunito Sans" w:eastAsia="Nunito Sans" w:hAnsi="Nunito Sans"/>
                <w:color w:val="102E3B"/>
                <w:sz w:val="18"/>
                <w:szCs w:val="18"/>
                <w:highlight w:val="yellow"/>
              </w:rPr>
              <w:t xml:space="preserve">[correo electrónico / teléfono]</w:t>
            </w:r>
          </w:p>
        </w:tc>
      </w:tr>
      <w:tr>
        <w:trPr>
          <w:cantSplit/>
          <w:tblHeader w:val="off"/>
        </w:trPr>
        <w:tc>
          <w:tcPr>
            <w:tcW w:type="dxa" w:w="3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Vía de denuncia de irregularidades</w:t>
            </w:r>
          </w:p>
        </w:tc>
        <w:tc>
          <w:tcPr>
            <w:tcW w:type="dxa" w:w="619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que establece nuestra Política y Procedimiento de Denuncia de Irregularidades, incluida </w:t>
            </w:r>
            <w:r>
              <w:rPr>
                <w:rFonts w:ascii="Nunito Sans" w:cs="Nunito Sans" w:eastAsia="Nunito Sans" w:hAnsi="Nunito Sans"/>
                <w:color w:val="102E3B"/>
                <w:sz w:val="18"/>
                <w:szCs w:val="18"/>
                <w:highlight w:val="yellow"/>
              </w:rPr>
              <w:t xml:space="preserve">[una vía anónima, si la tiene]</w:t>
            </w:r>
          </w:p>
        </w:tc>
      </w:tr>
      <w:tr>
        <w:trPr>
          <w:cantSplit/>
          <w:tblHeader w:val="off"/>
        </w:trPr>
        <w:tc>
          <w:tcPr>
            <w:tcW w:type="dxa" w:w="3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Canal propio del financiador</w:t>
            </w:r>
          </w:p>
        </w:tc>
        <w:tc>
          <w:tcPr>
            <w:tcW w:type="dxa" w:w="619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Algunos financiadores tienen su propia línea de denuncia de fraudes. También puede denunciar allí: </w:t>
            </w:r>
            <w:r>
              <w:rPr>
                <w:rFonts w:ascii="Nunito Sans" w:cs="Nunito Sans" w:eastAsia="Nunito Sans" w:hAnsi="Nunito Sans"/>
                <w:color w:val="102E3B"/>
                <w:sz w:val="18"/>
                <w:szCs w:val="18"/>
                <w:highlight w:val="yellow"/>
              </w:rPr>
              <w:t xml:space="preserve">[datos, si los hay]</w:t>
            </w:r>
          </w:p>
        </w:tc>
      </w:tr>
    </w:tbl>
    <w:p>
      <w:pPr>
        <w:spacing w:after="120"/>
      </w:pPr>
    </w:p>
    <w:p>
      <w:pPr>
        <w:spacing w:after="120" w:before="0" w:line="300"/>
      </w:pPr>
      <w:r>
        <w:rPr>
          <w:rFonts w:ascii="Nunito Sans" w:cs="Nunito Sans" w:eastAsia="Nunito Sans" w:hAnsi="Nunito Sans"/>
          <w:color w:val="102E3B"/>
          <w:sz w:val="20"/>
          <w:szCs w:val="20"/>
        </w:rPr>
        <w:t xml:space="preserve">Indique qué ocurrió, cuándo, quién está implicado, cuánto dinero puede estar en juego y cómo lo sabe. Conserve las pruebas que ya tenga, pero </w:t>
      </w:r>
      <w:r>
        <w:rPr>
          <w:rFonts w:ascii="Nunito Sans" w:cs="Nunito Sans" w:eastAsia="Nunito Sans" w:hAnsi="Nunito Sans"/>
          <w:b/>
          <w:bCs/>
          <w:color w:val="102E3B"/>
          <w:sz w:val="20"/>
          <w:szCs w:val="20"/>
        </w:rPr>
        <w:t xml:space="preserve">no</w:t>
      </w:r>
      <w:r>
        <w:rPr>
          <w:rFonts w:ascii="Nunito Sans" w:cs="Nunito Sans" w:eastAsia="Nunito Sans" w:hAnsi="Nunito Sans"/>
          <w:color w:val="102E3B"/>
          <w:sz w:val="20"/>
          <w:szCs w:val="20"/>
        </w:rPr>
        <w:t xml:space="preserve"> investigue, no se enfrente a la persona ni lo comente con otras personas.</w:t>
      </w:r>
    </w:p>
    <w:p>
      <w:pPr>
        <w:spacing w:after="120" w:before="0" w:line="300"/>
      </w:pPr>
      <w:r>
        <w:rPr>
          <w:rFonts w:ascii="Nunito Sans" w:cs="Nunito Sans" w:eastAsia="Nunito Sans" w:hAnsi="Nunito Sans"/>
          <w:color w:val="102E3B"/>
          <w:sz w:val="20"/>
          <w:szCs w:val="20"/>
        </w:rPr>
        <w:t xml:space="preserve">Acusamos recibo de cada denuncia en un plazo de </w:t>
      </w:r>
      <w:r>
        <w:rPr>
          <w:rFonts w:ascii="Nunito Sans" w:cs="Nunito Sans" w:eastAsia="Nunito Sans" w:hAnsi="Nunito Sans"/>
          <w:color w:val="102E3B"/>
          <w:sz w:val="20"/>
          <w:szCs w:val="20"/>
          <w:highlight w:val="yellow"/>
        </w:rPr>
        <w:t xml:space="preserve">[2 días hábiles]</w:t>
      </w:r>
      <w:r>
        <w:rPr>
          <w:rFonts w:ascii="Nunito Sans" w:cs="Nunito Sans" w:eastAsia="Nunito Sans" w:hAnsi="Nunito Sans"/>
          <w:color w:val="102E3B"/>
          <w:sz w:val="20"/>
          <w:szCs w:val="20"/>
        </w:rPr>
        <w:t xml:space="preserve">, el mismo día si los fondos siguen en riesgo. Protegemos la identidad de quien denuncia según lo establecido en nuestra Política y Procedimiento de Denuncia de Irregularidades. Las represalias son un incumplimiento grave de esta política.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VÍAS DE DENUNCIA Y DEBERES LEGALES</w:t>
            </w:r>
          </w:p>
          <w:p>
            <w:pPr>
              <w:spacing w:after="120" w:before="0" w:line="300"/>
            </w:pPr>
            <w:r>
              <w:rPr>
                <w:rFonts w:ascii="Nunito Sans" w:cs="Nunito Sans" w:eastAsia="Nunito Sans" w:hAnsi="Nunito Sans"/>
                <w:color w:val="102E3B"/>
                <w:sz w:val="19"/>
                <w:szCs w:val="19"/>
              </w:rPr>
              <w:t xml:space="preserve">Da datos de contacto reales, con al menos una vía que no pase por la dirección. Algunos países imponen a las personas con autoridad el deber legal de denunciar la corrupción ante las autoridades. Por ejemplo, la Prevention and Combating of Corrupt Activities Act 2004 de Sudáfrica (sección 34) obliga a las personas en una posición de autoridad a denunciar ante la policía los casos de corrupción, robo, fraude, extorsión o falsificación por un importe de R100.000 o más que conozcan o sospechen razonablemente. La Bribery Act 2016 de Kenia obliga a las personas con autoridad en entidades públicas o privadas a comunicar el conocimiento o la sospecha de un soborno a la Ethics and Anti-Corruption Commission en un plazo de 24 horas. Comprueba los deberes que existen en tu país y añádelos al plan de respuesta que sigue.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Plan de respuesta al fraude</w:t>
      </w:r>
    </w:p>
    <w:p>
      <w:pPr>
        <w:spacing w:after="120" w:before="0" w:line="300"/>
      </w:pPr>
      <w:r>
        <w:rPr>
          <w:rFonts w:ascii="Nunito Sans" w:cs="Nunito Sans" w:eastAsia="Nunito Sans" w:hAnsi="Nunito Sans"/>
          <w:color w:val="102E3B"/>
          <w:sz w:val="20"/>
          <w:szCs w:val="20"/>
        </w:rPr>
        <w:t xml:space="preserve">Este plan indica a la persona responsable antifraude qué hacer una vez que se denuncia una preocupación. Si la persona responsable antifraude está implicada, o tiene un conflicto, lo sigue en su lugar el segundo contacto.</w:t>
      </w:r>
    </w:p>
    <w:p>
      <w:pPr>
        <w:pStyle w:val="Heading2"/>
        <w:keepNext/>
        <w:spacing w:after="120" w:before="280"/>
      </w:pPr>
      <w:r>
        <w:rPr>
          <w:rFonts w:ascii="DM Serif Display" w:cs="DM Serif Display" w:eastAsia="DM Serif Display" w:hAnsi="DM Serif Display"/>
          <w:color w:val="123C48"/>
          <w:sz w:val="28"/>
          <w:szCs w:val="28"/>
        </w:rPr>
        <w:t xml:space="preserve">Paso 1. Recibir y registrar (el mismo día)</w:t>
      </w:r>
    </w:p>
    <w:p>
      <w:pPr>
        <w:pStyle w:val="ListParagraph"/>
        <w:numPr>
          <w:ilvl w:val="0"/>
          <w:numId w:val="6"/>
        </w:numPr>
        <w:spacing w:after="80" w:line="290"/>
      </w:pPr>
      <w:r>
        <w:rPr>
          <w:rFonts w:ascii="Nunito Sans" w:cs="Nunito Sans" w:eastAsia="Nunito Sans" w:hAnsi="Nunito Sans"/>
          <w:color w:val="102E3B"/>
          <w:sz w:val="20"/>
          <w:szCs w:val="20"/>
        </w:rPr>
        <w:t xml:space="preserve">Abrir un registro confidencial del caso con un número de referencia.</w:t>
      </w:r>
    </w:p>
    <w:p>
      <w:pPr>
        <w:pStyle w:val="ListParagraph"/>
        <w:numPr>
          <w:ilvl w:val="0"/>
          <w:numId w:val="6"/>
        </w:numPr>
        <w:spacing w:after="80" w:line="290"/>
      </w:pPr>
      <w:r>
        <w:rPr>
          <w:rFonts w:ascii="Nunito Sans" w:cs="Nunito Sans" w:eastAsia="Nunito Sans" w:hAnsi="Nunito Sans"/>
          <w:color w:val="102E3B"/>
          <w:sz w:val="20"/>
          <w:szCs w:val="20"/>
        </w:rPr>
        <w:t xml:space="preserve">Decidir si los fondos, las personas o las pruebas están en riesgo inmediato.</w:t>
      </w:r>
    </w:p>
    <w:p>
      <w:pPr>
        <w:pStyle w:val="ListParagraph"/>
        <w:numPr>
          <w:ilvl w:val="0"/>
          <w:numId w:val="6"/>
        </w:numPr>
        <w:spacing w:after="80" w:line="290"/>
      </w:pPr>
      <w:r>
        <w:rPr>
          <w:rFonts w:ascii="Nunito Sans" w:cs="Nunito Sans" w:eastAsia="Nunito Sans" w:hAnsi="Nunito Sans"/>
          <w:color w:val="102E3B"/>
          <w:sz w:val="20"/>
          <w:szCs w:val="20"/>
        </w:rPr>
        <w:t xml:space="preserve">Si la preocupación también implica abuso o explotación, seguir además nuestra Política y Procedimiento de Salvaguarda.</w:t>
      </w:r>
    </w:p>
    <w:p>
      <w:pPr>
        <w:pStyle w:val="Heading2"/>
        <w:keepNext/>
        <w:spacing w:after="120" w:before="280"/>
      </w:pPr>
      <w:r>
        <w:rPr>
          <w:rFonts w:ascii="DM Serif Display" w:cs="DM Serif Display" w:eastAsia="DM Serif Display" w:hAnsi="DM Serif Display"/>
          <w:color w:val="123C48"/>
          <w:sz w:val="28"/>
          <w:szCs w:val="28"/>
        </w:rPr>
        <w:t xml:space="preserve">Paso 2. Asegurar los bienes y las pruebas (en un plazo de 24 horas)</w:t>
      </w:r>
    </w:p>
    <w:p>
      <w:pPr>
        <w:pStyle w:val="ListParagraph"/>
        <w:numPr>
          <w:ilvl w:val="0"/>
          <w:numId w:val="7"/>
        </w:numPr>
        <w:spacing w:after="80" w:line="290"/>
      </w:pPr>
      <w:r>
        <w:rPr>
          <w:rFonts w:ascii="Nunito Sans" w:cs="Nunito Sans" w:eastAsia="Nunito Sans" w:hAnsi="Nunito Sans"/>
          <w:color w:val="102E3B"/>
          <w:sz w:val="20"/>
          <w:szCs w:val="20"/>
        </w:rPr>
        <w:t xml:space="preserve">Detener nuevas pérdidas: congelar los pagos a las personas implicadas, cambiar las contraseñas y retirar el acceso a los sistemas bancarios, de dinero móvil y de contabilidad.</w:t>
      </w:r>
    </w:p>
    <w:p>
      <w:pPr>
        <w:pStyle w:val="ListParagraph"/>
        <w:numPr>
          <w:ilvl w:val="0"/>
          <w:numId w:val="7"/>
        </w:numPr>
        <w:spacing w:after="80" w:line="290"/>
      </w:pPr>
      <w:r>
        <w:rPr>
          <w:rFonts w:ascii="Nunito Sans" w:cs="Nunito Sans" w:eastAsia="Nunito Sans" w:hAnsi="Nunito Sans"/>
          <w:color w:val="102E3B"/>
          <w:sz w:val="20"/>
          <w:szCs w:val="20"/>
        </w:rPr>
        <w:t xml:space="preserve">Asegurar los documentos originales, el efectivo, los dispositivos y los registros electrónicos. Hacer copias fechadas de todo lo que pueda cambiar o borrarse.</w:t>
      </w:r>
    </w:p>
    <w:p>
      <w:pPr>
        <w:pStyle w:val="ListParagraph"/>
        <w:numPr>
          <w:ilvl w:val="0"/>
          <w:numId w:val="7"/>
        </w:numPr>
        <w:spacing w:after="80" w:line="290"/>
      </w:pPr>
      <w:r>
        <w:rPr>
          <w:rFonts w:ascii="Nunito Sans" w:cs="Nunito Sans" w:eastAsia="Nunito Sans" w:hAnsi="Nunito Sans"/>
          <w:color w:val="102E3B"/>
          <w:sz w:val="20"/>
          <w:szCs w:val="20"/>
        </w:rPr>
        <w:t xml:space="preserve">Registrar quién maneja cada prueba y cuándo. Si la policía puede intervenir, pedirle consejo antes de manipular dispositivos.</w:t>
      </w:r>
    </w:p>
    <w:p>
      <w:pPr>
        <w:pStyle w:val="Heading2"/>
        <w:keepNext/>
        <w:spacing w:after="120" w:before="280"/>
      </w:pPr>
      <w:r>
        <w:rPr>
          <w:rFonts w:ascii="DM Serif Display" w:cs="DM Serif Display" w:eastAsia="DM Serif Display" w:hAnsi="DM Serif Display"/>
          <w:color w:val="123C48"/>
          <w:sz w:val="28"/>
          <w:szCs w:val="28"/>
        </w:rPr>
        <w:t xml:space="preserve">Paso 3. No alertar a la persona sospechosa</w:t>
      </w:r>
    </w:p>
    <w:p>
      <w:pPr>
        <w:spacing w:after="120" w:before="0" w:line="300"/>
      </w:pPr>
      <w:r>
        <w:rPr>
          <w:rFonts w:ascii="Nunito Sans" w:cs="Nunito Sans" w:eastAsia="Nunito Sans" w:hAnsi="Nunito Sans"/>
          <w:color w:val="102E3B"/>
          <w:sz w:val="20"/>
          <w:szCs w:val="20"/>
        </w:rPr>
        <w:t xml:space="preserve">Compartir el caso solo con quienes necesitan conocerlo. No advertir a la persona implicada hasta que las pruebas estén aseguradas. En algunos países, alertar a alguien de una comunicación sobre blanqueo de capitales es un delito en sí mismo.</w:t>
      </w:r>
    </w:p>
    <w:p>
      <w:pPr>
        <w:pStyle w:val="Heading2"/>
        <w:keepNext/>
        <w:spacing w:after="120" w:before="280"/>
      </w:pPr>
      <w:r>
        <w:rPr>
          <w:rFonts w:ascii="DM Serif Display" w:cs="DM Serif Display" w:eastAsia="DM Serif Display" w:hAnsi="DM Serif Display"/>
          <w:color w:val="123C48"/>
          <w:sz w:val="28"/>
          <w:szCs w:val="28"/>
        </w:rPr>
        <w:t xml:space="preserve">Paso 4. Informar al órgano de gobierno y a los financiadores (en un plazo de [[24–72 horas]])</w:t>
      </w:r>
    </w:p>
    <w:p>
      <w:pPr>
        <w:pStyle w:val="ListParagraph"/>
        <w:numPr>
          <w:ilvl w:val="0"/>
          <w:numId w:val="8"/>
        </w:numPr>
        <w:spacing w:after="80" w:line="290"/>
      </w:pPr>
      <w:r>
        <w:rPr>
          <w:rFonts w:ascii="Nunito Sans" w:cs="Nunito Sans" w:eastAsia="Nunito Sans" w:hAnsi="Nunito Sans"/>
          <w:color w:val="102E3B"/>
          <w:sz w:val="20"/>
          <w:szCs w:val="20"/>
        </w:rPr>
        <w:t xml:space="preserve">Informar a </w:t>
      </w:r>
      <w:r>
        <w:rPr>
          <w:rFonts w:ascii="Nunito Sans" w:cs="Nunito Sans" w:eastAsia="Nunito Sans" w:hAnsi="Nunito Sans"/>
          <w:color w:val="102E3B"/>
          <w:sz w:val="20"/>
          <w:szCs w:val="20"/>
          <w:highlight w:val="yellow"/>
        </w:rPr>
        <w:t xml:space="preserve">[la presidencia / la tesorería]</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w:t>
      </w:r>
    </w:p>
    <w:p>
      <w:pPr>
        <w:pStyle w:val="ListParagraph"/>
        <w:numPr>
          <w:ilvl w:val="0"/>
          <w:numId w:val="8"/>
        </w:numPr>
        <w:spacing w:after="80" w:line="290"/>
      </w:pPr>
      <w:r>
        <w:rPr>
          <w:rFonts w:ascii="Nunito Sans" w:cs="Nunito Sans" w:eastAsia="Nunito Sans" w:hAnsi="Nunito Sans"/>
          <w:color w:val="102E3B"/>
          <w:sz w:val="20"/>
          <w:szCs w:val="20"/>
        </w:rPr>
        <w:t xml:space="preserve">Revisar cada acuerdo de subvención que pueda verse afectado. Muchos exigen aviso en un plazo de </w:t>
      </w:r>
      <w:r>
        <w:rPr>
          <w:rFonts w:ascii="Nunito Sans" w:cs="Nunito Sans" w:eastAsia="Nunito Sans" w:hAnsi="Nunito Sans"/>
          <w:color w:val="102E3B"/>
          <w:sz w:val="20"/>
          <w:szCs w:val="20"/>
          <w:highlight w:val="yellow"/>
        </w:rPr>
        <w:t xml:space="preserve">[24–72 horas]</w:t>
      </w:r>
      <w:r>
        <w:rPr>
          <w:rFonts w:ascii="Nunito Sans" w:cs="Nunito Sans" w:eastAsia="Nunito Sans" w:hAnsi="Nunito Sans"/>
          <w:color w:val="102E3B"/>
          <w:sz w:val="20"/>
          <w:szCs w:val="20"/>
        </w:rPr>
        <w:t xml:space="preserve"> desde la primera sospecha, no después de que se pruebe.</w:t>
      </w:r>
    </w:p>
    <w:p>
      <w:pPr>
        <w:pStyle w:val="ListParagraph"/>
        <w:numPr>
          <w:ilvl w:val="0"/>
          <w:numId w:val="8"/>
        </w:numPr>
        <w:spacing w:after="80" w:line="290"/>
      </w:pPr>
      <w:r>
        <w:rPr>
          <w:rFonts w:ascii="Nunito Sans" w:cs="Nunito Sans" w:eastAsia="Nunito Sans" w:hAnsi="Nunito Sans"/>
          <w:color w:val="102E3B"/>
          <w:sz w:val="20"/>
          <w:szCs w:val="20"/>
        </w:rPr>
        <w:t xml:space="preserve">Informar por escrito a cada financiador afectado dentro de ese plazo: los hechos conocidos hasta el momento, el importe en riesgo, las medidas tomadas y los próximos pasos. Nombrar a la persona sospechosa solo si el acuerdo lo exige.</w:t>
      </w:r>
    </w:p>
    <w:p>
      <w:pPr>
        <w:pStyle w:val="ListParagraph"/>
        <w:numPr>
          <w:ilvl w:val="0"/>
          <w:numId w:val="8"/>
        </w:numPr>
        <w:spacing w:after="80" w:line="290"/>
      </w:pPr>
      <w:r>
        <w:rPr>
          <w:rFonts w:ascii="Nunito Sans" w:cs="Nunito Sans" w:eastAsia="Nunito Sans" w:hAnsi="Nunito Sans"/>
          <w:color w:val="102E3B"/>
          <w:sz w:val="20"/>
          <w:szCs w:val="20"/>
        </w:rPr>
        <w:t xml:space="preserve">Informar a nuestra aseguradora, y a nuestro banco si las cuentas pueden estar comprometidas.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INFORMAR A LOS FINANCIADORES</w:t>
            </w:r>
          </w:p>
          <w:p>
            <w:pPr>
              <w:spacing w:after="120" w:before="0" w:line="300"/>
            </w:pPr>
            <w:r>
              <w:rPr>
                <w:rFonts w:ascii="Nunito Sans" w:cs="Nunito Sans" w:eastAsia="Nunito Sans" w:hAnsi="Nunito Sans"/>
                <w:color w:val="102E3B"/>
                <w:sz w:val="19"/>
                <w:szCs w:val="19"/>
              </w:rPr>
              <w:t xml:space="preserve">Enumera el plazo de aviso, el contacto y el formato de cada financiador, aquí o en un anexo. Normas habituales: aviso de sospecha de fraude en 24, 48 o 72 horas; comunicación a la oficina de investigaciones del financiador; devolución de los fondos perdidos; y prohibición de usar fondos de la subvención para cubrir las pérdidas. Algunos exigen aviso de los intentos de fraude aunque no haya pérdidas. Si los plazos difieren, cumple el más corto. Un aviso temprano y honesto protege la relación.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Paso 5. Investigar (con el objetivo de terminar en [[30 días]])</w:t>
      </w:r>
    </w:p>
    <w:p>
      <w:pPr>
        <w:pStyle w:val="ListParagraph"/>
        <w:numPr>
          <w:ilvl w:val="0"/>
          <w:numId w:val="9"/>
        </w:numPr>
        <w:spacing w:after="80" w:line="290"/>
      </w:pPr>
      <w:r>
        <w:rPr>
          <w:rFonts w:ascii="Nunito Sans" w:cs="Nunito Sans" w:eastAsia="Nunito Sans" w:hAnsi="Nunito Sans"/>
          <w:color w:val="102E3B"/>
          <w:sz w:val="20"/>
          <w:szCs w:val="20"/>
        </w:rPr>
        <w:t xml:space="preserve">Designar a una persona investigadora independiente de las personas implicadas: un miembro del órgano de gobierno, un contador o un investigador externo.</w:t>
      </w:r>
    </w:p>
    <w:p>
      <w:pPr>
        <w:pStyle w:val="ListParagraph"/>
        <w:numPr>
          <w:ilvl w:val="0"/>
          <w:numId w:val="9"/>
        </w:numPr>
        <w:spacing w:after="80" w:line="290"/>
      </w:pPr>
      <w:r>
        <w:rPr>
          <w:rFonts w:ascii="Nunito Sans" w:cs="Nunito Sans" w:eastAsia="Nunito Sans" w:hAnsi="Nunito Sans"/>
          <w:color w:val="102E3B"/>
          <w:sz w:val="20"/>
          <w:szCs w:val="20"/>
        </w:rPr>
        <w:t xml:space="preserve">Acordar por escrito el alcance y el plazo.</w:t>
      </w:r>
    </w:p>
    <w:p>
      <w:pPr>
        <w:pStyle w:val="ListParagraph"/>
        <w:numPr>
          <w:ilvl w:val="0"/>
          <w:numId w:val="9"/>
        </w:numPr>
        <w:spacing w:after="80" w:line="290"/>
      </w:pPr>
      <w:r>
        <w:rPr>
          <w:rFonts w:ascii="Nunito Sans" w:cs="Nunito Sans" w:eastAsia="Nunito Sans" w:hAnsi="Nunito Sans"/>
          <w:color w:val="102E3B"/>
          <w:sz w:val="20"/>
          <w:szCs w:val="20"/>
        </w:rPr>
        <w:t xml:space="preserve">Revisar los documentos y las operaciones y entrevistar a los testigos. Guardar notas firmadas de las entrevistas cuando sea posible.</w:t>
      </w:r>
    </w:p>
    <w:p>
      <w:pPr>
        <w:pStyle w:val="ListParagraph"/>
        <w:numPr>
          <w:ilvl w:val="0"/>
          <w:numId w:val="9"/>
        </w:numPr>
        <w:spacing w:after="80" w:line="290"/>
      </w:pPr>
      <w:r>
        <w:rPr>
          <w:rFonts w:ascii="Nunito Sans" w:cs="Nunito Sans" w:eastAsia="Nunito Sans" w:hAnsi="Nunito Sans"/>
          <w:color w:val="102E3B"/>
          <w:sz w:val="20"/>
          <w:szCs w:val="20"/>
        </w:rPr>
        <w:t xml:space="preserve">Informar a la persona implicada de la acusación cuando eso no ponga en riesgo las pruebas ni a ninguna persona. Darle una oportunidad justa de responder y permitirle ir acompañada cuando la ley o su contrato lo permitan.</w:t>
      </w:r>
    </w:p>
    <w:p>
      <w:pPr>
        <w:pStyle w:val="ListParagraph"/>
        <w:numPr>
          <w:ilvl w:val="0"/>
          <w:numId w:val="9"/>
        </w:numPr>
        <w:spacing w:after="80" w:line="290"/>
      </w:pPr>
      <w:r>
        <w:rPr>
          <w:rFonts w:ascii="Nunito Sans" w:cs="Nunito Sans" w:eastAsia="Nunito Sans" w:hAnsi="Nunito Sans"/>
          <w:color w:val="102E3B"/>
          <w:sz w:val="20"/>
          <w:szCs w:val="20"/>
        </w:rPr>
        <w:t xml:space="preserve">Decidir según el balance de probabilidades (si es más probable que sí que que no) y registrar los motivos.</w:t>
      </w:r>
    </w:p>
    <w:p>
      <w:pPr>
        <w:pStyle w:val="ListParagraph"/>
        <w:numPr>
          <w:ilvl w:val="0"/>
          <w:numId w:val="9"/>
        </w:numPr>
        <w:spacing w:after="80" w:line="290"/>
      </w:pPr>
      <w:r>
        <w:rPr>
          <w:rFonts w:ascii="Nunito Sans" w:cs="Nunito Sans" w:eastAsia="Nunito Sans" w:hAnsi="Nunito Sans"/>
          <w:color w:val="102E3B"/>
          <w:sz w:val="20"/>
          <w:szCs w:val="20"/>
        </w:rPr>
        <w:t xml:space="preserve">Si las autoridades están investigando, cooperar y acordar con ellas si nuestra propia investigación debe suspenderse.</w:t>
      </w:r>
    </w:p>
    <w:p>
      <w:pPr>
        <w:pStyle w:val="Heading2"/>
        <w:keepNext/>
        <w:spacing w:after="120" w:before="280"/>
      </w:pPr>
      <w:r>
        <w:rPr>
          <w:rFonts w:ascii="DM Serif Display" w:cs="DM Serif Display" w:eastAsia="DM Serif Display" w:hAnsi="DM Serif Display"/>
          <w:color w:val="123C48"/>
          <w:sz w:val="28"/>
          <w:szCs w:val="28"/>
        </w:rPr>
        <w:t xml:space="preserve">Paso 6. Actuar y recuperar</w:t>
      </w:r>
    </w:p>
    <w:p>
      <w:pPr>
        <w:pStyle w:val="ListParagraph"/>
        <w:numPr>
          <w:ilvl w:val="0"/>
          <w:numId w:val="10"/>
        </w:numPr>
        <w:spacing w:after="80" w:line="290"/>
      </w:pPr>
      <w:r>
        <w:rPr>
          <w:rFonts w:ascii="Nunito Sans" w:cs="Nunito Sans" w:eastAsia="Nunito Sans" w:hAnsi="Nunito Sans"/>
          <w:color w:val="102E3B"/>
          <w:sz w:val="20"/>
          <w:szCs w:val="20"/>
        </w:rPr>
        <w:t xml:space="preserve">Tomar medidas disciplinarias o contractuales conforme a nuestros procedimientos y a la ley. Pueden incluir el despido, la terminación de un acuerdo o la separación del órgano de gobierno.</w:t>
      </w:r>
    </w:p>
    <w:p>
      <w:pPr>
        <w:pStyle w:val="ListParagraph"/>
        <w:numPr>
          <w:ilvl w:val="0"/>
          <w:numId w:val="10"/>
        </w:numPr>
        <w:spacing w:after="80" w:line="290"/>
      </w:pPr>
      <w:r>
        <w:rPr>
          <w:rFonts w:ascii="Nunito Sans" w:cs="Nunito Sans" w:eastAsia="Nunito Sans" w:hAnsi="Nunito Sans"/>
          <w:color w:val="102E3B"/>
          <w:sz w:val="20"/>
          <w:szCs w:val="20"/>
        </w:rPr>
        <w:t xml:space="preserve">Intentar recuperar las pérdidas: de la persona responsable, a través del seguro o mediante acciones judiciales.</w:t>
      </w:r>
    </w:p>
    <w:p>
      <w:pPr>
        <w:pStyle w:val="ListParagraph"/>
        <w:numPr>
          <w:ilvl w:val="0"/>
          <w:numId w:val="10"/>
        </w:numPr>
        <w:spacing w:after="80" w:line="290"/>
      </w:pPr>
      <w:r>
        <w:rPr>
          <w:rFonts w:ascii="Nunito Sans" w:cs="Nunito Sans" w:eastAsia="Nunito Sans" w:hAnsi="Nunito Sans"/>
          <w:color w:val="102E3B"/>
          <w:sz w:val="20"/>
          <w:szCs w:val="20"/>
        </w:rPr>
        <w:t xml:space="preserve">Devolver fondos a los financiadores cuando nuestro acuerdo lo exija, con fondos no restringidos, nunca con la subvención de otro financiador.</w:t>
      </w:r>
    </w:p>
    <w:p>
      <w:pPr>
        <w:pStyle w:val="ListParagraph"/>
        <w:numPr>
          <w:ilvl w:val="0"/>
          <w:numId w:val="10"/>
        </w:numPr>
        <w:spacing w:after="80" w:line="290"/>
      </w:pPr>
      <w:r>
        <w:rPr>
          <w:rFonts w:ascii="Nunito Sans" w:cs="Nunito Sans" w:eastAsia="Nunito Sans" w:hAnsi="Nunito Sans"/>
          <w:color w:val="102E3B"/>
          <w:sz w:val="20"/>
          <w:szCs w:val="20"/>
        </w:rPr>
        <w:t xml:space="preserve">Corregir nuestros registros contables y cualquier informe ya enviado a los financiadores.</w:t>
      </w:r>
    </w:p>
    <w:p>
      <w:pPr>
        <w:pStyle w:val="Heading2"/>
        <w:keepNext/>
        <w:spacing w:after="120" w:before="280"/>
      </w:pPr>
      <w:r>
        <w:rPr>
          <w:rFonts w:ascii="DM Serif Display" w:cs="DM Serif Display" w:eastAsia="DM Serif Display" w:hAnsi="DM Serif Display"/>
          <w:color w:val="123C48"/>
          <w:sz w:val="28"/>
          <w:szCs w:val="28"/>
        </w:rPr>
        <w:t xml:space="preserve">Paso 7. Denunciar ante las autoridades</w:t>
      </w:r>
    </w:p>
    <w:p>
      <w:pPr>
        <w:spacing w:after="120" w:before="0" w:line="300"/>
      </w:pPr>
      <w:r>
        <w:rPr>
          <w:rFonts w:ascii="Nunito Sans" w:cs="Nunito Sans" w:eastAsia="Nunito Sans" w:hAnsi="Nunito Sans"/>
          <w:color w:val="102E3B"/>
          <w:sz w:val="20"/>
          <w:szCs w:val="20"/>
        </w:rPr>
        <w:t xml:space="preserve">Denunciar ante la policía, el organismo anticorrupción o la unidad de inteligencia financiera cuando la ley lo exija o cuando ayude a la recuperación. Registrar la decisión y sus motivos. Nuestra norma por defecto es denunciar ante la policía los fraudes delictivos confirmados por encima de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Paso 8. Cerrar y aprender (en un plazo de [[30 días]] desde el resultado)</w:t>
      </w:r>
    </w:p>
    <w:p>
      <w:pPr>
        <w:pStyle w:val="ListParagraph"/>
        <w:numPr>
          <w:ilvl w:val="0"/>
          <w:numId w:val="11"/>
        </w:numPr>
        <w:spacing w:after="80" w:line="290"/>
      </w:pPr>
      <w:r>
        <w:rPr>
          <w:rFonts w:ascii="Nunito Sans" w:cs="Nunito Sans" w:eastAsia="Nunito Sans" w:hAnsi="Nunito Sans"/>
          <w:color w:val="102E3B"/>
          <w:sz w:val="20"/>
          <w:szCs w:val="20"/>
        </w:rPr>
        <w:t xml:space="preserve">Enviar un informe final al órgano de gobierno y a los financiadores afectados.</w:t>
      </w:r>
    </w:p>
    <w:p>
      <w:pPr>
        <w:pStyle w:val="ListParagraph"/>
        <w:numPr>
          <w:ilvl w:val="0"/>
          <w:numId w:val="11"/>
        </w:numPr>
        <w:spacing w:after="80" w:line="290"/>
      </w:pPr>
      <w:r>
        <w:rPr>
          <w:rFonts w:ascii="Nunito Sans" w:cs="Nunito Sans" w:eastAsia="Nunito Sans" w:hAnsi="Nunito Sans"/>
          <w:color w:val="102E3B"/>
          <w:sz w:val="20"/>
          <w:szCs w:val="20"/>
        </w:rPr>
        <w:t xml:space="preserve">Corregir el control que falló y actualizar nuestro Registro de Riesgos, esta política y la formación.</w:t>
      </w:r>
    </w:p>
    <w:p>
      <w:pPr>
        <w:pStyle w:val="Heading3"/>
        <w:keepNext/>
        <w:spacing w:after="80" w:before="200"/>
      </w:pPr>
      <w:r>
        <w:rPr>
          <w:rFonts w:ascii="Nunito Sans" w:cs="Nunito Sans" w:eastAsia="Nunito Sans" w:hAnsi="Nunito Sans"/>
          <w:b/>
          <w:bCs/>
          <w:color w:val="16746E"/>
          <w:sz w:val="21"/>
          <w:szCs w:val="21"/>
        </w:rPr>
        <w:t xml:space="preserve">Plazos de un vistazo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ACCIÓN</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Comunicar una sospecha a la persona responsable antifraude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 antes posible, en un plazo de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Acusar recibo de la denuncia</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 días hábiles]</w:t>
            </w:r>
            <w:r>
              <w:rPr>
                <w:rFonts w:ascii="Nunito Sans" w:cs="Nunito Sans" w:eastAsia="Nunito Sans" w:hAnsi="Nunito Sans"/>
                <w:color w:val="102E3B"/>
                <w:sz w:val="18"/>
                <w:szCs w:val="18"/>
              </w:rPr>
              <w:t xml:space="preserve">, el mismo día si los fondos están en riesgo</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Asegurar los bienes y las pruebas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 la presidencia o a la tesorería</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 los financiadores afectados</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Según exija cada acuerdo, normalmente </w:t>
            </w:r>
            <w:r>
              <w:rPr>
                <w:rFonts w:ascii="Nunito Sans" w:cs="Nunito Sans" w:eastAsia="Nunito Sans" w:hAnsi="Nunito Sans"/>
                <w:color w:val="102E3B"/>
                <w:sz w:val="18"/>
                <w:szCs w:val="18"/>
                <w:highlight w:val="yellow"/>
              </w:rPr>
              <w:t xml:space="preserve">[24–72 horas]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Denunciar ante las autoridades, cuando la ley lo exija</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el plazo que fije la ley, por ejemplo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Terminar la investigación</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Objetivo de </w:t>
            </w:r>
            <w:r>
              <w:rPr>
                <w:rFonts w:ascii="Nunito Sans" w:cs="Nunito Sans" w:eastAsia="Nunito Sans" w:hAnsi="Nunito Sans"/>
                <w:color w:val="102E3B"/>
                <w:sz w:val="18"/>
                <w:szCs w:val="18"/>
                <w:highlight w:val="yellow"/>
              </w:rPr>
              <w:t xml:space="preserve">[30 días]</w:t>
            </w:r>
            <w:r>
              <w:rPr>
                <w:rFonts w:ascii="Nunito Sans" w:cs="Nunito Sans" w:eastAsia="Nunito Sans" w:hAnsi="Nunito Sans"/>
                <w:color w:val="102E3B"/>
                <w:sz w:val="18"/>
                <w:szCs w:val="18"/>
              </w:rPr>
              <w:t xml:space="preserve">, con informes de avance al órgano de gobierno cada </w:t>
            </w:r>
            <w:r>
              <w:rPr>
                <w:rFonts w:ascii="Nunito Sans" w:cs="Nunito Sans" w:eastAsia="Nunito Sans" w:hAnsi="Nunito Sans"/>
                <w:color w:val="102E3B"/>
                <w:sz w:val="18"/>
                <w:szCs w:val="18"/>
                <w:highlight w:val="yellow"/>
              </w:rPr>
              <w:t xml:space="preserve">[2 semanas]</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Informe final y lecciones aprendidas</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[30 días]</w:t>
            </w:r>
            <w:r>
              <w:rPr>
                <w:rFonts w:ascii="Nunito Sans" w:cs="Nunito Sans" w:eastAsia="Nunito Sans" w:hAnsi="Nunito Sans"/>
                <w:color w:val="102E3B"/>
                <w:sz w:val="18"/>
                <w:szCs w:val="18"/>
              </w:rPr>
              <w:t xml:space="preserve"> desde el resultado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Funciones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Órgano de gobierno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esta política, supervisa los controles, recibe los informes de casos y decide los casos que implican a la dirección.</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antifraude</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Recibe las denuncias, dirige el plan de respuesta, informa a los financiadores, mantiene los registros y organiza la formación.</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Segundo contacto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Gestiona cualquier caso que implique a la persona responsable antifraude y atiende los casos urgentes en su ausencia.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Responsables de presupuesto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Aplican los controles, comprueban que los gastos son reales y están atentos a las señales de alerta.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Cumplen esta política, rechazan los sobornos, llevan registros honestos y comunican sus preocupaciones.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Organizaciones socias y proveedores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Cumplen esta política u otra equivalente, llevan registros y nos comunican cualquier sospecha de fraude en un plazo de </w:t>
            </w:r>
            <w:r>
              <w:rPr>
                <w:rFonts w:ascii="Nunito Sans" w:cs="Nunito Sans" w:eastAsia="Nunito Sans" w:hAnsi="Nunito Sans"/>
                <w:color w:val="102E3B"/>
                <w:sz w:val="18"/>
                <w:szCs w:val="18"/>
                <w:highlight w:val="yellow"/>
              </w:rPr>
              <w:t xml:space="preserve">[48 horas]</w:t>
            </w:r>
            <w:r>
              <w:rPr>
                <w:rFonts w:ascii="Nunito Sans" w:cs="Nunito Sans" w:eastAsia="Nunito Sans" w:hAnsi="Nunito Sans"/>
                <w:color w:val="102E3B"/>
                <w:sz w:val="18"/>
                <w:szCs w:val="18"/>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pStyle w:val="ListParagraph"/>
        <w:numPr>
          <w:ilvl w:val="0"/>
          <w:numId w:val="3"/>
        </w:numPr>
        <w:spacing w:after="80" w:line="290"/>
      </w:pPr>
      <w:r>
        <w:rPr>
          <w:rFonts w:ascii="Nunito Sans" w:cs="Nunito Sans" w:eastAsia="Nunito Sans" w:hAnsi="Nunito Sans"/>
          <w:color w:val="102E3B"/>
          <w:sz w:val="20"/>
          <w:szCs w:val="20"/>
        </w:rPr>
        <w:t xml:space="preserve">La persona responsable antifraude lleva un registro confidencial de casos: referencia, fechas, resumen, importe en riesgo, personas informadas, financiadores avisados y cuándo, medidas tomadas, resultado, recuperación y lecciones aprendidas.</w:t>
      </w:r>
    </w:p>
    <w:p>
      <w:pPr>
        <w:pStyle w:val="ListParagraph"/>
        <w:numPr>
          <w:ilvl w:val="0"/>
          <w:numId w:val="3"/>
        </w:numPr>
        <w:spacing w:after="80" w:line="290"/>
      </w:pPr>
      <w:r>
        <w:rPr>
          <w:rFonts w:ascii="Nunito Sans" w:cs="Nunito Sans" w:eastAsia="Nunito Sans" w:hAnsi="Nunito Sans"/>
          <w:color w:val="102E3B"/>
          <w:sz w:val="20"/>
          <w:szCs w:val="20"/>
        </w:rPr>
        <w:t xml:space="preserve">Solo pueden verlo la persona responsable antifraude, el segundo contacto y los miembros del órgano de gobierno que gestionan el caso.</w:t>
      </w:r>
    </w:p>
    <w:p>
      <w:pPr>
        <w:pStyle w:val="ListParagraph"/>
        <w:numPr>
          <w:ilvl w:val="0"/>
          <w:numId w:val="3"/>
        </w:numPr>
        <w:spacing w:after="80" w:line="290"/>
      </w:pPr>
      <w:r>
        <w:rPr>
          <w:rFonts w:ascii="Nunito Sans" w:cs="Nunito Sans" w:eastAsia="Nunito Sans" w:hAnsi="Nunito Sans"/>
          <w:color w:val="102E3B"/>
          <w:sz w:val="20"/>
          <w:szCs w:val="20"/>
        </w:rPr>
        <w:t xml:space="preserve">Conservamos los registros de casos durante </w:t>
      </w:r>
      <w:r>
        <w:rPr>
          <w:rFonts w:ascii="Nunito Sans" w:cs="Nunito Sans" w:eastAsia="Nunito Sans" w:hAnsi="Nunito Sans"/>
          <w:color w:val="102E3B"/>
          <w:sz w:val="20"/>
          <w:szCs w:val="20"/>
          <w:highlight w:val="yellow"/>
        </w:rPr>
        <w:t xml:space="preserve">[7 años]</w:t>
      </w:r>
      <w:r>
        <w:rPr>
          <w:rFonts w:ascii="Nunito Sans" w:cs="Nunito Sans" w:eastAsia="Nunito Sans" w:hAnsi="Nunito Sans"/>
          <w:color w:val="102E3B"/>
          <w:sz w:val="20"/>
          <w:szCs w:val="20"/>
        </w:rPr>
        <w:t xml:space="preserve"> después del cierre, o más si es posible que haya acciones judiciales, conforme a nuestro Calendario de Conservación de Registros y a las normas de los financiadores.</w:t>
      </w:r>
    </w:p>
    <w:p>
      <w:pPr>
        <w:pStyle w:val="ListParagraph"/>
        <w:numPr>
          <w:ilvl w:val="0"/>
          <w:numId w:val="3"/>
        </w:numPr>
        <w:spacing w:after="80" w:line="290"/>
      </w:pPr>
      <w:r>
        <w:rPr>
          <w:rFonts w:ascii="Nunito Sans" w:cs="Nunito Sans" w:eastAsia="Nunito Sans" w:hAnsi="Nunito Sans"/>
          <w:color w:val="102E3B"/>
          <w:sz w:val="20"/>
          <w:szCs w:val="20"/>
        </w:rPr>
        <w:t xml:space="preserve">Tratamos la información personal conforme a nuestra Política de Protección de Datos, según el principio de necesidad de conocer, y nunca la introducimos en herramientas de inteligencia artificial no aprobadas.</w:t>
      </w: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Quien cometa fraude, soborno o corrupción, ayude a otra persona a hacerlo, o deje de denunciarlo a sabiendas, puede enfrentarse a:</w:t>
      </w:r>
    </w:p>
    <w:p>
      <w:pPr>
        <w:pStyle w:val="ListParagraph"/>
        <w:numPr>
          <w:ilvl w:val="0"/>
          <w:numId w:val="3"/>
        </w:numPr>
        <w:spacing w:after="80" w:line="290"/>
      </w:pPr>
      <w:r>
        <w:rPr>
          <w:rFonts w:ascii="Nunito Sans" w:cs="Nunito Sans" w:eastAsia="Nunito Sans" w:hAnsi="Nunito Sans"/>
          <w:color w:val="102E3B"/>
          <w:sz w:val="20"/>
          <w:szCs w:val="20"/>
        </w:rPr>
        <w:t xml:space="preserve">medidas disciplinarias, que pueden llegar hasta el despido, conforme a nuestros procedimientos y a la ley;</w:t>
      </w:r>
    </w:p>
    <w:p>
      <w:pPr>
        <w:pStyle w:val="ListParagraph"/>
        <w:numPr>
          <w:ilvl w:val="0"/>
          <w:numId w:val="3"/>
        </w:numPr>
        <w:spacing w:after="80" w:line="290"/>
      </w:pPr>
      <w:r>
        <w:rPr>
          <w:rFonts w:ascii="Nunito Sans" w:cs="Nunito Sans" w:eastAsia="Nunito Sans" w:hAnsi="Nunito Sans"/>
          <w:color w:val="102E3B"/>
          <w:sz w:val="20"/>
          <w:szCs w:val="20"/>
        </w:rPr>
        <w:t xml:space="preserve">la terminación de un rol de voluntariado, de la pertenencia al órgano de gobierno, de un contrato o de una alianza;</w:t>
      </w:r>
    </w:p>
    <w:p>
      <w:pPr>
        <w:pStyle w:val="ListParagraph"/>
        <w:numPr>
          <w:ilvl w:val="0"/>
          <w:numId w:val="3"/>
        </w:numPr>
        <w:spacing w:after="80" w:line="290"/>
      </w:pPr>
      <w:r>
        <w:rPr>
          <w:rFonts w:ascii="Nunito Sans" w:cs="Nunito Sans" w:eastAsia="Nunito Sans" w:hAnsi="Nunito Sans"/>
          <w:color w:val="102E3B"/>
          <w:sz w:val="20"/>
          <w:szCs w:val="20"/>
        </w:rPr>
        <w:t xml:space="preserve">la recuperación de las pérdidas;</w:t>
      </w:r>
    </w:p>
    <w:p>
      <w:pPr>
        <w:pStyle w:val="ListParagraph"/>
        <w:numPr>
          <w:ilvl w:val="0"/>
          <w:numId w:val="3"/>
        </w:numPr>
        <w:spacing w:after="80" w:line="290"/>
      </w:pPr>
      <w:r>
        <w:rPr>
          <w:rFonts w:ascii="Nunito Sans" w:cs="Nunito Sans" w:eastAsia="Nunito Sans" w:hAnsi="Nunito Sans"/>
          <w:color w:val="102E3B"/>
          <w:sz w:val="20"/>
          <w:szCs w:val="20"/>
        </w:rPr>
        <w:t xml:space="preserve">la remisión del caso a la policía o a otras autoridades.</w:t>
      </w:r>
    </w:p>
    <w:p>
      <w:pPr>
        <w:spacing w:after="120" w:before="0" w:line="300"/>
      </w:pPr>
      <w:r>
        <w:rPr>
          <w:rFonts w:ascii="Nunito Sans" w:cs="Nunito Sans" w:eastAsia="Nunito Sans" w:hAnsi="Nunito Sans"/>
          <w:color w:val="102E3B"/>
          <w:sz w:val="20"/>
          <w:szCs w:val="20"/>
        </w:rPr>
        <w:t xml:space="preserve">Presentar a sabiendas una denuncia falsa también es un incumplimiento de esta política. Cualquier persona afectada por una decisión tomada conforme a esta política puede pedir su revisión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escribiendo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que no participó en la decisión original.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MEDIDAS DISCIPLINARIAS Y RECUPERACIÓN</w:t>
            </w:r>
          </w:p>
          <w:p>
            <w:pPr>
              <w:spacing w:after="120" w:before="0" w:line="300"/>
            </w:pPr>
            <w:r>
              <w:rPr>
                <w:rFonts w:ascii="Nunito Sans" w:cs="Nunito Sans" w:eastAsia="Nunito Sans" w:hAnsi="Nunito Sans"/>
                <w:color w:val="102E3B"/>
                <w:sz w:val="19"/>
                <w:szCs w:val="19"/>
              </w:rPr>
              <w:t xml:space="preserve">Contrasta estas medidas con tus contratos y con la legislación laboral local. Muchos países exigen un proceso disciplinario establecido antes del despido y limitan los descuentos en los salarios. Busca asesoramiento local antes de descontar cualquier cantidad del salario.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La persona responsable antifraude informa al órgano de gobierno </w:t>
      </w:r>
      <w:r>
        <w:rPr>
          <w:rFonts w:ascii="Nunito Sans" w:cs="Nunito Sans" w:eastAsia="Nunito Sans" w:hAnsi="Nunito Sans"/>
          <w:color w:val="102E3B"/>
          <w:sz w:val="20"/>
          <w:szCs w:val="20"/>
          <w:highlight w:val="yellow"/>
        </w:rPr>
        <w:t xml:space="preserve">[cada trimestre]</w:t>
      </w:r>
      <w:r>
        <w:rPr>
          <w:rFonts w:ascii="Nunito Sans" w:cs="Nunito Sans" w:eastAsia="Nunito Sans" w:hAnsi="Nunito Sans"/>
          <w:color w:val="102E3B"/>
          <w:sz w:val="20"/>
          <w:szCs w:val="20"/>
        </w:rPr>
        <w:t xml:space="preserve"> sobre las preocupaciones, los casos, las pérdidas, las recuperaciones, los pagos bajo coacción y los avisos a financiadores, además de un breve resumen anual anonimizado de las lecciones aprendidas. El órgano de gobierno revisa esta política </w:t>
      </w:r>
      <w:r>
        <w:rPr>
          <w:rFonts w:ascii="Nunito Sans" w:cs="Nunito Sans" w:eastAsia="Nunito Sans" w:hAnsi="Nunito Sans"/>
          <w:color w:val="102E3B"/>
          <w:sz w:val="20"/>
          <w:szCs w:val="20"/>
          <w:highlight w:val="yellow"/>
        </w:rPr>
        <w:t xml:space="preserve">[cada año]</w:t>
      </w:r>
      <w:r>
        <w:rPr>
          <w:rFonts w:ascii="Nunito Sans" w:cs="Nunito Sans" w:eastAsia="Nunito Sans" w:hAnsi="Nunito Sans"/>
          <w:color w:val="102E3B"/>
          <w:sz w:val="20"/>
          <w:szCs w:val="20"/>
        </w:rPr>
        <w:t xml:space="preserve">, después de cualquier fraude confirmado y cuando cambian la ley o nuestra financiación.</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Denuncia de Irregularidades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Conflictos de Interés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Aceptación de Regalos y Donaciones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Controles Financieros</w:t>
      </w:r>
    </w:p>
    <w:p>
      <w:pPr>
        <w:pStyle w:val="ListParagraph"/>
        <w:numPr>
          <w:ilvl w:val="0"/>
          <w:numId w:val="3"/>
        </w:numPr>
        <w:spacing w:after="80" w:line="290"/>
      </w:pPr>
      <w:r>
        <w:rPr>
          <w:rFonts w:ascii="Nunito Sans" w:cs="Nunito Sans" w:eastAsia="Nunito Sans" w:hAnsi="Nunito Sans"/>
          <w:color w:val="102E3B"/>
          <w:sz w:val="20"/>
          <w:szCs w:val="20"/>
        </w:rPr>
        <w:t xml:space="preserve">Matriz de Delegación de Autoridad</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Compras y Contrataciones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Debida Diligencia de Socios y Control de Sanciones</w:t>
      </w:r>
    </w:p>
    <w:p>
      <w:pPr>
        <w:pStyle w:val="ListParagraph"/>
        <w:numPr>
          <w:ilvl w:val="0"/>
          <w:numId w:val="3"/>
        </w:numPr>
        <w:spacing w:after="80" w:line="290"/>
      </w:pPr>
      <w:r>
        <w:rPr>
          <w:rFonts w:ascii="Nunito Sans" w:cs="Nunito Sans" w:eastAsia="Nunito Sans" w:hAnsi="Nunito Sans"/>
          <w:color w:val="102E3B"/>
          <w:sz w:val="20"/>
          <w:szCs w:val="20"/>
        </w:rPr>
        <w:t xml:space="preserve">Acuerdo de Subvención a Socios</w:t>
      </w:r>
    </w:p>
    <w:p>
      <w:pPr>
        <w:pStyle w:val="ListParagraph"/>
        <w:numPr>
          <w:ilvl w:val="0"/>
          <w:numId w:val="3"/>
        </w:numPr>
        <w:spacing w:after="80" w:line="290"/>
      </w:pPr>
      <w:r>
        <w:rPr>
          <w:rFonts w:ascii="Nunito Sans" w:cs="Nunito Sans" w:eastAsia="Nunito Sans" w:hAnsi="Nunito Sans"/>
          <w:color w:val="102E3B"/>
          <w:sz w:val="20"/>
          <w:szCs w:val="20"/>
        </w:rPr>
        <w:t xml:space="preserve">Registro de Riesgos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[Cualquier otra política que tenga]</w:t>
      </w:r>
    </w:p>
    <w:p>
      <w:pPr>
        <w:pStyle w:val="Heading1"/>
        <w:keepNext/>
        <w:spacing w:after="160" w:before="360"/>
      </w:pPr>
      <w:r>
        <w:rPr>
          <w:rFonts w:ascii="DM Serif Display" w:cs="DM Serif Display" w:eastAsia="DM Serif Display" w:hAnsi="DM Serif Display"/>
          <w:color w:val="123C48"/>
          <w:sz w:val="40"/>
          <w:szCs w:val="40"/>
        </w:rPr>
        <w:t xml:space="preserve">Declaración de conformidad</w:t>
      </w:r>
    </w:p>
    <w:p>
      <w:pPr>
        <w:spacing w:after="120" w:before="0" w:line="300"/>
      </w:pPr>
      <w:r>
        <w:rPr>
          <w:rFonts w:ascii="Nunito Sans" w:cs="Nunito Sans" w:eastAsia="Nunito Sans" w:hAnsi="Nunito Sans"/>
          <w:color w:val="102E3B"/>
          <w:sz w:val="20"/>
          <w:szCs w:val="20"/>
        </w:rPr>
        <w:t xml:space="preserve">Todas las personas cubiertas por esta política la confirman al incorporarse, y de nuevo cada vez que cambia de forma significativa. Las organizaciones socias y los proveedores la confirman a través de su acuerdo.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y Procedimiento contra el Fraude, el Soborno y la Corrupción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he tenido la oportunidad de hacer preguntas sobre ella. No ofreceré, pagaré, pediré ni aceptaré sobornos ni pagos de facilitación. Seguiré los controles financieros y comunicaré cualquier sospecha en un plazo de </w:t>
            </w:r>
            <w:r>
              <w:rPr>
                <w:rFonts w:ascii="Nunito Sans" w:cs="Nunito Sans" w:eastAsia="Nunito Sans" w:hAnsi="Nunito Sans"/>
                <w:color w:val="102E3B"/>
                <w:sz w:val="19"/>
                <w:szCs w:val="19"/>
                <w:highlight w:val="yellow"/>
              </w:rPr>
              <w:t xml:space="preserve">[24 horas]</w:t>
            </w:r>
            <w:r>
              <w:rPr>
                <w:rFonts w:ascii="Nunito Sans" w:cs="Nunito Sans" w:eastAsia="Nunito Sans" w:hAnsi="Nunito Sans"/>
                <w:color w:val="102E3B"/>
                <w:sz w:val="19"/>
                <w:szCs w:val="19"/>
              </w:rPr>
              <w:t xml:space="preserve">. Entiendo que incumplir esta política puede llevar a la terminación de mi relación con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a la remisión del caso a las autoridades.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Registro de un pago realizado bajo coacción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RESPUESTA</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de la persona que pagó</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hora y lugar</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 pidió el pago (función, descripción, cualquier identificación)</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amenaza hubo?</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Importe y moneda pagados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fondos se usaron (fondo de caja, personales, del proyecto)</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Testigos presentes</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Recibo o referencia entregados, si los hubo</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y hora de la notificación a la persona responsable antifraude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Decisión de la persona responsable antifraude: financiadores informados, autoridades informadas, plan de seguridad actualizado</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que pagó: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responsable antifraude: nombre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y Procedimiento contra el Fraude, el Soborno y la Corrupción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4D1CE899-B4A9-306B-42C6-93CC12795A94}"/>
  </w:font>
  <w:font w:name="DM Serif Display">
    <w:family w:val="auto"/>
    <w:pitch w:val="variable"/>
    <w:sig w:usb0="E0002AFF" w:usb1="C000247B" w:usb2="00000009" w:usb3="00000000" w:csb0="000001FF" w:csb1="00000000"/>
    <w:embedRegular r:id="rId2" w:fontKey="{66627B28-272B-4D9D-8E74-CB112B501DF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y Procedimiento contra el Fraude, el Soborno y la Corrupción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Y PROCEDIMIENTO CONTRA EL FRAUDE, EL SOBORNO Y LA CORRUPCIÓN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y Procedimiento contra el Fraude, el Soborno y la Corrupción</dc:title>
  <dc:creator>Method into Impact</dc:creator>
  <dc:description>Cómo [[Nombre de la organización]] previene, detecta y responde al fraude, el robo, el soborno, la corrupción, el blanqueo de capitales y el uso indebido de fondos, con un plan de respuesta al fraude paso a paso.</dc:description>
  <cp:lastModifiedBy>Un-named</cp:lastModifiedBy>
  <cp:revision>1</cp:revision>
  <dcterms:created xsi:type="dcterms:W3CDTF">2026-10-29T06:01:35.622Z</dcterms:created>
  <dcterms:modified xsi:type="dcterms:W3CDTF">2026-10-29T06:01:35.622Z</dcterms:modified>
</cp:coreProperties>
</file>

<file path=docProps/custom.xml><?xml version="1.0" encoding="utf-8"?>
<Properties xmlns="http://schemas.openxmlformats.org/officeDocument/2006/custom-properties" xmlns:vt="http://schemas.openxmlformats.org/officeDocument/2006/docPropsVTypes"/>
</file>